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240" w:before="240"/>
        <w:rPr>
          <w:rFonts w:ascii="Arial" w:cs="Arial" w:eastAsia="Arial" w:hAnsi="Arial"/>
          <w:b/>
          <w:bCs/>
          <w:sz w:val="32"/>
          <w:szCs w:val="32"/>
        </w:rPr>
      </w:pPr>
      <w:r>
        <w:t xml:space="preserve">Sapphire Pipeline Workflow</w:t>
      </w:r>
    </w:p>
    <w:p>
      <w:pPr>
        <w:pStyle w:val="Heading2"/>
        <w:pStyle w:val="Heading2"/>
        <w:spacing w:after="200" w:before="200"/>
        <w:rPr>
          <w:rFonts w:ascii="Arial" w:cs="Arial" w:eastAsia="Arial" w:hAnsi="Arial"/>
          <w:b/>
          <w:bCs/>
          <w:sz w:val="28"/>
          <w:szCs w:val="28"/>
        </w:rPr>
      </w:pPr>
      <w:r>
        <w:t xml:space="preserve">Prompt: "Identify repurposing candidates with prior Phase 2 CNS safety data and strong Quiver phenotype match."</w:t>
      </w:r>
    </w:p>
    <w:p>
      <w:pPr>
        <w:spacing w:after="200" w:line="360"/>
        <w:jc w:val="left"/>
        <w:rPr>
          <w:rFonts w:ascii="Arial" w:cs="Arial" w:eastAsia="Arial" w:hAnsi="Arial"/>
          <w:sz w:val="24"/>
          <w:szCs w:val="24"/>
        </w:rPr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pStyle w:val="Heading2"/>
        <w:spacing w:after="200" w:before="200"/>
        <w:rPr>
          <w:rFonts w:ascii="Arial" w:cs="Arial" w:eastAsia="Arial" w:hAnsi="Arial"/>
          <w:b/>
          <w:bCs/>
          <w:sz w:val="28"/>
          <w:szCs w:val="28"/>
        </w:rPr>
      </w:pPr>
      <w:r>
        <w:t xml:space="preserve">Pipeline Overview</w:t>
      </w:r>
    </w:p>
    <w:p>
      <w:pPr>
        <w:spacing w:after="200" w:line="360"/>
        <w:jc w:val="left"/>
        <w:rPr>
          <w:rFonts w:ascii="Arial" w:cs="Arial" w:eastAsia="Arial" w:hAnsi="Arial"/>
          <w:sz w:val="24"/>
          <w:szCs w:val="24"/>
        </w:rPr>
      </w:pPr>
      <w:r>
        <w:t xml:space="preserve">This pipeline accelerates drug repurposing by simultaneously leveraging clinical development history and quantitative functional biology. The workflow queries clinical trial databases for small molecules with established Phase 2+ CNS safety profiles, then intersects their known in vitro and in vivo electrophysiology data with Quiver's disease-relevant phenotype signatures, enabling rapid identification of candidates with dual evidence of clinical de-risking and predicted functional efficacy.</w:t>
      </w:r>
    </w:p>
    <w:p>
      <w:pPr>
        <w:spacing w:after="200" w:line="360"/>
        <w:jc w:val="left"/>
        <w:rPr>
          <w:rFonts w:ascii="Arial" w:cs="Arial" w:eastAsia="Arial" w:hAnsi="Arial"/>
          <w:sz w:val="24"/>
          <w:szCs w:val="24"/>
        </w:rPr>
      </w:pPr>
      <w:r>
        <w:t xml:space="preserve">The underlying logic is that compounds already shown to be tolerable in the human CNS avoid early-stage safety liabilities, and if their pharmacological profiles correlate with reversal of disease phenotypes observed in Quiver, they represent exceptionally high-confidence lead candidates. This pipeline bridges clinical data aggregation, phenotype matching, and risk-adjusted prioritization.</w:t>
      </w:r>
    </w:p>
    <w:p>
      <w:pPr>
        <w:pStyle w:val="Heading2"/>
        <w:pStyle w:val="Heading2"/>
        <w:spacing w:after="200" w:before="200"/>
        <w:rPr>
          <w:rFonts w:ascii="Arial" w:cs="Arial" w:eastAsia="Arial" w:hAnsi="Arial"/>
          <w:b/>
          <w:bCs/>
          <w:sz w:val="28"/>
          <w:szCs w:val="28"/>
        </w:rPr>
      </w:pPr>
      <w:r>
        <w:t xml:space="preserve">Stage 1: Clinical Trial Database Query &amp; Phase 2+ CNS Safety Extraction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Search ClinicalTrials.gov, EudraVigilance, and published literature to identify small molecules with completed or active Phase 2+ trials in CNS indications, extracting safety summaries, adverse event profiles, and human exposure data.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Disease indication of interest (e.g., 'neuropsychiatric disorders', 'neurodegenerative disease')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Search criteria: trial status (completed, recruiting), phase (2, 3), patient population, primary endpoints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Inclusion filters: human subjects, CNS target engagement biomarkers, electrophysiology outcomes if available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Exclusion filters: withdrawn trials, significant safety signals, development terminated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Data extraction schema: compound name, sponsor, trial ID, enrollment, outcomes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ClinicalTrials.gov API &amp; Web Scraping: Automated query for Phase 2+ trials in specified indication; extract protocol metadata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EudraVigilance &amp; FDA Adverse Event Database: Retrieve post-market safety data and serious adverse event summaries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PubMed Literature Mining: Aggregate published trial results, pharmacokinetics, and mechanism of action summaries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Patent Literature Search: Identify issued patents, composition of matter, formulation variants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Biotech/Pharma Company Databases: Retrieve press releases, investor reports, discontinued program information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Which compounds have successfully completed Phase 2 in CNS indications?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What are the main adverse events reported, and how frequent/severe?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For compounds showing clinical efficacy signals, what were the primary biomarkers measured?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Are there any compounds in the target indication that have Phase 2 safety data but development was halted for business reasons rather than safety?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Curated list: 20–50 compounds with Phase 2+ CNS safety data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For each compound: trial ID, sponsor, indication, enrollment, primary safety findings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Adverse event profile summary: frequency of serious AEs, dose-limiting toxicities, reversibility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Clinical exposure achieved: dose escalation ceiling, human PK parameters (Cmax, t1/2, AUC)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Withdrawn/discontinued programs flagged with stated reasons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Mechanism of action annotations: primary target, off-target profile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CSV: compound_name, trial_id, phase, indication, enrollment, status, primary_ae, dose_max_mg, mechanism, target</w:t>
      </w:r>
    </w:p>
    <w:p>
      <w:pPr>
        <w:pStyle w:val="Heading2"/>
        <w:pStyle w:val="Heading2"/>
        <w:spacing w:after="200" w:before="200"/>
        <w:rPr>
          <w:rFonts w:ascii="Arial" w:cs="Arial" w:eastAsia="Arial" w:hAnsi="Arial"/>
          <w:b/>
          <w:bCs/>
          <w:sz w:val="28"/>
          <w:szCs w:val="28"/>
        </w:rPr>
      </w:pPr>
      <w:r>
        <w:t xml:space="preserve">Stage 2: Compound Pharmacological Profile &amp; Literature EP Data Integration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For each Phase 2+ CNS compound, aggregate literature electrophysiology data, ex vivo bioactivity assays, and published electrophysiology recordings from academic labs—building a functional profile comparable to Quiver EP signatures.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List of repurposing candidates from Stage 1 (20–50 compounds)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PubMed: peer-reviewed electrophysiology studies using each compound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Academic databases: NeuroElectro, Allen Brain Atlas, Whole Brain Physiology datasets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Proprietary bioactivity data: vendor catalogs (Millipore, abcam), in-house screening results if available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Ion channel pharmacology databases: DrugBank, ChEMBL, BindingDB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Published patch-clamp or MEA recordings: firing rate, bursting, synaptic transmission effects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PubMed API &amp; Full-Text Search: Query literature for 'compound X' + 'electrophysiology'; extract figure data via OCR if needed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ChEMBL/DrugBank Bioactivity Queries: Retrieve binding affinity and functional potency data for primary and off-targets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NeuroElectro Database Mining: Search for documented EP effects of compound on neuronal firing, synaptic properties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Data Harmonization Pipeline: Normalize units (pA, mV, Hz) and recording conditions across heterogeneous sources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Effect Size Calculation: Compute Cohen's d or percentage change for each EP metric per compound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What are the published EP effects of compound X on neuronal firing rate and bursting?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Does the compound modulate synaptic short-term plasticity?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What are the IC50/EC50 values for the primary target and known off-targets?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In how many published studies has compound X been tested in electrophysiology?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Are there any contradictory findings across studies?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Harmonized EP profile for each compound: firing rate effects, burst frequency, adaptation, synaptic plasticity, etc.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Bioactivity data: IC50/EC50 for primary target and 5–10 off-targets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Literature quality assessment: number of independent studies, sample sizes, reproducibility flags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Concordance analysis: consistency of effects across published studies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Gaps in EP characterization: which compounds lack direct EP data vs. inferred from mechanism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Standardized EP profile matrix: [compound, EP_metric_1, EP_metric_2, ...]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CSV: compound_name, firing_rate_effect, burst_freq_effect, ahp_effect, primary_target, ic50_primary, off_target_1, ic50_ot1, lit_quality_score</w:t>
      </w:r>
    </w:p>
    <w:p>
      <w:pPr>
        <w:pStyle w:val="Heading2"/>
        <w:pStyle w:val="Heading2"/>
        <w:spacing w:after="200" w:before="200"/>
        <w:rPr>
          <w:rFonts w:ascii="Arial" w:cs="Arial" w:eastAsia="Arial" w:hAnsi="Arial"/>
          <w:b/>
          <w:bCs/>
          <w:sz w:val="28"/>
          <w:szCs w:val="28"/>
        </w:rPr>
      </w:pPr>
      <w:r>
        <w:t xml:space="preserve">Stage 3: Disease-Relevant Phenotype Cluster EP Signature Definition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Extract the multi-dimensional disease phenotype signature from Quiver—analogous to Stage 1 of Pipeline_050—establishing the therapeutic target EP profile that repurposing candidates must match.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Disease indication of interest (e.g., autism spectrum disorder, schizophrenia)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Quiver CRISPR perturbation dataset: ~18,000 experiments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Disease-linked gene sets: GWAS hits, de novo variants, syndromic genes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Patient-derived neuronal models or postmortem tissue data (if available)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Literature consensus on disease EP phenotype (hyperexcitability, hypoexcitability, etc.)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Confidence thresholds for cluster membership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Quiver Database Query: Select CRISPR perturbations of disease-linked genes; extract EP measurements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Phenotype Clustering (k-means, hierarchical, UMAP): Define disease phenotype clusters based on EP similarity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Statistical Signature Extraction: Compute mean and variance for each EP metric within disease cluster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Biological Enrichment Analysis: Correlate EP cluster with gene function, pathway, and disease annotation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Reproducibility Assessment: Cross-validate cluster stability; estimate sensitivity to outliers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Which Quiver perturbations produce the strongest disease-like phenotype?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What is the canonical EP signature of the disease cluster?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How much within-cluster variance exists? Are there sub-phenotypes?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Which EP metrics are most discriminative for disease vs. control?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Can a minimal set of 3–4 metrics capture the disease phenotype?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Disease EP signature vector with confidence intervals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Cluster definition: which genes/perturbations belong; cluster boundary in EP metric space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Disease-driving EP metrics ranked by effect size and discriminative power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Co-occurrence of phenotypic features (e.g., hyperexcitability + reduced short-term plasticity)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Visualization: phenotype heatmap, 2D cluster projection, radar plot vs. control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JSON: {disease_cluster_id, ep_signature: [metric_values], confidence_intervals, key_genes, phenotype_label}</w:t>
      </w:r>
    </w:p>
    <w:p>
      <w:pPr>
        <w:pStyle w:val="Heading2"/>
        <w:pStyle w:val="Heading2"/>
        <w:spacing w:after="200" w:before="200"/>
        <w:rPr>
          <w:rFonts w:ascii="Arial" w:cs="Arial" w:eastAsia="Arial" w:hAnsi="Arial"/>
          <w:b/>
          <w:bCs/>
          <w:sz w:val="28"/>
          <w:szCs w:val="28"/>
        </w:rPr>
      </w:pPr>
      <w:r>
        <w:t xml:space="preserve">Stage 4: Phenotype Matching &amp; Rescue Prediction for Repurposing Candidates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Compare each Phase 2+ compound's harmonized EP profile (Stage 2) against the disease EP signature (Stage 3), predicting the degree to which each compound reverses the disease phenotype using ML regression models or similarity metrics.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Harmonized EP profiles for Phase 2+ compounds (Stage 2)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Disease EP signature (Stage 3)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Trained ML models: QSAR or neural networks correlating compound activity to phenotype rescue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Quiver bioactivity benchmark: compounds known to rescue disease phenotype (positive controls)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Similarity metrics: Euclidean distance, cosine similarity in EP metric space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Weighting parameters: if some EP metrics are more therapeutic-relevant than others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Phenotype Matching Algorithm (Euclidean/Cosine Distance): Quantify similarity of compound EP profile to disease target; rank by match quality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QSAR/ML Rescue Prediction: Trained on Quiver validated compounds; predict degree of phenotype rescue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Network Pharmacology: Integrate compound targets with disease-linked gene networks; infer functional consequences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Multi-Objective Ranking: Combine phenotype match score with clinical safety evidence; rank candidates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Sensitivity Analysis: Assess robustness: which compounds rank high across multiple similarity metrics?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Rank the 20–50 repurposing candidates by their predicted ability to reverse the disease phenotype.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Which compounds show the strongest opposite EP effects to the disease signature?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For top-ranked compounds, what is the confidence level of the phenotype match prediction?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Are there compounds with partial phenotype match that might require combination therapy?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Which repurposing candidates have the best clinical safety evidence AND strong phenotype match?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Ranked list of repurposing candidates: [compound, phenotype_match_score, rescue_prediction, confidence_interval, clinical_safety_rank]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Top 10 candidates with highest phenotype match + clinical safety evidence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Phenotype matching details for each top candidate: which EP metrics improved, magnitude of change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Predicted rescue efficacy: % reversal of disease phenotype for each top candidate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Combination therapy insights: compounds with complementary phenotype effects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Risk-adjusted ranking: trade-offs between predicted efficacy and remaining safety uncertainties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CSV: compound_name, phenotype_match_score, rescue_prediction_percent, clinical_phase, ae_severity, combined_rank, rescue_ep_metrics</w:t>
      </w:r>
    </w:p>
    <w:p>
      <w:pPr>
        <w:pStyle w:val="Heading2"/>
        <w:pStyle w:val="Heading2"/>
        <w:spacing w:after="200" w:before="200"/>
        <w:rPr>
          <w:rFonts w:ascii="Arial" w:cs="Arial" w:eastAsia="Arial" w:hAnsi="Arial"/>
          <w:b/>
          <w:bCs/>
          <w:sz w:val="28"/>
          <w:szCs w:val="28"/>
        </w:rPr>
      </w:pPr>
      <w:r>
        <w:t xml:space="preserve">Stage 5: Clinical De-Risking Evidence Synthesis &amp; IND-Enabling Package Assembly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For top-ranked repurposing candidates, synthesize available clinical, safety, and pharmacokinetic data into an IND-enabling package—highlighting de-risking advantages and proposing next-step validation experiments.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Top 10 ranked repurposing candidates from Stage 4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Published Phase 2 trial data: ADME, PK, dosing, safety in humans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Formulation information: available drug products, manufacturing data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Regulatory history: NDA/BLA status, FDA guidance letters, prior interactions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Proof-of-mechanism biomarkers: published pharmacodynamic (PD) data in humans if available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Proposed new indication and intended patient population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IND/CTA Guidance Compiler: Aggregate FDA/EMA guidance; identify required regulatory filings and evidence packages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Clinical Data Synthesis: Summarize prior Phase 2 results: enrollment, endpoints, safety outcomes, dosing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PK/PD Modeling: Integrate literature PK with predicted PD (phenotype rescue); estimate efficacy exposure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Risk Mitigation Strategy: Identify known safety concerns from Phase 2; propose monitoring/exclusion strategies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Competitive Landscape Analysis: Survey other repurposing efforts or clinical programs targeting same indication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For compound X, what are the pivotal Phase 2 efficacy and safety data, and are they supportive of the new indication?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What manufacturing, formulation, or supply chain de-risking advantages does repurposing provide vs. de novo development?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Which adverse events from prior trials are most concerning for the new indication, and how will they be monitored?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What is the estimated timeline and cost for IND filing vs. de novo small-molecule development?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Should this compound be pursued as monotherapy or in combination with other agents?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De-risking summary for each top candidate: prior clinical exposure, safety signals, manufacturing maturity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Proposed regulatory pathway: IND-Enabling Package contents, anticipated regulatory timelines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Preclinical to-do list: Quiver validation experiments, off-target profiling, nonclinical safety studies if needed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Phase 2 clinical trial design proposal: patient population, dose, primary/secondary endpoints, trial duration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Manufacturing readiness: CMC (Chemistry, Manufacturing, Controls) status, scale-up feasibility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Competitive positioning: differentiation vs. other programs targeting same indication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Go/No-Go decision framework: criteria for advancement to IND filing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summary document per compound: compound_name, prior_phases_completed, ae_summary, cmc_status, regulatory_pathway, to_do_items, timeline_months</w:t>
      </w:r>
    </w:p>
    <w:p>
      <w:pPr>
        <w:pStyle w:val="Heading2"/>
        <w:pStyle w:val="Heading2"/>
        <w:spacing w:after="200" w:before="200"/>
        <w:rPr>
          <w:rFonts w:ascii="Arial" w:cs="Arial" w:eastAsia="Arial" w:hAnsi="Arial"/>
          <w:b/>
          <w:bCs/>
          <w:sz w:val="28"/>
          <w:szCs w:val="28"/>
        </w:rPr>
      </w:pPr>
      <w:r>
        <w:t xml:space="preserve">Stage 6: Quiver Functional Validation &amp; Rescue Confirmation in Disease Model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Experimentally confirm the predicted phenotype rescue for top repurposing candidates using Quiver's high-throughput electrophysiology platform—testing dose-response, target engagement, and off-target selectivity in disease-relevant cellular contexts.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Top 3–5 repurposing candidates from Stage 5 (clinical de-risking package assembled)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Quiver human cortical neuron culture system, including disease model variants if available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Known positive control compounds (drugs or tool compounds that rescue phenotype)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Dose range selection: based on literature IC50 and clinical exposure targets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Assay protocols: voltage-clamp, current-clamp, network-level recording configurations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Quality metrics: cell viability, recording stability, baseline phenotype reproducibility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Quiver High-Throughput Electrophysiology: Multi-well patch-clamp or MEA recording; measure dose-dependent phenotype rescue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Target Engagement Bioassays: Phospho-substrate antibodies, reporter assays to confirm molecular target modulation at efficacious doses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Off-Target Selectivity Screening: Measure compound effects on non-disease phenotypes; assess safety profile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Single-Cell RNAseq (optional): Transcriptomic assessment of compound-induced transcriptional changes; mechanism validation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Statistical Analysis &amp; Hit Calling: Dose-response curve fitting; EC50 estimation; comparison to literature benchmarks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At what compound concentration does robust phenotype rescue first appear?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Is the EC50 consistent with literature binding affinity to the primary target?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Does the compound rescue phenotype in disease-specific perturbation models (e.g., autism-linked CRISPR line)?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Are there off-target effects on non-disease phenotypes that might predict safety liabilities?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How does rescue efficacy compare to known positive control compounds?</w:t>
      </w:r>
    </w:p>
    <w:p>
      <w:pPr>
        <w:spacing w:after="10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Dose-response curves for each compound: firing rate vs. concentration, burst frequency, adaptation, synaptic metrics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EC50 and Emax (maximum effect) estimates with 95% confidence intervals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Selectivity index: fold-change in disease phenotype vs. off-target phenotypes at EC50 dose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Target engagement confirmation: biomarker readout at efficacious compound concentrations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Toxicity assessment: cell viability at supra-efficacious doses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Comparison to positive control compounds: relative potency ranking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Hit confirmation status: robust phenotype rescue, mechanism aligned with prediction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Experimental report: compound_name, ec50_nm, emax_percent, selectivity_index, target_engagement_signal, ae_concentration_nm, hit_status</w:t>
      </w:r>
    </w:p>
    <w:p>
      <w:pPr>
        <w:pStyle w:val="Heading2"/>
        <w:pStyle w:val="Heading2"/>
        <w:spacing w:after="200" w:before="200"/>
        <w:rPr>
          <w:rFonts w:ascii="Arial" w:cs="Arial" w:eastAsia="Arial" w:hAnsi="Arial"/>
          <w:b/>
          <w:bCs/>
          <w:sz w:val="28"/>
          <w:szCs w:val="28"/>
        </w:rPr>
      </w:pPr>
      <w:r>
        <w:t xml:space="preserve">Tools &amp; Databases Summary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Biological Enrichment Analysis: Correlate EP cluster with gene function, pathway, and disease annotation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Biotech/Pharma Company Databases: Retrieve press releases, investor reports, discontinued program information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ChEMBL/DrugBank Bioactivity Queries: Retrieve binding affinity and functional potency data for primary and off-targets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Clinical Data Synthesis: Summarize prior Phase 2 results: enrollment, endpoints, safety outcomes, dosing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ClinicalTrials.gov API &amp; Web Scraping: Automated query for Phase 2+ trials in specified indication; extract protocol metadata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Competitive Landscape Analysis: Survey other repurposing efforts or clinical programs targeting same indication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Data Harmonization Pipeline: Normalize units (pA, mV, Hz) and recording conditions across heterogeneous sources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Effect Size Calculation: Compute Cohen's d or percentage change for each EP metric per compound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EudraVigilance &amp; FDA Adverse Event Database: Retrieve post-market safety data and serious adverse event summaries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IND/CTA Guidance Compiler: Aggregate FDA/EMA guidance; identify required regulatory filings and evidence packages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Multi-Objective Ranking: Combine phenotype match score with clinical safety evidence; rank candidates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Network Pharmacology: Integrate compound targets with disease-linked gene networks; infer functional consequences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NeuroElectro Database Mining: Search for documented EP effects of compound on neuronal firing, synaptic properties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Off-Target Selectivity Screening: Measure compound effects on non-disease phenotypes; assess safety profile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PK/PD Modeling: Integrate literature PK with predicted PD (phenotype rescue); estimate efficacy exposure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Patent Literature Search: Identify issued patents, composition of matter, formulation variants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Phenotype Clustering (k-means, hierarchical, UMAP): Define disease phenotype clusters based on EP similarity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Phenotype Matching Algorithm (Euclidean/Cosine Distance): Quantify similarity of compound EP profile to disease target; rank by match quality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PubMed API &amp; Full-Text Search: Query literature for 'compound X' + 'electrophysiology'; extract figure data via OCR if needed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PubMed Literature Mining: Aggregate published trial results, pharmacokinetics, and mechanism of action summaries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QSAR/ML Rescue Prediction: Trained on Quiver validated compounds; predict degree of phenotype rescue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Quiver Database Query: Select CRISPR perturbations of disease-linked genes; extract EP measurements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Quiver High-Throughput Electrophysiology: Multi-well patch-clamp or MEA recording; measure dose-dependent phenotype rescue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Reproducibility Assessment: Cross-validate cluster stability; estimate sensitivity to outliers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Risk Mitigation Strategy: Identify known safety concerns from Phase 2; propose monitoring/exclusion strategies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Sensitivity Analysis: Assess robustness: which compounds rank high across multiple similarity metrics?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Single-Cell RNAseq (optional): Transcriptomic assessment of compound-induced transcriptional changes; mechanism validation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Statistical Analysis &amp; Hit Calling: Dose-response curve fitting; EC50 estimation; comparison to literature benchmarks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Statistical Signature Extraction: Compute mean and variance for each EP metric within disease cluster</w:t>
      </w:r>
    </w:p>
    <w:p>
      <w:pPr>
        <w:pStyle w:val="ListParagraph"/>
        <w:numPr>
          <w:ilvl w:val="0"/>
          <w:numId w:val="2"/>
        </w:numPr>
        <w:spacing w:after="100" w:line="360"/>
        <w:ind w:left="720" w:hanging="360"/>
        <w:rPr>
          <w:rFonts w:ascii="Arial" w:cs="Arial" w:eastAsia="Arial" w:hAnsi="Arial"/>
          <w:sz w:val="24"/>
          <w:szCs w:val="24"/>
        </w:rPr>
      </w:pPr>
      <w:r>
        <w:t xml:space="preserve">Target Engagement Bioassays: Phospho-substrate antibodies, reporter assays to confirm molecular target modulation at efficacious doses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2026-02-27T17:13:42.973Z</dcterms:created>
  <dcterms:modified xsi:type="dcterms:W3CDTF">2026-02-27T17:13:42.973Z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