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240" w:before="240"/>
        <w:rPr>
          <w:rFonts w:ascii="Arial" w:cs="Arial" w:eastAsia="Arial" w:hAnsi="Arial"/>
          <w:b/>
          <w:bCs/>
          <w:sz w:val="32"/>
          <w:szCs w:val="32"/>
        </w:rPr>
      </w:pPr>
      <w:r>
        <w:t xml:space="preserve">Sapphire Pipeline Workflow</w:t>
      </w:r>
    </w:p>
    <w:p>
      <w:pPr>
        <w:pStyle w:val="Heading2"/>
        <w:pStyle w:val="Heading2"/>
        <w:spacing w:after="200" w:before="200"/>
        <w:rPr>
          <w:rFonts w:ascii="Arial" w:cs="Arial" w:eastAsia="Arial" w:hAnsi="Arial"/>
          <w:b/>
          <w:bCs/>
          <w:sz w:val="28"/>
          <w:szCs w:val="28"/>
        </w:rPr>
      </w:pPr>
      <w:r>
        <w:t xml:space="preserve">Prompt: "Compare small molecule vs ASO strategy for gene X in terms of predicted PoS and rNPV."</w:t>
      </w:r>
    </w:p>
    <w:p>
      <w:pPr>
        <w:spacing w:after="200" w:line="360"/>
        <w:jc w:val="left"/>
        <w:rPr>
          <w:rFonts w:ascii="Arial" w:cs="Arial" w:eastAsia="Arial" w:hAnsi="Arial"/>
          <w:sz w:val="24"/>
          <w:szCs w:val="24"/>
        </w:rPr>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spacing w:after="200" w:before="200"/>
        <w:rPr>
          <w:rFonts w:ascii="Arial" w:cs="Arial" w:eastAsia="Arial" w:hAnsi="Arial"/>
          <w:b/>
          <w:bCs/>
          <w:sz w:val="28"/>
          <w:szCs w:val="28"/>
        </w:rPr>
      </w:pPr>
      <w:r>
        <w:t xml:space="preserve">Pipeline Overview</w:t>
      </w:r>
    </w:p>
    <w:p>
      <w:pPr>
        <w:spacing w:after="200" w:line="360"/>
        <w:jc w:val="left"/>
        <w:rPr>
          <w:rFonts w:ascii="Arial" w:cs="Arial" w:eastAsia="Arial" w:hAnsi="Arial"/>
          <w:sz w:val="24"/>
          <w:szCs w:val="24"/>
        </w:rPr>
      </w:pPr>
      <w:r>
        <w:t xml:space="preserve">This pipeline provides a quantitative head-to-head modality comparison for targeting a disease-relevant gene—evaluating the probability of success (PoS) and risk-adjusted net present value (rNPV) for small-molecule inhibitor versus antisense oligonucleotide (ASO) approaches. By integrating target biology, delivery barriers, competitive landscape, Quiver functional phenotype data, and industry financial benchmarks, the workflow enables data-driven modality selection and go/no-go decisions.</w:t>
      </w:r>
    </w:p>
    <w:p>
      <w:pPr>
        <w:spacing w:after="200" w:line="360"/>
        <w:jc w:val="left"/>
        <w:rPr>
          <w:rFonts w:ascii="Arial" w:cs="Arial" w:eastAsia="Arial" w:hAnsi="Arial"/>
          <w:sz w:val="24"/>
          <w:szCs w:val="24"/>
        </w:rPr>
      </w:pPr>
      <w:r>
        <w:t xml:space="preserve">The underlying framework acknowledges that small molecules and ASOs present distinct risk/reward profiles: small molecules offer metabolic stability and broad access but face potency and selectivity challenges, while ASOs provide exquisite target specificity and are often approved for CNS indications but navigate manufacturing complexity and dosing logistics. This pipeline bridges bench biology, pharmacology, regulatory strategy, and health economics to support modality choice.</w:t>
      </w:r>
    </w:p>
    <w:p>
      <w:pPr>
        <w:pStyle w:val="Heading2"/>
        <w:pStyle w:val="Heading2"/>
        <w:spacing w:after="200" w:before="200"/>
        <w:rPr>
          <w:rFonts w:ascii="Arial" w:cs="Arial" w:eastAsia="Arial" w:hAnsi="Arial"/>
          <w:b/>
          <w:bCs/>
          <w:sz w:val="28"/>
          <w:szCs w:val="28"/>
        </w:rPr>
      </w:pPr>
      <w:r>
        <w:t xml:space="preserve">Stage 1: Gene Target Validation &amp; Disease Biology Confirmation</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Establish that the target gene is validated in human disease—confirming genetic link, pathogenic mechanism, and clinical significance—and assess the potential impact of target inhibition using Quiver CRISPR perturbation data.</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Target gene symbol and NCBI ID</w:t>
      </w:r>
    </w:p>
    <w:p>
      <w:pPr>
        <w:pStyle w:val="ListParagraph"/>
        <w:numPr>
          <w:ilvl w:val="0"/>
          <w:numId w:val="2"/>
        </w:numPr>
        <w:spacing w:after="100" w:line="360"/>
        <w:ind w:left="720" w:hanging="360"/>
        <w:rPr>
          <w:rFonts w:ascii="Arial" w:cs="Arial" w:eastAsia="Arial" w:hAnsi="Arial"/>
          <w:sz w:val="24"/>
          <w:szCs w:val="24"/>
        </w:rPr>
      </w:pPr>
      <w:r>
        <w:t xml:space="preserve">Disease indication of interest</w:t>
      </w:r>
    </w:p>
    <w:p>
      <w:pPr>
        <w:pStyle w:val="ListParagraph"/>
        <w:numPr>
          <w:ilvl w:val="0"/>
          <w:numId w:val="2"/>
        </w:numPr>
        <w:spacing w:after="100" w:line="360"/>
        <w:ind w:left="720" w:hanging="360"/>
        <w:rPr>
          <w:rFonts w:ascii="Arial" w:cs="Arial" w:eastAsia="Arial" w:hAnsi="Arial"/>
          <w:sz w:val="24"/>
          <w:szCs w:val="24"/>
        </w:rPr>
      </w:pPr>
      <w:r>
        <w:t xml:space="preserve">GWAS catalog: genetic association strength (p-values, odds ratios, LD score)</w:t>
      </w:r>
    </w:p>
    <w:p>
      <w:pPr>
        <w:pStyle w:val="ListParagraph"/>
        <w:numPr>
          <w:ilvl w:val="0"/>
          <w:numId w:val="2"/>
        </w:numPr>
        <w:spacing w:after="100" w:line="360"/>
        <w:ind w:left="720" w:hanging="360"/>
        <w:rPr>
          <w:rFonts w:ascii="Arial" w:cs="Arial" w:eastAsia="Arial" w:hAnsi="Arial"/>
          <w:sz w:val="24"/>
          <w:szCs w:val="24"/>
        </w:rPr>
      </w:pPr>
      <w:r>
        <w:t xml:space="preserve">Clinical evidence: de novo mutations, loss-of-function cases, functional studies</w:t>
      </w:r>
    </w:p>
    <w:p>
      <w:pPr>
        <w:pStyle w:val="ListParagraph"/>
        <w:numPr>
          <w:ilvl w:val="0"/>
          <w:numId w:val="2"/>
        </w:numPr>
        <w:spacing w:after="100" w:line="360"/>
        <w:ind w:left="720" w:hanging="360"/>
        <w:rPr>
          <w:rFonts w:ascii="Arial" w:cs="Arial" w:eastAsia="Arial" w:hAnsi="Arial"/>
          <w:sz w:val="24"/>
          <w:szCs w:val="24"/>
        </w:rPr>
      </w:pPr>
      <w:r>
        <w:t xml:space="preserve">Quiver dataset: CRISPR knockdown/knockout phenotype data for target gene</w:t>
      </w:r>
    </w:p>
    <w:p>
      <w:pPr>
        <w:pStyle w:val="ListParagraph"/>
        <w:numPr>
          <w:ilvl w:val="0"/>
          <w:numId w:val="2"/>
        </w:numPr>
        <w:spacing w:after="100" w:line="360"/>
        <w:ind w:left="720" w:hanging="360"/>
        <w:rPr>
          <w:rFonts w:ascii="Arial" w:cs="Arial" w:eastAsia="Arial" w:hAnsi="Arial"/>
          <w:sz w:val="24"/>
          <w:szCs w:val="24"/>
        </w:rPr>
      </w:pPr>
      <w:r>
        <w:t xml:space="preserve">Existing literature: structural biology, known inhibitors, prior drug development efforts</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GWAS Catalog &amp; Genomics Databases: Query genetic associations; assess statistical significance and population specificity</w:t>
      </w:r>
    </w:p>
    <w:p>
      <w:pPr>
        <w:pStyle w:val="ListParagraph"/>
        <w:numPr>
          <w:ilvl w:val="0"/>
          <w:numId w:val="2"/>
        </w:numPr>
        <w:spacing w:after="100" w:line="360"/>
        <w:ind w:left="720" w:hanging="360"/>
        <w:rPr>
          <w:rFonts w:ascii="Arial" w:cs="Arial" w:eastAsia="Arial" w:hAnsi="Arial"/>
          <w:sz w:val="24"/>
          <w:szCs w:val="24"/>
        </w:rPr>
      </w:pPr>
      <w:r>
        <w:t xml:space="preserve">ClinVar &amp; gnomAD: Evaluate pathogenicity of known loss-of-function variants</w:t>
      </w:r>
    </w:p>
    <w:p>
      <w:pPr>
        <w:pStyle w:val="ListParagraph"/>
        <w:numPr>
          <w:ilvl w:val="0"/>
          <w:numId w:val="2"/>
        </w:numPr>
        <w:spacing w:after="100" w:line="360"/>
        <w:ind w:left="720" w:hanging="360"/>
        <w:rPr>
          <w:rFonts w:ascii="Arial" w:cs="Arial" w:eastAsia="Arial" w:hAnsi="Arial"/>
          <w:sz w:val="24"/>
          <w:szCs w:val="24"/>
        </w:rPr>
      </w:pPr>
      <w:r>
        <w:t xml:space="preserve">Quiver CRISPR Database: Extract phenotype data for target gene perturbations; quantify rescue potential</w:t>
      </w:r>
    </w:p>
    <w:p>
      <w:pPr>
        <w:pStyle w:val="ListParagraph"/>
        <w:numPr>
          <w:ilvl w:val="0"/>
          <w:numId w:val="2"/>
        </w:numPr>
        <w:spacing w:after="100" w:line="360"/>
        <w:ind w:left="720" w:hanging="360"/>
        <w:rPr>
          <w:rFonts w:ascii="Arial" w:cs="Arial" w:eastAsia="Arial" w:hAnsi="Arial"/>
          <w:sz w:val="24"/>
          <w:szCs w:val="24"/>
        </w:rPr>
      </w:pPr>
      <w:r>
        <w:t xml:space="preserve">PubMed Literature Review: Aggregate functional validation studies, disease mechanism insights, prior drug programs</w:t>
      </w:r>
    </w:p>
    <w:p>
      <w:pPr>
        <w:pStyle w:val="ListParagraph"/>
        <w:numPr>
          <w:ilvl w:val="0"/>
          <w:numId w:val="2"/>
        </w:numPr>
        <w:spacing w:after="100" w:line="360"/>
        <w:ind w:left="720" w:hanging="360"/>
        <w:rPr>
          <w:rFonts w:ascii="Arial" w:cs="Arial" w:eastAsia="Arial" w:hAnsi="Arial"/>
          <w:sz w:val="24"/>
          <w:szCs w:val="24"/>
        </w:rPr>
      </w:pPr>
      <w:r>
        <w:t xml:space="preserve">Network Pharmacology: Map target gene to disease-relevant biological pathways; assess network essentiality</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What is the strength of genetic evidence for the target gene in the disease?</w:t>
      </w:r>
    </w:p>
    <w:p>
      <w:pPr>
        <w:pStyle w:val="ListParagraph"/>
        <w:numPr>
          <w:ilvl w:val="0"/>
          <w:numId w:val="2"/>
        </w:numPr>
        <w:spacing w:after="100" w:line="360"/>
        <w:ind w:left="720" w:hanging="360"/>
        <w:rPr>
          <w:rFonts w:ascii="Arial" w:cs="Arial" w:eastAsia="Arial" w:hAnsi="Arial"/>
          <w:sz w:val="24"/>
          <w:szCs w:val="24"/>
        </w:rPr>
      </w:pPr>
      <w:r>
        <w:t xml:space="preserve">Does CRISPR knockdown/knockout of the target gene rescue disease phenotypes in Quiver?</w:t>
      </w:r>
    </w:p>
    <w:p>
      <w:pPr>
        <w:pStyle w:val="ListParagraph"/>
        <w:numPr>
          <w:ilvl w:val="0"/>
          <w:numId w:val="2"/>
        </w:numPr>
        <w:spacing w:after="100" w:line="360"/>
        <w:ind w:left="720" w:hanging="360"/>
        <w:rPr>
          <w:rFonts w:ascii="Arial" w:cs="Arial" w:eastAsia="Arial" w:hAnsi="Arial"/>
          <w:sz w:val="24"/>
          <w:szCs w:val="24"/>
        </w:rPr>
      </w:pPr>
      <w:r>
        <w:t xml:space="preserve">What is the predicted magnitude of therapeutic effect if target is inhibited?</w:t>
      </w:r>
    </w:p>
    <w:p>
      <w:pPr>
        <w:pStyle w:val="ListParagraph"/>
        <w:numPr>
          <w:ilvl w:val="0"/>
          <w:numId w:val="2"/>
        </w:numPr>
        <w:spacing w:after="100" w:line="360"/>
        <w:ind w:left="720" w:hanging="360"/>
        <w:rPr>
          <w:rFonts w:ascii="Arial" w:cs="Arial" w:eastAsia="Arial" w:hAnsi="Arial"/>
          <w:sz w:val="24"/>
          <w:szCs w:val="24"/>
        </w:rPr>
      </w:pPr>
      <w:r>
        <w:t xml:space="preserve">Are there existing small-molecule or biologic programs targeting this gene?</w:t>
      </w:r>
    </w:p>
    <w:p>
      <w:pPr>
        <w:pStyle w:val="ListParagraph"/>
        <w:numPr>
          <w:ilvl w:val="0"/>
          <w:numId w:val="2"/>
        </w:numPr>
        <w:spacing w:after="100" w:line="360"/>
        <w:ind w:left="720" w:hanging="360"/>
        <w:rPr>
          <w:rFonts w:ascii="Arial" w:cs="Arial" w:eastAsia="Arial" w:hAnsi="Arial"/>
          <w:sz w:val="24"/>
          <w:szCs w:val="24"/>
        </w:rPr>
      </w:pPr>
      <w:r>
        <w:t xml:space="preserve">What is the target family redundancy risk (e.g., off-target isoform effects)?</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Target validation scorecard: genetic evidence strength (1–5 scale), functional validation in Quiver, literature support</w:t>
      </w:r>
    </w:p>
    <w:p>
      <w:pPr>
        <w:pStyle w:val="ListParagraph"/>
        <w:numPr>
          <w:ilvl w:val="0"/>
          <w:numId w:val="2"/>
        </w:numPr>
        <w:spacing w:after="100" w:line="360"/>
        <w:ind w:left="720" w:hanging="360"/>
        <w:rPr>
          <w:rFonts w:ascii="Arial" w:cs="Arial" w:eastAsia="Arial" w:hAnsi="Arial"/>
          <w:sz w:val="24"/>
          <w:szCs w:val="24"/>
        </w:rPr>
      </w:pPr>
      <w:r>
        <w:t xml:space="preserve">Quiver rescue potential: % phenotype reversal from target perturbation, confidence interval</w:t>
      </w:r>
    </w:p>
    <w:p>
      <w:pPr>
        <w:pStyle w:val="ListParagraph"/>
        <w:numPr>
          <w:ilvl w:val="0"/>
          <w:numId w:val="2"/>
        </w:numPr>
        <w:spacing w:after="100" w:line="360"/>
        <w:ind w:left="720" w:hanging="360"/>
        <w:rPr>
          <w:rFonts w:ascii="Arial" w:cs="Arial" w:eastAsia="Arial" w:hAnsi="Arial"/>
          <w:sz w:val="24"/>
          <w:szCs w:val="24"/>
        </w:rPr>
      </w:pPr>
      <w:r>
        <w:t xml:space="preserve">Disease mechanism summary: how target loss-of-function prevents disease</w:t>
      </w:r>
    </w:p>
    <w:p>
      <w:pPr>
        <w:pStyle w:val="ListParagraph"/>
        <w:numPr>
          <w:ilvl w:val="0"/>
          <w:numId w:val="2"/>
        </w:numPr>
        <w:spacing w:after="100" w:line="360"/>
        <w:ind w:left="720" w:hanging="360"/>
        <w:rPr>
          <w:rFonts w:ascii="Arial" w:cs="Arial" w:eastAsia="Arial" w:hAnsi="Arial"/>
          <w:sz w:val="24"/>
          <w:szCs w:val="24"/>
        </w:rPr>
      </w:pPr>
      <w:r>
        <w:t xml:space="preserve">Clinical impact estimate: patient population size, severity, unmet medical need quantification</w:t>
      </w:r>
    </w:p>
    <w:p>
      <w:pPr>
        <w:pStyle w:val="ListParagraph"/>
        <w:numPr>
          <w:ilvl w:val="0"/>
          <w:numId w:val="2"/>
        </w:numPr>
        <w:spacing w:after="100" w:line="360"/>
        <w:ind w:left="720" w:hanging="360"/>
        <w:rPr>
          <w:rFonts w:ascii="Arial" w:cs="Arial" w:eastAsia="Arial" w:hAnsi="Arial"/>
          <w:sz w:val="24"/>
          <w:szCs w:val="24"/>
        </w:rPr>
      </w:pPr>
      <w:r>
        <w:t xml:space="preserve">Prior drug development landscape: known inhibitors, withdrawn programs, competitive programs</w:t>
      </w:r>
    </w:p>
    <w:p>
      <w:pPr>
        <w:pStyle w:val="ListParagraph"/>
        <w:numPr>
          <w:ilvl w:val="0"/>
          <w:numId w:val="2"/>
        </w:numPr>
        <w:spacing w:after="100" w:line="360"/>
        <w:ind w:left="720" w:hanging="360"/>
        <w:rPr>
          <w:rFonts w:ascii="Arial" w:cs="Arial" w:eastAsia="Arial" w:hAnsi="Arial"/>
          <w:sz w:val="24"/>
          <w:szCs w:val="24"/>
        </w:rPr>
      </w:pPr>
      <w:r>
        <w:t xml:space="preserve">Target feasibility assessment: addressability by small molecule vs. ASO, likely first-in-class challenges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Target validation report: gene_symbol, gwas_pvalue, quiver_rescue_percent, mechanism_summary, competitive_landscape</w:t>
      </w:r>
    </w:p>
    <w:p>
      <w:pPr>
        <w:pStyle w:val="Heading2"/>
        <w:pStyle w:val="Heading2"/>
        <w:spacing w:after="200" w:before="200"/>
        <w:rPr>
          <w:rFonts w:ascii="Arial" w:cs="Arial" w:eastAsia="Arial" w:hAnsi="Arial"/>
          <w:b/>
          <w:bCs/>
          <w:sz w:val="28"/>
          <w:szCs w:val="28"/>
        </w:rPr>
      </w:pPr>
      <w:r>
        <w:t xml:space="preserve">Stage 2: Small-Molecule Inhibitor: Target-Based Hit Discovery &amp; Chemistry Feasibility</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Assess the feasibility and timelines for small-molecule hit discovery against the target—evaluating druggability, existing chemical matter, synthetic accessibility, and predicted ADME/off-target liabilities.</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Target gene/protein structure from Stage 1</w:t>
      </w:r>
    </w:p>
    <w:p>
      <w:pPr>
        <w:pStyle w:val="ListParagraph"/>
        <w:numPr>
          <w:ilvl w:val="0"/>
          <w:numId w:val="2"/>
        </w:numPr>
        <w:spacing w:after="100" w:line="360"/>
        <w:ind w:left="720" w:hanging="360"/>
        <w:rPr>
          <w:rFonts w:ascii="Arial" w:cs="Arial" w:eastAsia="Arial" w:hAnsi="Arial"/>
          <w:sz w:val="24"/>
          <w:szCs w:val="24"/>
        </w:rPr>
      </w:pPr>
      <w:r>
        <w:t xml:space="preserve">Protein structure data: PDB entries, cryo-EM structures, AlphaFold predictions</w:t>
      </w:r>
    </w:p>
    <w:p>
      <w:pPr>
        <w:pStyle w:val="ListParagraph"/>
        <w:numPr>
          <w:ilvl w:val="0"/>
          <w:numId w:val="2"/>
        </w:numPr>
        <w:spacing w:after="100" w:line="360"/>
        <w:ind w:left="720" w:hanging="360"/>
        <w:rPr>
          <w:rFonts w:ascii="Arial" w:cs="Arial" w:eastAsia="Arial" w:hAnsi="Arial"/>
          <w:sz w:val="24"/>
          <w:szCs w:val="24"/>
        </w:rPr>
      </w:pPr>
      <w:r>
        <w:t xml:space="preserve">Known inhibitors from literature/ChEMBL: binding modes, potency, selectivity</w:t>
      </w:r>
    </w:p>
    <w:p>
      <w:pPr>
        <w:pStyle w:val="ListParagraph"/>
        <w:numPr>
          <w:ilvl w:val="0"/>
          <w:numId w:val="2"/>
        </w:numPr>
        <w:spacing w:after="100" w:line="360"/>
        <w:ind w:left="720" w:hanging="360"/>
        <w:rPr>
          <w:rFonts w:ascii="Arial" w:cs="Arial" w:eastAsia="Arial" w:hAnsi="Arial"/>
          <w:sz w:val="24"/>
          <w:szCs w:val="24"/>
        </w:rPr>
      </w:pPr>
      <w:r>
        <w:t xml:space="preserve">Target druggability prediction: binding pocket quality, target essentiality for off-targets</w:t>
      </w:r>
    </w:p>
    <w:p>
      <w:pPr>
        <w:pStyle w:val="ListParagraph"/>
        <w:numPr>
          <w:ilvl w:val="0"/>
          <w:numId w:val="2"/>
        </w:numPr>
        <w:spacing w:after="100" w:line="360"/>
        <w:ind w:left="720" w:hanging="360"/>
        <w:rPr>
          <w:rFonts w:ascii="Arial" w:cs="Arial" w:eastAsia="Arial" w:hAnsi="Arial"/>
          <w:sz w:val="24"/>
          <w:szCs w:val="24"/>
        </w:rPr>
      </w:pPr>
      <w:r>
        <w:t xml:space="preserve">Industry benchmarks: typical timelines and costs for small-molecule discovery programs</w:t>
      </w:r>
    </w:p>
    <w:p>
      <w:pPr>
        <w:pStyle w:val="ListParagraph"/>
        <w:numPr>
          <w:ilvl w:val="0"/>
          <w:numId w:val="2"/>
        </w:numPr>
        <w:spacing w:after="100" w:line="360"/>
        <w:ind w:left="720" w:hanging="360"/>
        <w:rPr>
          <w:rFonts w:ascii="Arial" w:cs="Arial" w:eastAsia="Arial" w:hAnsi="Arial"/>
          <w:sz w:val="24"/>
          <w:szCs w:val="24"/>
        </w:rPr>
      </w:pPr>
      <w:r>
        <w:t xml:space="preserve">Therapeutic constraints: required brain penetrance, off-target selectivity window</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Druggability Prediction (FTScore, Pfizer DLE): Assess protein target tractability: binding site properties, predicted ease of inhibition</w:t>
      </w:r>
    </w:p>
    <w:p>
      <w:pPr>
        <w:pStyle w:val="ListParagraph"/>
        <w:numPr>
          <w:ilvl w:val="0"/>
          <w:numId w:val="2"/>
        </w:numPr>
        <w:spacing w:after="100" w:line="360"/>
        <w:ind w:left="720" w:hanging="360"/>
        <w:rPr>
          <w:rFonts w:ascii="Arial" w:cs="Arial" w:eastAsia="Arial" w:hAnsi="Arial"/>
          <w:sz w:val="24"/>
          <w:szCs w:val="24"/>
        </w:rPr>
      </w:pPr>
      <w:r>
        <w:t xml:space="preserve">Structural Bioinformatics (PyMOL, UCSF Chimera): Analyze protein binding pockets; identify inhibitor binding modes from PDB structures</w:t>
      </w:r>
    </w:p>
    <w:p>
      <w:pPr>
        <w:pStyle w:val="ListParagraph"/>
        <w:numPr>
          <w:ilvl w:val="0"/>
          <w:numId w:val="2"/>
        </w:numPr>
        <w:spacing w:after="100" w:line="360"/>
        <w:ind w:left="720" w:hanging="360"/>
        <w:rPr>
          <w:rFonts w:ascii="Arial" w:cs="Arial" w:eastAsia="Arial" w:hAnsi="Arial"/>
          <w:sz w:val="24"/>
          <w:szCs w:val="24"/>
        </w:rPr>
      </w:pPr>
      <w:r>
        <w:t xml:space="preserve">QSAR/Virtual Screening: Mine ChEMBL for existing inhibitors; predict potency of known scaffolds</w:t>
      </w:r>
    </w:p>
    <w:p>
      <w:pPr>
        <w:pStyle w:val="ListParagraph"/>
        <w:numPr>
          <w:ilvl w:val="0"/>
          <w:numId w:val="2"/>
        </w:numPr>
        <w:spacing w:after="100" w:line="360"/>
        <w:ind w:left="720" w:hanging="360"/>
        <w:rPr>
          <w:rFonts w:ascii="Arial" w:cs="Arial" w:eastAsia="Arial" w:hAnsi="Arial"/>
          <w:sz w:val="24"/>
          <w:szCs w:val="24"/>
        </w:rPr>
      </w:pPr>
      <w:r>
        <w:t xml:space="preserve">Chemistry Feasibility Assessment: Evaluate hit-to-lead, lead-optimization timelines; identify common synthetic bottlenecks</w:t>
      </w:r>
    </w:p>
    <w:p>
      <w:pPr>
        <w:pStyle w:val="ListParagraph"/>
        <w:numPr>
          <w:ilvl w:val="0"/>
          <w:numId w:val="2"/>
        </w:numPr>
        <w:spacing w:after="100" w:line="360"/>
        <w:ind w:left="720" w:hanging="360"/>
        <w:rPr>
          <w:rFonts w:ascii="Arial" w:cs="Arial" w:eastAsia="Arial" w:hAnsi="Arial"/>
          <w:sz w:val="24"/>
          <w:szCs w:val="24"/>
        </w:rPr>
      </w:pPr>
      <w:r>
        <w:t xml:space="preserve">Off-Target Profiling Prediction: Estimate selectivity risks based on target family homology and pan-assay interference</w:t>
      </w:r>
    </w:p>
    <w:p>
      <w:pPr>
        <w:pStyle w:val="ListParagraph"/>
        <w:numPr>
          <w:ilvl w:val="0"/>
          <w:numId w:val="2"/>
        </w:numPr>
        <w:spacing w:after="100" w:line="360"/>
        <w:ind w:left="720" w:hanging="360"/>
        <w:rPr>
          <w:rFonts w:ascii="Arial" w:cs="Arial" w:eastAsia="Arial" w:hAnsi="Arial"/>
          <w:sz w:val="24"/>
          <w:szCs w:val="24"/>
        </w:rPr>
      </w:pPr>
      <w:r>
        <w:t xml:space="preserve">ADME Prediction (physicochemical properties): Estimate logP, TPSA, BBB penetrance; identify property optimization needs</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Is the target protein predicted to have a druggable binding site?</w:t>
      </w:r>
    </w:p>
    <w:p>
      <w:pPr>
        <w:pStyle w:val="ListParagraph"/>
        <w:numPr>
          <w:ilvl w:val="0"/>
          <w:numId w:val="2"/>
        </w:numPr>
        <w:spacing w:after="100" w:line="360"/>
        <w:ind w:left="720" w:hanging="360"/>
        <w:rPr>
          <w:rFonts w:ascii="Arial" w:cs="Arial" w:eastAsia="Arial" w:hAnsi="Arial"/>
          <w:sz w:val="24"/>
          <w:szCs w:val="24"/>
        </w:rPr>
      </w:pPr>
      <w:r>
        <w:t xml:space="preserve">What are the most potent known inhibitors, and what are their potencies and selectivity profiles?</w:t>
      </w:r>
    </w:p>
    <w:p>
      <w:pPr>
        <w:pStyle w:val="ListParagraph"/>
        <w:numPr>
          <w:ilvl w:val="0"/>
          <w:numId w:val="2"/>
        </w:numPr>
        <w:spacing w:after="100" w:line="360"/>
        <w:ind w:left="720" w:hanging="360"/>
        <w:rPr>
          <w:rFonts w:ascii="Arial" w:cs="Arial" w:eastAsia="Arial" w:hAnsi="Arial"/>
          <w:sz w:val="24"/>
          <w:szCs w:val="24"/>
        </w:rPr>
      </w:pPr>
      <w:r>
        <w:t xml:space="preserve">If no known inhibitors exist, how similar is the target to well-characterized proteins?</w:t>
      </w:r>
    </w:p>
    <w:p>
      <w:pPr>
        <w:pStyle w:val="ListParagraph"/>
        <w:numPr>
          <w:ilvl w:val="0"/>
          <w:numId w:val="2"/>
        </w:numPr>
        <w:spacing w:after="100" w:line="360"/>
        <w:ind w:left="720" w:hanging="360"/>
        <w:rPr>
          <w:rFonts w:ascii="Arial" w:cs="Arial" w:eastAsia="Arial" w:hAnsi="Arial"/>
          <w:sz w:val="24"/>
          <w:szCs w:val="24"/>
        </w:rPr>
      </w:pPr>
      <w:r>
        <w:t xml:space="preserve">What is the estimated timeline for small-molecule hit discovery: 6–12 months?</w:t>
      </w:r>
    </w:p>
    <w:p>
      <w:pPr>
        <w:pStyle w:val="ListParagraph"/>
        <w:numPr>
          <w:ilvl w:val="0"/>
          <w:numId w:val="2"/>
        </w:numPr>
        <w:spacing w:after="100" w:line="360"/>
        <w:ind w:left="720" w:hanging="360"/>
        <w:rPr>
          <w:rFonts w:ascii="Arial" w:cs="Arial" w:eastAsia="Arial" w:hAnsi="Arial"/>
          <w:sz w:val="24"/>
          <w:szCs w:val="24"/>
        </w:rPr>
      </w:pPr>
      <w:r>
        <w:t xml:space="preserve">What are the primary ADME/property optimization challenges (BBB penetrance, CYP450 liability, etc.)?</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Target druggability score (1–10 scale): binding site quality, predicted ease of inhibition</w:t>
      </w:r>
    </w:p>
    <w:p>
      <w:pPr>
        <w:pStyle w:val="ListParagraph"/>
        <w:numPr>
          <w:ilvl w:val="0"/>
          <w:numId w:val="2"/>
        </w:numPr>
        <w:spacing w:after="100" w:line="360"/>
        <w:ind w:left="720" w:hanging="360"/>
        <w:rPr>
          <w:rFonts w:ascii="Arial" w:cs="Arial" w:eastAsia="Arial" w:hAnsi="Arial"/>
          <w:sz w:val="24"/>
          <w:szCs w:val="24"/>
        </w:rPr>
      </w:pPr>
      <w:r>
        <w:t xml:space="preserve">Existing chemical matter inventory: potency, selectivity, ADME properties of known inhibitors</w:t>
      </w:r>
    </w:p>
    <w:p>
      <w:pPr>
        <w:pStyle w:val="ListParagraph"/>
        <w:numPr>
          <w:ilvl w:val="0"/>
          <w:numId w:val="2"/>
        </w:numPr>
        <w:spacing w:after="100" w:line="360"/>
        <w:ind w:left="720" w:hanging="360"/>
        <w:rPr>
          <w:rFonts w:ascii="Arial" w:cs="Arial" w:eastAsia="Arial" w:hAnsi="Arial"/>
          <w:sz w:val="24"/>
          <w:szCs w:val="24"/>
        </w:rPr>
      </w:pPr>
      <w:r>
        <w:t xml:space="preserve">Hit discovery timeline estimate: 6–12 months, dependencies, key milestones</w:t>
      </w:r>
    </w:p>
    <w:p>
      <w:pPr>
        <w:pStyle w:val="ListParagraph"/>
        <w:numPr>
          <w:ilvl w:val="0"/>
          <w:numId w:val="2"/>
        </w:numPr>
        <w:spacing w:after="100" w:line="360"/>
        <w:ind w:left="720" w:hanging="360"/>
        <w:rPr>
          <w:rFonts w:ascii="Arial" w:cs="Arial" w:eastAsia="Arial" w:hAnsi="Arial"/>
          <w:sz w:val="24"/>
          <w:szCs w:val="24"/>
        </w:rPr>
      </w:pPr>
      <w:r>
        <w:t xml:space="preserve">Chemistry optimization challenges: likely bottlenecks (e.g., BBB penetrance, metabolic stability, selectivity)</w:t>
      </w:r>
    </w:p>
    <w:p>
      <w:pPr>
        <w:pStyle w:val="ListParagraph"/>
        <w:numPr>
          <w:ilvl w:val="0"/>
          <w:numId w:val="2"/>
        </w:numPr>
        <w:spacing w:after="100" w:line="360"/>
        <w:ind w:left="720" w:hanging="360"/>
        <w:rPr>
          <w:rFonts w:ascii="Arial" w:cs="Arial" w:eastAsia="Arial" w:hAnsi="Arial"/>
          <w:sz w:val="24"/>
          <w:szCs w:val="24"/>
        </w:rPr>
      </w:pPr>
      <w:r>
        <w:t xml:space="preserve">Predicted small-molecule PoS through preclinical: incorporation of hit-to-lead and lead-opt success rates (~30–50% typical)</w:t>
      </w:r>
    </w:p>
    <w:p>
      <w:pPr>
        <w:pStyle w:val="ListParagraph"/>
        <w:numPr>
          <w:ilvl w:val="0"/>
          <w:numId w:val="2"/>
        </w:numPr>
        <w:spacing w:after="100" w:line="360"/>
        <w:ind w:left="720" w:hanging="360"/>
        <w:rPr>
          <w:rFonts w:ascii="Arial" w:cs="Arial" w:eastAsia="Arial" w:hAnsi="Arial"/>
          <w:sz w:val="24"/>
          <w:szCs w:val="24"/>
        </w:rPr>
      </w:pPr>
      <w:r>
        <w:t xml:space="preserve">Key decisions: internal discovery vs. external licensing; investment required</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Small-molecule feasibility report: druggability_score, existing_inhibitors, estimated_discovery_timeline_months, primary_challenges, pos_preclinical_percent</w:t>
      </w:r>
    </w:p>
    <w:p>
      <w:pPr>
        <w:pStyle w:val="Heading2"/>
        <w:pStyle w:val="Heading2"/>
        <w:spacing w:after="200" w:before="200"/>
        <w:rPr>
          <w:rFonts w:ascii="Arial" w:cs="Arial" w:eastAsia="Arial" w:hAnsi="Arial"/>
          <w:b/>
          <w:bCs/>
          <w:sz w:val="28"/>
          <w:szCs w:val="28"/>
        </w:rPr>
      </w:pPr>
      <w:r>
        <w:t xml:space="preserve">Stage 3: ASO Development: Sequence Design, Chemistry, &amp; Delivery Feasibility</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Evaluate the feasibility and timelines for ASO development—covering target sequence selection, antisense chemistry optimization, and CNS delivery barriers—using established industry practices and regulatory precedents.</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Target gene: mRNA sequence, transcript variants, splice isoforms</w:t>
      </w:r>
    </w:p>
    <w:p>
      <w:pPr>
        <w:pStyle w:val="ListParagraph"/>
        <w:numPr>
          <w:ilvl w:val="0"/>
          <w:numId w:val="2"/>
        </w:numPr>
        <w:spacing w:after="100" w:line="360"/>
        <w:ind w:left="720" w:hanging="360"/>
        <w:rPr>
          <w:rFonts w:ascii="Arial" w:cs="Arial" w:eastAsia="Arial" w:hAnsi="Arial"/>
          <w:sz w:val="24"/>
          <w:szCs w:val="24"/>
        </w:rPr>
      </w:pPr>
      <w:r>
        <w:t xml:space="preserve">ASO chemistry options: gapmers (DNA-like), MOEs, PMOs, siRNAs, locked nucleic acids (LNAs)</w:t>
      </w:r>
    </w:p>
    <w:p>
      <w:pPr>
        <w:pStyle w:val="ListParagraph"/>
        <w:numPr>
          <w:ilvl w:val="0"/>
          <w:numId w:val="2"/>
        </w:numPr>
        <w:spacing w:after="100" w:line="360"/>
        <w:ind w:left="720" w:hanging="360"/>
        <w:rPr>
          <w:rFonts w:ascii="Arial" w:cs="Arial" w:eastAsia="Arial" w:hAnsi="Arial"/>
          <w:sz w:val="24"/>
          <w:szCs w:val="24"/>
        </w:rPr>
      </w:pPr>
      <w:r>
        <w:t xml:space="preserve">CNS delivery strategy: systemic with BBB penetrance, direct intrathecal/intracerebral, or brain-targeted formulations</w:t>
      </w:r>
    </w:p>
    <w:p>
      <w:pPr>
        <w:pStyle w:val="ListParagraph"/>
        <w:numPr>
          <w:ilvl w:val="0"/>
          <w:numId w:val="2"/>
        </w:numPr>
        <w:spacing w:after="100" w:line="360"/>
        <w:ind w:left="720" w:hanging="360"/>
        <w:rPr>
          <w:rFonts w:ascii="Arial" w:cs="Arial" w:eastAsia="Arial" w:hAnsi="Arial"/>
          <w:sz w:val="24"/>
          <w:szCs w:val="24"/>
        </w:rPr>
      </w:pPr>
      <w:r>
        <w:t xml:space="preserve">ASO precedent compounds: Spinraza, Ionis programs, FDA-approved ASO PoS benchmarks</w:t>
      </w:r>
    </w:p>
    <w:p>
      <w:pPr>
        <w:pStyle w:val="ListParagraph"/>
        <w:numPr>
          <w:ilvl w:val="0"/>
          <w:numId w:val="2"/>
        </w:numPr>
        <w:spacing w:after="100" w:line="360"/>
        <w:ind w:left="720" w:hanging="360"/>
        <w:rPr>
          <w:rFonts w:ascii="Arial" w:cs="Arial" w:eastAsia="Arial" w:hAnsi="Arial"/>
          <w:sz w:val="24"/>
          <w:szCs w:val="24"/>
        </w:rPr>
      </w:pPr>
      <w:r>
        <w:t xml:space="preserve">Quiver data: does ASO-mediated target knockdown rescue phenotype? (functional validation)</w:t>
      </w:r>
    </w:p>
    <w:p>
      <w:pPr>
        <w:pStyle w:val="ListParagraph"/>
        <w:numPr>
          <w:ilvl w:val="0"/>
          <w:numId w:val="2"/>
        </w:numPr>
        <w:spacing w:after="100" w:line="360"/>
        <w:ind w:left="720" w:hanging="360"/>
        <w:rPr>
          <w:rFonts w:ascii="Arial" w:cs="Arial" w:eastAsia="Arial" w:hAnsi="Arial"/>
          <w:sz w:val="24"/>
          <w:szCs w:val="24"/>
        </w:rPr>
      </w:pPr>
      <w:r>
        <w:t xml:space="preserve">Regulatory guidance: FDA guidance for ASO development, CMC requirements</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ASO Sequence Design (WAVE, Ionis proprietary tools): Predict optimal antisense sequences; assess binding affinity, off-target hybridization</w:t>
      </w:r>
    </w:p>
    <w:p>
      <w:pPr>
        <w:pStyle w:val="ListParagraph"/>
        <w:numPr>
          <w:ilvl w:val="0"/>
          <w:numId w:val="2"/>
        </w:numPr>
        <w:spacing w:after="100" w:line="360"/>
        <w:ind w:left="720" w:hanging="360"/>
        <w:rPr>
          <w:rFonts w:ascii="Arial" w:cs="Arial" w:eastAsia="Arial" w:hAnsi="Arial"/>
          <w:sz w:val="24"/>
          <w:szCs w:val="24"/>
        </w:rPr>
      </w:pPr>
      <w:r>
        <w:t xml:space="preserve">Chemistry Optimization (MOE, LNA variants): Evaluate potency, nuclease resistance, immunotoxicity potential for different chemistries</w:t>
      </w:r>
    </w:p>
    <w:p>
      <w:pPr>
        <w:pStyle w:val="ListParagraph"/>
        <w:numPr>
          <w:ilvl w:val="0"/>
          <w:numId w:val="2"/>
        </w:numPr>
        <w:spacing w:after="100" w:line="360"/>
        <w:ind w:left="720" w:hanging="360"/>
        <w:rPr>
          <w:rFonts w:ascii="Arial" w:cs="Arial" w:eastAsia="Arial" w:hAnsi="Arial"/>
          <w:sz w:val="24"/>
          <w:szCs w:val="24"/>
        </w:rPr>
      </w:pPr>
      <w:r>
        <w:t xml:space="preserve">Delivery Prediction Models: Estimate BBB penetrance for systemic dosing; assess intrathecal accessibility</w:t>
      </w:r>
    </w:p>
    <w:p>
      <w:pPr>
        <w:pStyle w:val="ListParagraph"/>
        <w:numPr>
          <w:ilvl w:val="0"/>
          <w:numId w:val="2"/>
        </w:numPr>
        <w:spacing w:after="100" w:line="360"/>
        <w:ind w:left="720" w:hanging="360"/>
        <w:rPr>
          <w:rFonts w:ascii="Arial" w:cs="Arial" w:eastAsia="Arial" w:hAnsi="Arial"/>
          <w:sz w:val="24"/>
          <w:szCs w:val="24"/>
        </w:rPr>
      </w:pPr>
      <w:r>
        <w:t xml:space="preserve">Off-Target Hybridization Analysis: Screen ASO candidate sequences for unintended mRNA hybridization; predict off-target effects</w:t>
      </w:r>
    </w:p>
    <w:p>
      <w:pPr>
        <w:pStyle w:val="ListParagraph"/>
        <w:numPr>
          <w:ilvl w:val="0"/>
          <w:numId w:val="2"/>
        </w:numPr>
        <w:spacing w:after="100" w:line="360"/>
        <w:ind w:left="720" w:hanging="360"/>
        <w:rPr>
          <w:rFonts w:ascii="Arial" w:cs="Arial" w:eastAsia="Arial" w:hAnsi="Arial"/>
          <w:sz w:val="24"/>
          <w:szCs w:val="24"/>
        </w:rPr>
      </w:pPr>
      <w:r>
        <w:t xml:space="preserve">CMC &amp; Manufacturing Assessment: Evaluate synthesis scalability, process robustness, quality attributes</w:t>
      </w:r>
    </w:p>
    <w:p>
      <w:pPr>
        <w:pStyle w:val="ListParagraph"/>
        <w:numPr>
          <w:ilvl w:val="0"/>
          <w:numId w:val="2"/>
        </w:numPr>
        <w:spacing w:after="100" w:line="360"/>
        <w:ind w:left="720" w:hanging="360"/>
        <w:rPr>
          <w:rFonts w:ascii="Arial" w:cs="Arial" w:eastAsia="Arial" w:hAnsi="Arial"/>
          <w:sz w:val="24"/>
          <w:szCs w:val="24"/>
        </w:rPr>
      </w:pPr>
      <w:r>
        <w:t xml:space="preserve">Regulatory Pathway Mapping: Align with FDA ASO guidance; identify required preclinical and IND-enabling studies</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What are the top 3 candidate ASO sequences targeting the gene mRNA?</w:t>
      </w:r>
    </w:p>
    <w:p>
      <w:pPr>
        <w:pStyle w:val="ListParagraph"/>
        <w:numPr>
          <w:ilvl w:val="0"/>
          <w:numId w:val="2"/>
        </w:numPr>
        <w:spacing w:after="100" w:line="360"/>
        <w:ind w:left="720" w:hanging="360"/>
        <w:rPr>
          <w:rFonts w:ascii="Arial" w:cs="Arial" w:eastAsia="Arial" w:hAnsi="Arial"/>
          <w:sz w:val="24"/>
          <w:szCs w:val="24"/>
        </w:rPr>
      </w:pPr>
      <w:r>
        <w:t xml:space="preserve">Which ASO chemistry (gapmer, MOE, LNA, etc.) balances potency and safety best?</w:t>
      </w:r>
    </w:p>
    <w:p>
      <w:pPr>
        <w:pStyle w:val="ListParagraph"/>
        <w:numPr>
          <w:ilvl w:val="0"/>
          <w:numId w:val="2"/>
        </w:numPr>
        <w:spacing w:after="100" w:line="360"/>
        <w:ind w:left="720" w:hanging="360"/>
        <w:rPr>
          <w:rFonts w:ascii="Arial" w:cs="Arial" w:eastAsia="Arial" w:hAnsi="Arial"/>
          <w:sz w:val="24"/>
          <w:szCs w:val="24"/>
        </w:rPr>
      </w:pPr>
      <w:r>
        <w:t xml:space="preserve">Is a systemically dosed ASO feasible for CNS penetrance, or does intrathecal dosing seem necessary?</w:t>
      </w:r>
    </w:p>
    <w:p>
      <w:pPr>
        <w:pStyle w:val="ListParagraph"/>
        <w:numPr>
          <w:ilvl w:val="0"/>
          <w:numId w:val="2"/>
        </w:numPr>
        <w:spacing w:after="100" w:line="360"/>
        <w:ind w:left="720" w:hanging="360"/>
        <w:rPr>
          <w:rFonts w:ascii="Arial" w:cs="Arial" w:eastAsia="Arial" w:hAnsi="Arial"/>
          <w:sz w:val="24"/>
          <w:szCs w:val="24"/>
        </w:rPr>
      </w:pPr>
      <w:r>
        <w:t xml:space="preserve">What is the off-target hybridization risk for the top candidate sequences?</w:t>
      </w:r>
    </w:p>
    <w:p>
      <w:pPr>
        <w:pStyle w:val="ListParagraph"/>
        <w:numPr>
          <w:ilvl w:val="0"/>
          <w:numId w:val="2"/>
        </w:numPr>
        <w:spacing w:after="100" w:line="360"/>
        <w:ind w:left="720" w:hanging="360"/>
        <w:rPr>
          <w:rFonts w:ascii="Arial" w:cs="Arial" w:eastAsia="Arial" w:hAnsi="Arial"/>
          <w:sz w:val="24"/>
          <w:szCs w:val="24"/>
        </w:rPr>
      </w:pPr>
      <w:r>
        <w:t xml:space="preserve">ASO development timeline estimate: 12–18 months to IND readiness?</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Top 3 candidate ASO sequences with potency predictions and off-target analysis</w:t>
      </w:r>
    </w:p>
    <w:p>
      <w:pPr>
        <w:pStyle w:val="ListParagraph"/>
        <w:numPr>
          <w:ilvl w:val="0"/>
          <w:numId w:val="2"/>
        </w:numPr>
        <w:spacing w:after="100" w:line="360"/>
        <w:ind w:left="720" w:hanging="360"/>
        <w:rPr>
          <w:rFonts w:ascii="Arial" w:cs="Arial" w:eastAsia="Arial" w:hAnsi="Arial"/>
          <w:sz w:val="24"/>
          <w:szCs w:val="24"/>
        </w:rPr>
      </w:pPr>
      <w:r>
        <w:t xml:space="preserve">Recommended ASO chemistry: rationale for choice (e.g., gapmers for RNase H, MOE for enhanced Km)</w:t>
      </w:r>
    </w:p>
    <w:p>
      <w:pPr>
        <w:pStyle w:val="ListParagraph"/>
        <w:numPr>
          <w:ilvl w:val="0"/>
          <w:numId w:val="2"/>
        </w:numPr>
        <w:spacing w:after="100" w:line="360"/>
        <w:ind w:left="720" w:hanging="360"/>
        <w:rPr>
          <w:rFonts w:ascii="Arial" w:cs="Arial" w:eastAsia="Arial" w:hAnsi="Arial"/>
          <w:sz w:val="24"/>
          <w:szCs w:val="24"/>
        </w:rPr>
      </w:pPr>
      <w:r>
        <w:t xml:space="preserve">Binding affinity predictions (Tm) for each candidate ASO</w:t>
      </w:r>
    </w:p>
    <w:p>
      <w:pPr>
        <w:pStyle w:val="ListParagraph"/>
        <w:numPr>
          <w:ilvl w:val="0"/>
          <w:numId w:val="2"/>
        </w:numPr>
        <w:spacing w:after="100" w:line="360"/>
        <w:ind w:left="720" w:hanging="360"/>
        <w:rPr>
          <w:rFonts w:ascii="Arial" w:cs="Arial" w:eastAsia="Arial" w:hAnsi="Arial"/>
          <w:sz w:val="24"/>
          <w:szCs w:val="24"/>
        </w:rPr>
      </w:pPr>
      <w:r>
        <w:t xml:space="preserve">Off-target hybridization assessment: predicted unintended mRNA targets and risk mitigation</w:t>
      </w:r>
    </w:p>
    <w:p>
      <w:pPr>
        <w:pStyle w:val="ListParagraph"/>
        <w:numPr>
          <w:ilvl w:val="0"/>
          <w:numId w:val="2"/>
        </w:numPr>
        <w:spacing w:after="100" w:line="360"/>
        <w:ind w:left="720" w:hanging="360"/>
        <w:rPr>
          <w:rFonts w:ascii="Arial" w:cs="Arial" w:eastAsia="Arial" w:hAnsi="Arial"/>
          <w:sz w:val="24"/>
          <w:szCs w:val="24"/>
        </w:rPr>
      </w:pPr>
      <w:r>
        <w:t xml:space="preserve">Delivery strategy recommendation: systemic vs. intrathecal; CNS penetrance estimate for lead ASO</w:t>
      </w:r>
    </w:p>
    <w:p>
      <w:pPr>
        <w:pStyle w:val="ListParagraph"/>
        <w:numPr>
          <w:ilvl w:val="0"/>
          <w:numId w:val="2"/>
        </w:numPr>
        <w:spacing w:after="100" w:line="360"/>
        <w:ind w:left="720" w:hanging="360"/>
        <w:rPr>
          <w:rFonts w:ascii="Arial" w:cs="Arial" w:eastAsia="Arial" w:hAnsi="Arial"/>
          <w:sz w:val="24"/>
          <w:szCs w:val="24"/>
        </w:rPr>
      </w:pPr>
      <w:r>
        <w:t xml:space="preserve">Manufacturing feasibility: synthesis scalability, purification challenges, quality attributes</w:t>
      </w:r>
    </w:p>
    <w:p>
      <w:pPr>
        <w:pStyle w:val="ListParagraph"/>
        <w:numPr>
          <w:ilvl w:val="0"/>
          <w:numId w:val="2"/>
        </w:numPr>
        <w:spacing w:after="100" w:line="360"/>
        <w:ind w:left="720" w:hanging="360"/>
        <w:rPr>
          <w:rFonts w:ascii="Arial" w:cs="Arial" w:eastAsia="Arial" w:hAnsi="Arial"/>
          <w:sz w:val="24"/>
          <w:szCs w:val="24"/>
        </w:rPr>
      </w:pPr>
      <w:r>
        <w:t xml:space="preserve">ASO development timeline: 12–18 months to IND, key milestones and dependencies</w:t>
      </w:r>
    </w:p>
    <w:p>
      <w:pPr>
        <w:pStyle w:val="ListParagraph"/>
        <w:numPr>
          <w:ilvl w:val="0"/>
          <w:numId w:val="2"/>
        </w:numPr>
        <w:spacing w:after="100" w:line="360"/>
        <w:ind w:left="720" w:hanging="360"/>
        <w:rPr>
          <w:rFonts w:ascii="Arial" w:cs="Arial" w:eastAsia="Arial" w:hAnsi="Arial"/>
          <w:sz w:val="24"/>
          <w:szCs w:val="24"/>
        </w:rPr>
      </w:pPr>
      <w:r>
        <w:t xml:space="preserve">Predicted ASO PoS through regulatory approval: incorporation of preclinical, IND, and clinical trial success rates (~25–35% typical for ASOs)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ASO development report: candidate_sequences_3, recommended_chemistry, binding_affinity_tm, off_target_count, delivery_strategy, aso_pos_percent</w:t>
      </w:r>
    </w:p>
    <w:p>
      <w:pPr>
        <w:pStyle w:val="Heading2"/>
        <w:pStyle w:val="Heading2"/>
        <w:spacing w:after="200" w:before="200"/>
        <w:rPr>
          <w:rFonts w:ascii="Arial" w:cs="Arial" w:eastAsia="Arial" w:hAnsi="Arial"/>
          <w:b/>
          <w:bCs/>
          <w:sz w:val="28"/>
          <w:szCs w:val="28"/>
        </w:rPr>
      </w:pPr>
      <w:r>
        <w:t xml:space="preserve">Stage 4: Quiver Functional Comparison: Small-Molecule vs. ASO Rescue Efficacy</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Experimentally compare small-molecule and ASO efficacy for phenotype rescue using Quiver's high-throughput electrophysiology platform—directly measuring potency, selectivity, and functional outcomes for both modalities.</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Lead small-molecule inhibitor(s) identified in Stage 2 or existing tool compounds targeting the gene</w:t>
      </w:r>
    </w:p>
    <w:p>
      <w:pPr>
        <w:pStyle w:val="ListParagraph"/>
        <w:numPr>
          <w:ilvl w:val="0"/>
          <w:numId w:val="2"/>
        </w:numPr>
        <w:spacing w:after="100" w:line="360"/>
        <w:ind w:left="720" w:hanging="360"/>
        <w:rPr>
          <w:rFonts w:ascii="Arial" w:cs="Arial" w:eastAsia="Arial" w:hAnsi="Arial"/>
          <w:sz w:val="24"/>
          <w:szCs w:val="24"/>
        </w:rPr>
      </w:pPr>
      <w:r>
        <w:t xml:space="preserve">Lead ASO sequence(s) from Stage 3 or existing ASO if available</w:t>
      </w:r>
    </w:p>
    <w:p>
      <w:pPr>
        <w:pStyle w:val="ListParagraph"/>
        <w:numPr>
          <w:ilvl w:val="0"/>
          <w:numId w:val="2"/>
        </w:numPr>
        <w:spacing w:after="100" w:line="360"/>
        <w:ind w:left="720" w:hanging="360"/>
        <w:rPr>
          <w:rFonts w:ascii="Arial" w:cs="Arial" w:eastAsia="Arial" w:hAnsi="Arial"/>
          <w:sz w:val="24"/>
          <w:szCs w:val="24"/>
        </w:rPr>
      </w:pPr>
      <w:r>
        <w:t xml:space="preserve">Quiver human cortical neuron model, including disease-relevant perturbation line if available</w:t>
      </w:r>
    </w:p>
    <w:p>
      <w:pPr>
        <w:pStyle w:val="ListParagraph"/>
        <w:numPr>
          <w:ilvl w:val="0"/>
          <w:numId w:val="2"/>
        </w:numPr>
        <w:spacing w:after="100" w:line="360"/>
        <w:ind w:left="720" w:hanging="360"/>
        <w:rPr>
          <w:rFonts w:ascii="Arial" w:cs="Arial" w:eastAsia="Arial" w:hAnsi="Arial"/>
          <w:sz w:val="24"/>
          <w:szCs w:val="24"/>
        </w:rPr>
      </w:pPr>
      <w:r>
        <w:t xml:space="preserve">Positive control compounds: known phenotype rescuers for efficacy benchmarking</w:t>
      </w:r>
    </w:p>
    <w:p>
      <w:pPr>
        <w:pStyle w:val="ListParagraph"/>
        <w:numPr>
          <w:ilvl w:val="0"/>
          <w:numId w:val="2"/>
        </w:numPr>
        <w:spacing w:after="100" w:line="360"/>
        <w:ind w:left="720" w:hanging="360"/>
        <w:rPr>
          <w:rFonts w:ascii="Arial" w:cs="Arial" w:eastAsia="Arial" w:hAnsi="Arial"/>
          <w:sz w:val="24"/>
          <w:szCs w:val="24"/>
        </w:rPr>
      </w:pPr>
      <w:r>
        <w:t xml:space="preserve">Assay protocols: current-clamp, voltage-clamp, network-level recording configurations</w:t>
      </w:r>
    </w:p>
    <w:p>
      <w:pPr>
        <w:pStyle w:val="ListParagraph"/>
        <w:numPr>
          <w:ilvl w:val="0"/>
          <w:numId w:val="2"/>
        </w:numPr>
        <w:spacing w:after="100" w:line="360"/>
        <w:ind w:left="720" w:hanging="360"/>
        <w:rPr>
          <w:rFonts w:ascii="Arial" w:cs="Arial" w:eastAsia="Arial" w:hAnsi="Arial"/>
          <w:sz w:val="24"/>
          <w:szCs w:val="24"/>
        </w:rPr>
      </w:pPr>
      <w:r>
        <w:t xml:space="preserve">Target knockdown confirmation: qRT-PCR, western blot, or immunofluorescence</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Quiver High-Throughput Electrophysiology: Parallel dose-response testing of small-molecule inhibitor and ASO; measure phenotype rescue</w:t>
      </w:r>
    </w:p>
    <w:p>
      <w:pPr>
        <w:pStyle w:val="ListParagraph"/>
        <w:numPr>
          <w:ilvl w:val="0"/>
          <w:numId w:val="2"/>
        </w:numPr>
        <w:spacing w:after="100" w:line="360"/>
        <w:ind w:left="720" w:hanging="360"/>
        <w:rPr>
          <w:rFonts w:ascii="Arial" w:cs="Arial" w:eastAsia="Arial" w:hAnsi="Arial"/>
          <w:sz w:val="24"/>
          <w:szCs w:val="24"/>
        </w:rPr>
      </w:pPr>
      <w:r>
        <w:t xml:space="preserve">Gene Expression Quantification (qRT-PCR): Confirm target mRNA knockdown by ASO; confirm target protein modulation by small molecule</w:t>
      </w:r>
    </w:p>
    <w:p>
      <w:pPr>
        <w:pStyle w:val="ListParagraph"/>
        <w:numPr>
          <w:ilvl w:val="0"/>
          <w:numId w:val="2"/>
        </w:numPr>
        <w:spacing w:after="100" w:line="360"/>
        <w:ind w:left="720" w:hanging="360"/>
        <w:rPr>
          <w:rFonts w:ascii="Arial" w:cs="Arial" w:eastAsia="Arial" w:hAnsi="Arial"/>
          <w:sz w:val="24"/>
          <w:szCs w:val="24"/>
        </w:rPr>
      </w:pPr>
      <w:r>
        <w:t xml:space="preserve">Protein Level Assessment (Western blot, flow): Quantify target protein reduction at doses corresponding to phenotype rescue</w:t>
      </w:r>
    </w:p>
    <w:p>
      <w:pPr>
        <w:pStyle w:val="ListParagraph"/>
        <w:numPr>
          <w:ilvl w:val="0"/>
          <w:numId w:val="2"/>
        </w:numPr>
        <w:spacing w:after="100" w:line="360"/>
        <w:ind w:left="720" w:hanging="360"/>
        <w:rPr>
          <w:rFonts w:ascii="Arial" w:cs="Arial" w:eastAsia="Arial" w:hAnsi="Arial"/>
          <w:sz w:val="24"/>
          <w:szCs w:val="24"/>
        </w:rPr>
      </w:pPr>
      <w:r>
        <w:t xml:space="preserve">Off-Target Assessment: Measure effects on related genes or phenotypes; assess selectivity</w:t>
      </w:r>
    </w:p>
    <w:p>
      <w:pPr>
        <w:pStyle w:val="ListParagraph"/>
        <w:numPr>
          <w:ilvl w:val="0"/>
          <w:numId w:val="2"/>
        </w:numPr>
        <w:spacing w:after="100" w:line="360"/>
        <w:ind w:left="720" w:hanging="360"/>
        <w:rPr>
          <w:rFonts w:ascii="Arial" w:cs="Arial" w:eastAsia="Arial" w:hAnsi="Arial"/>
          <w:sz w:val="24"/>
          <w:szCs w:val="24"/>
        </w:rPr>
      </w:pPr>
      <w:r>
        <w:t xml:space="preserve">Toxicity Profiling: Cell viability, apoptosis markers at efficacious and supra-efficacious doses</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At what concentration/dose does the small-molecule inhibitor achieve 50% target protein inhibition (IC50)?</w:t>
      </w:r>
    </w:p>
    <w:p>
      <w:pPr>
        <w:pStyle w:val="ListParagraph"/>
        <w:numPr>
          <w:ilvl w:val="0"/>
          <w:numId w:val="2"/>
        </w:numPr>
        <w:spacing w:after="100" w:line="360"/>
        <w:ind w:left="720" w:hanging="360"/>
        <w:rPr>
          <w:rFonts w:ascii="Arial" w:cs="Arial" w:eastAsia="Arial" w:hAnsi="Arial"/>
          <w:sz w:val="24"/>
          <w:szCs w:val="24"/>
        </w:rPr>
      </w:pPr>
      <w:r>
        <w:t xml:space="preserve">At what ASO concentration/dose does 50% target mRNA knockdown occur (EC50)?</w:t>
      </w:r>
    </w:p>
    <w:p>
      <w:pPr>
        <w:pStyle w:val="ListParagraph"/>
        <w:numPr>
          <w:ilvl w:val="0"/>
          <w:numId w:val="2"/>
        </w:numPr>
        <w:spacing w:after="100" w:line="360"/>
        <w:ind w:left="720" w:hanging="360"/>
        <w:rPr>
          <w:rFonts w:ascii="Arial" w:cs="Arial" w:eastAsia="Arial" w:hAnsi="Arial"/>
          <w:sz w:val="24"/>
          <w:szCs w:val="24"/>
        </w:rPr>
      </w:pPr>
      <w:r>
        <w:t xml:space="preserve">Which modality produces more robust phenotype rescue at equipotent target occupancy?</w:t>
      </w:r>
    </w:p>
    <w:p>
      <w:pPr>
        <w:pStyle w:val="ListParagraph"/>
        <w:numPr>
          <w:ilvl w:val="0"/>
          <w:numId w:val="2"/>
        </w:numPr>
        <w:spacing w:after="100" w:line="360"/>
        <w:ind w:left="720" w:hanging="360"/>
        <w:rPr>
          <w:rFonts w:ascii="Arial" w:cs="Arial" w:eastAsia="Arial" w:hAnsi="Arial"/>
          <w:sz w:val="24"/>
          <w:szCs w:val="24"/>
        </w:rPr>
      </w:pPr>
      <w:r>
        <w:t xml:space="preserve">Are there phenotypic differences in rescue profile (e.g., small molecule partial phenotype rescue vs. ASO complete rescue)?</w:t>
      </w:r>
    </w:p>
    <w:p>
      <w:pPr>
        <w:pStyle w:val="ListParagraph"/>
        <w:numPr>
          <w:ilvl w:val="0"/>
          <w:numId w:val="2"/>
        </w:numPr>
        <w:spacing w:after="100" w:line="360"/>
        <w:ind w:left="720" w:hanging="360"/>
        <w:rPr>
          <w:rFonts w:ascii="Arial" w:cs="Arial" w:eastAsia="Arial" w:hAnsi="Arial"/>
          <w:sz w:val="24"/>
          <w:szCs w:val="24"/>
        </w:rPr>
      </w:pPr>
      <w:r>
        <w:t xml:space="preserve">Which modality shows superior selectivity and fewer off-target effects?</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Small-molecule potency (IC50 for target protein inhibition in Quiver cells)</w:t>
      </w:r>
    </w:p>
    <w:p>
      <w:pPr>
        <w:pStyle w:val="ListParagraph"/>
        <w:numPr>
          <w:ilvl w:val="0"/>
          <w:numId w:val="2"/>
        </w:numPr>
        <w:spacing w:after="100" w:line="360"/>
        <w:ind w:left="720" w:hanging="360"/>
        <w:rPr>
          <w:rFonts w:ascii="Arial" w:cs="Arial" w:eastAsia="Arial" w:hAnsi="Arial"/>
          <w:sz w:val="24"/>
          <w:szCs w:val="24"/>
        </w:rPr>
      </w:pPr>
      <w:r>
        <w:t xml:space="preserve">ASO potency (EC50 for mRNA knockdown; dose-response for phenotype rescue)</w:t>
      </w:r>
    </w:p>
    <w:p>
      <w:pPr>
        <w:pStyle w:val="ListParagraph"/>
        <w:numPr>
          <w:ilvl w:val="0"/>
          <w:numId w:val="2"/>
        </w:numPr>
        <w:spacing w:after="100" w:line="360"/>
        <w:ind w:left="720" w:hanging="360"/>
        <w:rPr>
          <w:rFonts w:ascii="Arial" w:cs="Arial" w:eastAsia="Arial" w:hAnsi="Arial"/>
          <w:sz w:val="24"/>
          <w:szCs w:val="24"/>
        </w:rPr>
      </w:pPr>
      <w:r>
        <w:t xml:space="preserve">Phenotype rescue magnitude: % reversal of disease signature at IC50/EC50 for each modality</w:t>
      </w:r>
    </w:p>
    <w:p>
      <w:pPr>
        <w:pStyle w:val="ListParagraph"/>
        <w:numPr>
          <w:ilvl w:val="0"/>
          <w:numId w:val="2"/>
        </w:numPr>
        <w:spacing w:after="100" w:line="360"/>
        <w:ind w:left="720" w:hanging="360"/>
        <w:rPr>
          <w:rFonts w:ascii="Arial" w:cs="Arial" w:eastAsia="Arial" w:hAnsi="Arial"/>
          <w:sz w:val="24"/>
          <w:szCs w:val="24"/>
        </w:rPr>
      </w:pPr>
      <w:r>
        <w:t xml:space="preserve">Target knockdown: degree of mRNA/protein reduction at efficacious compound doses</w:t>
      </w:r>
    </w:p>
    <w:p>
      <w:pPr>
        <w:pStyle w:val="ListParagraph"/>
        <w:numPr>
          <w:ilvl w:val="0"/>
          <w:numId w:val="2"/>
        </w:numPr>
        <w:spacing w:after="100" w:line="360"/>
        <w:ind w:left="720" w:hanging="360"/>
        <w:rPr>
          <w:rFonts w:ascii="Arial" w:cs="Arial" w:eastAsia="Arial" w:hAnsi="Arial"/>
          <w:sz w:val="24"/>
          <w:szCs w:val="24"/>
        </w:rPr>
      </w:pPr>
      <w:r>
        <w:t xml:space="preserve">Selectivity comparison: off-target effects or off-phenotype effects at efficacious doses</w:t>
      </w:r>
    </w:p>
    <w:p>
      <w:pPr>
        <w:pStyle w:val="ListParagraph"/>
        <w:numPr>
          <w:ilvl w:val="0"/>
          <w:numId w:val="2"/>
        </w:numPr>
        <w:spacing w:after="100" w:line="360"/>
        <w:ind w:left="720" w:hanging="360"/>
        <w:rPr>
          <w:rFonts w:ascii="Arial" w:cs="Arial" w:eastAsia="Arial" w:hAnsi="Arial"/>
          <w:sz w:val="24"/>
          <w:szCs w:val="24"/>
        </w:rPr>
      </w:pPr>
      <w:r>
        <w:t xml:space="preserve">Toxicity profile: IC/EC concentrations at which toxicity emerges (selectivity index)</w:t>
      </w:r>
    </w:p>
    <w:p>
      <w:pPr>
        <w:pStyle w:val="ListParagraph"/>
        <w:numPr>
          <w:ilvl w:val="0"/>
          <w:numId w:val="2"/>
        </w:numPr>
        <w:spacing w:after="100" w:line="360"/>
        <w:ind w:left="720" w:hanging="360"/>
        <w:rPr>
          <w:rFonts w:ascii="Arial" w:cs="Arial" w:eastAsia="Arial" w:hAnsi="Arial"/>
          <w:sz w:val="24"/>
          <w:szCs w:val="24"/>
        </w:rPr>
      </w:pPr>
      <w:r>
        <w:t xml:space="preserve">Functional head-to-head comparison: which modality achieves superior phenotype rescue with better selectivity?</w:t>
      </w:r>
    </w:p>
    <w:p>
      <w:pPr>
        <w:pStyle w:val="ListParagraph"/>
        <w:numPr>
          <w:ilvl w:val="0"/>
          <w:numId w:val="2"/>
        </w:numPr>
        <w:spacing w:after="100" w:line="360"/>
        <w:ind w:left="720" w:hanging="360"/>
        <w:rPr>
          <w:rFonts w:ascii="Arial" w:cs="Arial" w:eastAsia="Arial" w:hAnsi="Arial"/>
          <w:sz w:val="24"/>
          <w:szCs w:val="24"/>
        </w:rPr>
      </w:pPr>
      <w:r>
        <w:t xml:space="preserve">Recommended lead candidate (small molecule vs. ASO) based on efficacy, potency, and selectivity</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Functional comparison report: small_molecule_ic50, aso_ec50, phenotype_rescue_sm_percent, phenotype_rescue_aso_percent, selectivity_index_sm, selectivity_index_aso, recommendation</w:t>
      </w:r>
    </w:p>
    <w:p>
      <w:pPr>
        <w:pStyle w:val="Heading2"/>
        <w:pStyle w:val="Heading2"/>
        <w:spacing w:after="200" w:before="200"/>
        <w:rPr>
          <w:rFonts w:ascii="Arial" w:cs="Arial" w:eastAsia="Arial" w:hAnsi="Arial"/>
          <w:b/>
          <w:bCs/>
          <w:sz w:val="28"/>
          <w:szCs w:val="28"/>
        </w:rPr>
      </w:pPr>
      <w:r>
        <w:t xml:space="preserve">Stage 5: Probability of Success (PoS) Calculation: Integrated Historical &amp; Target-Specific Factors</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Compute integrated PoS estimates for small-molecule and ASO pathways—combining disease validation strength from Stage 1, modality-specific preclinical success rates, clinical trial outcome data, and competitive landscape factors.</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Target validation score from Stage 1 (genetic evidence, Quiver rescue potential)</w:t>
      </w:r>
    </w:p>
    <w:p>
      <w:pPr>
        <w:pStyle w:val="ListParagraph"/>
        <w:numPr>
          <w:ilvl w:val="0"/>
          <w:numId w:val="2"/>
        </w:numPr>
        <w:spacing w:after="100" w:line="360"/>
        <w:ind w:left="720" w:hanging="360"/>
        <w:rPr>
          <w:rFonts w:ascii="Arial" w:cs="Arial" w:eastAsia="Arial" w:hAnsi="Arial"/>
          <w:sz w:val="24"/>
          <w:szCs w:val="24"/>
        </w:rPr>
      </w:pPr>
      <w:r>
        <w:t xml:space="preserve">Small-molecule chemistry feasibility and PoS estimates from Stage 2</w:t>
      </w:r>
    </w:p>
    <w:p>
      <w:pPr>
        <w:pStyle w:val="ListParagraph"/>
        <w:numPr>
          <w:ilvl w:val="0"/>
          <w:numId w:val="2"/>
        </w:numPr>
        <w:spacing w:after="100" w:line="360"/>
        <w:ind w:left="720" w:hanging="360"/>
        <w:rPr>
          <w:rFonts w:ascii="Arial" w:cs="Arial" w:eastAsia="Arial" w:hAnsi="Arial"/>
          <w:sz w:val="24"/>
          <w:szCs w:val="24"/>
        </w:rPr>
      </w:pPr>
      <w:r>
        <w:t xml:space="preserve">ASO development feasibility and PoS estimates from Stage 3</w:t>
      </w:r>
    </w:p>
    <w:p>
      <w:pPr>
        <w:pStyle w:val="ListParagraph"/>
        <w:numPr>
          <w:ilvl w:val="0"/>
          <w:numId w:val="2"/>
        </w:numPr>
        <w:spacing w:after="100" w:line="360"/>
        <w:ind w:left="720" w:hanging="360"/>
        <w:rPr>
          <w:rFonts w:ascii="Arial" w:cs="Arial" w:eastAsia="Arial" w:hAnsi="Arial"/>
          <w:sz w:val="24"/>
          <w:szCs w:val="24"/>
        </w:rPr>
      </w:pPr>
      <w:r>
        <w:t xml:space="preserve">Quiver functional comparison results from Stage 4: efficacy, selectivity, modality ranking</w:t>
      </w:r>
    </w:p>
    <w:p>
      <w:pPr>
        <w:pStyle w:val="ListParagraph"/>
        <w:numPr>
          <w:ilvl w:val="0"/>
          <w:numId w:val="2"/>
        </w:numPr>
        <w:spacing w:after="100" w:line="360"/>
        <w:ind w:left="720" w:hanging="360"/>
        <w:rPr>
          <w:rFonts w:ascii="Arial" w:cs="Arial" w:eastAsia="Arial" w:hAnsi="Arial"/>
          <w:sz w:val="24"/>
          <w:szCs w:val="24"/>
        </w:rPr>
      </w:pPr>
      <w:r>
        <w:t xml:space="preserve">Industry benchmarks: historical PoS data for small molecules and ASOs in comparable indications</w:t>
      </w:r>
    </w:p>
    <w:p>
      <w:pPr>
        <w:pStyle w:val="ListParagraph"/>
        <w:numPr>
          <w:ilvl w:val="0"/>
          <w:numId w:val="2"/>
        </w:numPr>
        <w:spacing w:after="100" w:line="360"/>
        <w:ind w:left="720" w:hanging="360"/>
        <w:rPr>
          <w:rFonts w:ascii="Arial" w:cs="Arial" w:eastAsia="Arial" w:hAnsi="Arial"/>
          <w:sz w:val="24"/>
          <w:szCs w:val="24"/>
        </w:rPr>
      </w:pPr>
      <w:r>
        <w:t xml:space="preserve">Competitive landscape: number of competing programs, first-mover advantage/disadvantage</w:t>
      </w:r>
    </w:p>
    <w:p>
      <w:pPr>
        <w:pStyle w:val="ListParagraph"/>
        <w:numPr>
          <w:ilvl w:val="0"/>
          <w:numId w:val="2"/>
        </w:numPr>
        <w:spacing w:after="100" w:line="360"/>
        <w:ind w:left="720" w:hanging="360"/>
        <w:rPr>
          <w:rFonts w:ascii="Arial" w:cs="Arial" w:eastAsia="Arial" w:hAnsi="Arial"/>
          <w:sz w:val="24"/>
          <w:szCs w:val="24"/>
        </w:rPr>
      </w:pPr>
      <w:r>
        <w:t xml:space="preserve">Regulatory pathway: anticipated trial design complexity, endpoint selection</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PoS Calculation Framework (Additive or Bayesian): Integrate preclinical validation, modality-specific success rates, and clinical data</w:t>
      </w:r>
    </w:p>
    <w:p>
      <w:pPr>
        <w:pStyle w:val="ListParagraph"/>
        <w:numPr>
          <w:ilvl w:val="0"/>
          <w:numId w:val="2"/>
        </w:numPr>
        <w:spacing w:after="100" w:line="360"/>
        <w:ind w:left="720" w:hanging="360"/>
        <w:rPr>
          <w:rFonts w:ascii="Arial" w:cs="Arial" w:eastAsia="Arial" w:hAnsi="Arial"/>
          <w:sz w:val="24"/>
          <w:szCs w:val="24"/>
        </w:rPr>
      </w:pPr>
      <w:r>
        <w:t xml:space="preserve">Industry Benchmark Database (Tufts, JAMA): Retrieve historical PoS for small molecules and ASOs at each development stage</w:t>
      </w:r>
    </w:p>
    <w:p>
      <w:pPr>
        <w:pStyle w:val="ListParagraph"/>
        <w:numPr>
          <w:ilvl w:val="0"/>
          <w:numId w:val="2"/>
        </w:numPr>
        <w:spacing w:after="100" w:line="360"/>
        <w:ind w:left="720" w:hanging="360"/>
        <w:rPr>
          <w:rFonts w:ascii="Arial" w:cs="Arial" w:eastAsia="Arial" w:hAnsi="Arial"/>
          <w:sz w:val="24"/>
          <w:szCs w:val="24"/>
        </w:rPr>
      </w:pPr>
      <w:r>
        <w:t xml:space="preserve">Scenario Analysis (Deterministic &amp; Stochastic): Model PoS under best-case, base-case, and worst-case assumptions</w:t>
      </w:r>
    </w:p>
    <w:p>
      <w:pPr>
        <w:pStyle w:val="ListParagraph"/>
        <w:numPr>
          <w:ilvl w:val="0"/>
          <w:numId w:val="2"/>
        </w:numPr>
        <w:spacing w:after="100" w:line="360"/>
        <w:ind w:left="720" w:hanging="360"/>
        <w:rPr>
          <w:rFonts w:ascii="Arial" w:cs="Arial" w:eastAsia="Arial" w:hAnsi="Arial"/>
          <w:sz w:val="24"/>
          <w:szCs w:val="24"/>
        </w:rPr>
      </w:pPr>
      <w:r>
        <w:t xml:space="preserve">Sensitivity Analysis: Identify which factors most drive PoS; highlight key decision points and information gaps</w:t>
      </w:r>
    </w:p>
    <w:p>
      <w:pPr>
        <w:pStyle w:val="ListParagraph"/>
        <w:numPr>
          <w:ilvl w:val="0"/>
          <w:numId w:val="2"/>
        </w:numPr>
        <w:spacing w:after="100" w:line="360"/>
        <w:ind w:left="720" w:hanging="360"/>
        <w:rPr>
          <w:rFonts w:ascii="Arial" w:cs="Arial" w:eastAsia="Arial" w:hAnsi="Arial"/>
          <w:sz w:val="24"/>
          <w:szCs w:val="24"/>
        </w:rPr>
      </w:pPr>
      <w:r>
        <w:t xml:space="preserve">Monte Carlo Simulation: Generate confidence intervals for PoS estimates; assess robustness to parameter uncertainty</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What is the baseline PoS for a small-molecule program in this indication (industry average)?</w:t>
      </w:r>
    </w:p>
    <w:p>
      <w:pPr>
        <w:pStyle w:val="ListParagraph"/>
        <w:numPr>
          <w:ilvl w:val="0"/>
          <w:numId w:val="2"/>
        </w:numPr>
        <w:spacing w:after="100" w:line="360"/>
        <w:ind w:left="720" w:hanging="360"/>
        <w:rPr>
          <w:rFonts w:ascii="Arial" w:cs="Arial" w:eastAsia="Arial" w:hAnsi="Arial"/>
          <w:sz w:val="24"/>
          <w:szCs w:val="24"/>
        </w:rPr>
      </w:pPr>
      <w:r>
        <w:t xml:space="preserve">What is the baseline PoS for an ASO program (typically lower pre-clinically, but similar post-IND)?</w:t>
      </w:r>
    </w:p>
    <w:p>
      <w:pPr>
        <w:pStyle w:val="ListParagraph"/>
        <w:numPr>
          <w:ilvl w:val="0"/>
          <w:numId w:val="2"/>
        </w:numPr>
        <w:spacing w:after="100" w:line="360"/>
        <w:ind w:left="720" w:hanging="360"/>
        <w:rPr>
          <w:rFonts w:ascii="Arial" w:cs="Arial" w:eastAsia="Arial" w:hAnsi="Arial"/>
          <w:sz w:val="24"/>
          <w:szCs w:val="24"/>
        </w:rPr>
      </w:pPr>
      <w:r>
        <w:t xml:space="preserve">How do Quiver functional validation results modulate PoS?</w:t>
      </w:r>
    </w:p>
    <w:p>
      <w:pPr>
        <w:pStyle w:val="ListParagraph"/>
        <w:numPr>
          <w:ilvl w:val="0"/>
          <w:numId w:val="2"/>
        </w:numPr>
        <w:spacing w:after="100" w:line="360"/>
        <w:ind w:left="720" w:hanging="360"/>
        <w:rPr>
          <w:rFonts w:ascii="Arial" w:cs="Arial" w:eastAsia="Arial" w:hAnsi="Arial"/>
          <w:sz w:val="24"/>
          <w:szCs w:val="24"/>
        </w:rPr>
      </w:pPr>
      <w:r>
        <w:t xml:space="preserve">Which program (small molecule vs. ASO) has higher PoS at each development stage?</w:t>
      </w:r>
    </w:p>
    <w:p>
      <w:pPr>
        <w:pStyle w:val="ListParagraph"/>
        <w:numPr>
          <w:ilvl w:val="0"/>
          <w:numId w:val="2"/>
        </w:numPr>
        <w:spacing w:after="100" w:line="360"/>
        <w:ind w:left="720" w:hanging="360"/>
        <w:rPr>
          <w:rFonts w:ascii="Arial" w:cs="Arial" w:eastAsia="Arial" w:hAnsi="Arial"/>
          <w:sz w:val="24"/>
          <w:szCs w:val="24"/>
        </w:rPr>
      </w:pPr>
      <w:r>
        <w:t xml:space="preserve">What are the high-impact decision points where additional data could improve PoS?</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PoS estimates for small-molecule program: preclinical → IND → Phase 1 → Phase 2 → Phase 3 → approval</w:t>
      </w:r>
    </w:p>
    <w:p>
      <w:pPr>
        <w:pStyle w:val="ListParagraph"/>
        <w:numPr>
          <w:ilvl w:val="0"/>
          <w:numId w:val="2"/>
        </w:numPr>
        <w:spacing w:after="100" w:line="360"/>
        <w:ind w:left="720" w:hanging="360"/>
        <w:rPr>
          <w:rFonts w:ascii="Arial" w:cs="Arial" w:eastAsia="Arial" w:hAnsi="Arial"/>
          <w:sz w:val="24"/>
          <w:szCs w:val="24"/>
        </w:rPr>
      </w:pPr>
      <w:r>
        <w:t xml:space="preserve">PoS estimates for ASO program: preclinical → IND → Phase 1 → Phase 2 → Phase 3 → approval</w:t>
      </w:r>
    </w:p>
    <w:p>
      <w:pPr>
        <w:pStyle w:val="ListParagraph"/>
        <w:numPr>
          <w:ilvl w:val="0"/>
          <w:numId w:val="2"/>
        </w:numPr>
        <w:spacing w:after="100" w:line="360"/>
        <w:ind w:left="720" w:hanging="360"/>
        <w:rPr>
          <w:rFonts w:ascii="Arial" w:cs="Arial" w:eastAsia="Arial" w:hAnsi="Arial"/>
          <w:sz w:val="24"/>
          <w:szCs w:val="24"/>
        </w:rPr>
      </w:pPr>
      <w:r>
        <w:t xml:space="preserve">Overall PoS to approval: small molecule vs. ASO</w:t>
      </w:r>
    </w:p>
    <w:p>
      <w:pPr>
        <w:pStyle w:val="ListParagraph"/>
        <w:numPr>
          <w:ilvl w:val="0"/>
          <w:numId w:val="2"/>
        </w:numPr>
        <w:spacing w:after="100" w:line="360"/>
        <w:ind w:left="720" w:hanging="360"/>
        <w:rPr>
          <w:rFonts w:ascii="Arial" w:cs="Arial" w:eastAsia="Arial" w:hAnsi="Arial"/>
          <w:sz w:val="24"/>
          <w:szCs w:val="24"/>
        </w:rPr>
      </w:pPr>
      <w:r>
        <w:t xml:space="preserve">PoS comparison at key decision gates: which modality has superior cumulative PoS?</w:t>
      </w:r>
    </w:p>
    <w:p>
      <w:pPr>
        <w:pStyle w:val="ListParagraph"/>
        <w:numPr>
          <w:ilvl w:val="0"/>
          <w:numId w:val="2"/>
        </w:numPr>
        <w:spacing w:after="100" w:line="360"/>
        <w:ind w:left="720" w:hanging="360"/>
        <w:rPr>
          <w:rFonts w:ascii="Arial" w:cs="Arial" w:eastAsia="Arial" w:hAnsi="Arial"/>
          <w:sz w:val="24"/>
          <w:szCs w:val="24"/>
        </w:rPr>
      </w:pPr>
      <w:r>
        <w:t xml:space="preserve">Sensitivity analysis: which parameters most impact PoS (e.g., efficacy assumptions, competitive risk)?</w:t>
      </w:r>
    </w:p>
    <w:p>
      <w:pPr>
        <w:pStyle w:val="ListParagraph"/>
        <w:numPr>
          <w:ilvl w:val="0"/>
          <w:numId w:val="2"/>
        </w:numPr>
        <w:spacing w:after="100" w:line="360"/>
        <w:ind w:left="720" w:hanging="360"/>
        <w:rPr>
          <w:rFonts w:ascii="Arial" w:cs="Arial" w:eastAsia="Arial" w:hAnsi="Arial"/>
          <w:sz w:val="24"/>
          <w:szCs w:val="24"/>
        </w:rPr>
      </w:pPr>
      <w:r>
        <w:t xml:space="preserve">Scenario analysis: PoS under best-case and worst-case assumptions</w:t>
      </w:r>
    </w:p>
    <w:p>
      <w:pPr>
        <w:pStyle w:val="ListParagraph"/>
        <w:numPr>
          <w:ilvl w:val="0"/>
          <w:numId w:val="2"/>
        </w:numPr>
        <w:spacing w:after="100" w:line="360"/>
        <w:ind w:left="720" w:hanging="360"/>
        <w:rPr>
          <w:rFonts w:ascii="Arial" w:cs="Arial" w:eastAsia="Arial" w:hAnsi="Arial"/>
          <w:sz w:val="24"/>
          <w:szCs w:val="24"/>
        </w:rPr>
      </w:pPr>
      <w:r>
        <w:t xml:space="preserve">Information gaps and recommended experiments to improve PoS estimates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PoS calculation report: sm_pos_to_approval_percent, aso_pos_to_approval_percent, sensitivity_analysis, high_impact_parameters</w:t>
      </w:r>
    </w:p>
    <w:p>
      <w:pPr>
        <w:pStyle w:val="Heading2"/>
        <w:pStyle w:val="Heading2"/>
        <w:spacing w:after="200" w:before="200"/>
        <w:rPr>
          <w:rFonts w:ascii="Arial" w:cs="Arial" w:eastAsia="Arial" w:hAnsi="Arial"/>
          <w:b/>
          <w:bCs/>
          <w:sz w:val="28"/>
          <w:szCs w:val="28"/>
        </w:rPr>
      </w:pPr>
      <w:r>
        <w:t xml:space="preserve">Stage 6: Risk-Adjusted Net Present Value (rNPV) Modeling &amp; Go/No-Go Recommendation</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Compute risk-adjusted net present value (rNPV) for small-molecule and ASO programs—incorporating development costs, timelines, probability of success, and commercial value potential—to enable quantitative go/no-go decision-making and modality selection.</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PoS estimates for small-molecule and ASO pathways from Stage 5</w:t>
      </w:r>
    </w:p>
    <w:p>
      <w:pPr>
        <w:pStyle w:val="ListParagraph"/>
        <w:numPr>
          <w:ilvl w:val="0"/>
          <w:numId w:val="2"/>
        </w:numPr>
        <w:spacing w:after="100" w:line="360"/>
        <w:ind w:left="720" w:hanging="360"/>
        <w:rPr>
          <w:rFonts w:ascii="Arial" w:cs="Arial" w:eastAsia="Arial" w:hAnsi="Arial"/>
          <w:sz w:val="24"/>
          <w:szCs w:val="24"/>
        </w:rPr>
      </w:pPr>
      <w:r>
        <w:t xml:space="preserve">Development timeline estimates: from Stage 2 (SM) and Stage 3 (ASO); Stage 4 validation outcomes</w:t>
      </w:r>
    </w:p>
    <w:p>
      <w:pPr>
        <w:pStyle w:val="ListParagraph"/>
        <w:numPr>
          <w:ilvl w:val="0"/>
          <w:numId w:val="2"/>
        </w:numPr>
        <w:spacing w:after="100" w:line="360"/>
        <w:ind w:left="720" w:hanging="360"/>
        <w:rPr>
          <w:rFonts w:ascii="Arial" w:cs="Arial" w:eastAsia="Arial" w:hAnsi="Arial"/>
          <w:sz w:val="24"/>
          <w:szCs w:val="24"/>
        </w:rPr>
      </w:pPr>
      <w:r>
        <w:t xml:space="preserve">Development costs by stage: internal discovery, preclinical tox, IND costs, Phase 1/2/3 trial budgets</w:t>
      </w:r>
    </w:p>
    <w:p>
      <w:pPr>
        <w:pStyle w:val="ListParagraph"/>
        <w:numPr>
          <w:ilvl w:val="0"/>
          <w:numId w:val="2"/>
        </w:numPr>
        <w:spacing w:after="100" w:line="360"/>
        <w:ind w:left="720" w:hanging="360"/>
        <w:rPr>
          <w:rFonts w:ascii="Arial" w:cs="Arial" w:eastAsia="Arial" w:hAnsi="Arial"/>
          <w:sz w:val="24"/>
          <w:szCs w:val="24"/>
        </w:rPr>
      </w:pPr>
      <w:r>
        <w:t xml:space="preserve">Target market size: prevalence of disease, eligible patient population, market research</w:t>
      </w:r>
    </w:p>
    <w:p>
      <w:pPr>
        <w:pStyle w:val="ListParagraph"/>
        <w:numPr>
          <w:ilvl w:val="0"/>
          <w:numId w:val="2"/>
        </w:numPr>
        <w:spacing w:after="100" w:line="360"/>
        <w:ind w:left="720" w:hanging="360"/>
        <w:rPr>
          <w:rFonts w:ascii="Arial" w:cs="Arial" w:eastAsia="Arial" w:hAnsi="Arial"/>
          <w:sz w:val="24"/>
          <w:szCs w:val="24"/>
        </w:rPr>
      </w:pPr>
      <w:r>
        <w:t xml:space="preserve">Pricing assumptions: likely price per dose/year based on indication severity and comparators</w:t>
      </w:r>
    </w:p>
    <w:p>
      <w:pPr>
        <w:pStyle w:val="ListParagraph"/>
        <w:numPr>
          <w:ilvl w:val="0"/>
          <w:numId w:val="2"/>
        </w:numPr>
        <w:spacing w:after="100" w:line="360"/>
        <w:ind w:left="720" w:hanging="360"/>
        <w:rPr>
          <w:rFonts w:ascii="Arial" w:cs="Arial" w:eastAsia="Arial" w:hAnsi="Arial"/>
          <w:sz w:val="24"/>
          <w:szCs w:val="24"/>
        </w:rPr>
      </w:pPr>
      <w:r>
        <w:t xml:space="preserve">Peak sales estimates: uptake curves, market share assumptions, commercialization timelines</w:t>
      </w:r>
    </w:p>
    <w:p>
      <w:pPr>
        <w:pStyle w:val="ListParagraph"/>
        <w:numPr>
          <w:ilvl w:val="0"/>
          <w:numId w:val="2"/>
        </w:numPr>
        <w:spacing w:after="100" w:line="360"/>
        <w:ind w:left="720" w:hanging="360"/>
        <w:rPr>
          <w:rFonts w:ascii="Arial" w:cs="Arial" w:eastAsia="Arial" w:hAnsi="Arial"/>
          <w:sz w:val="24"/>
          <w:szCs w:val="24"/>
        </w:rPr>
      </w:pPr>
      <w:r>
        <w:t xml:space="preserve">Risk-adjustment factors: competitive landscape, regulatory precedents, manufacturing maturity</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NPV Calculation Engine: Discount future cash flows; compute NPV using standard pharmaceutical discount rates (8–12%)</w:t>
      </w:r>
    </w:p>
    <w:p>
      <w:pPr>
        <w:pStyle w:val="ListParagraph"/>
        <w:numPr>
          <w:ilvl w:val="0"/>
          <w:numId w:val="2"/>
        </w:numPr>
        <w:spacing w:after="100" w:line="360"/>
        <w:ind w:left="720" w:hanging="360"/>
        <w:rPr>
          <w:rFonts w:ascii="Arial" w:cs="Arial" w:eastAsia="Arial" w:hAnsi="Arial"/>
          <w:sz w:val="24"/>
          <w:szCs w:val="24"/>
        </w:rPr>
      </w:pPr>
      <w:r>
        <w:t xml:space="preserve">Probability-Weighted NPV (PoS-Adjusted): Multiply expected value by PoS at each stage; sum discounted risk-adjusted cash flows</w:t>
      </w:r>
    </w:p>
    <w:p>
      <w:pPr>
        <w:pStyle w:val="ListParagraph"/>
        <w:numPr>
          <w:ilvl w:val="0"/>
          <w:numId w:val="2"/>
        </w:numPr>
        <w:spacing w:after="100" w:line="360"/>
        <w:ind w:left="720" w:hanging="360"/>
        <w:rPr>
          <w:rFonts w:ascii="Arial" w:cs="Arial" w:eastAsia="Arial" w:hAnsi="Arial"/>
          <w:sz w:val="24"/>
          <w:szCs w:val="24"/>
        </w:rPr>
      </w:pPr>
      <w:r>
        <w:t xml:space="preserve">Sensitivity Analysis &amp; Tornado Plots: Identify which variables most impact rNPV (e.g., peak sales, development costs, PoS)</w:t>
      </w:r>
    </w:p>
    <w:p>
      <w:pPr>
        <w:pStyle w:val="ListParagraph"/>
        <w:numPr>
          <w:ilvl w:val="0"/>
          <w:numId w:val="2"/>
        </w:numPr>
        <w:spacing w:after="100" w:line="360"/>
        <w:ind w:left="720" w:hanging="360"/>
        <w:rPr>
          <w:rFonts w:ascii="Arial" w:cs="Arial" w:eastAsia="Arial" w:hAnsi="Arial"/>
          <w:sz w:val="24"/>
          <w:szCs w:val="24"/>
        </w:rPr>
      </w:pPr>
      <w:r>
        <w:t xml:space="preserve">Scenario Modeling: Model best-case, base-case, worst-case rNPV; compute expected rNPV distribution</w:t>
      </w:r>
    </w:p>
    <w:p>
      <w:pPr>
        <w:pStyle w:val="ListParagraph"/>
        <w:numPr>
          <w:ilvl w:val="0"/>
          <w:numId w:val="2"/>
        </w:numPr>
        <w:spacing w:after="100" w:line="360"/>
        <w:ind w:left="720" w:hanging="360"/>
        <w:rPr>
          <w:rFonts w:ascii="Arial" w:cs="Arial" w:eastAsia="Arial" w:hAnsi="Arial"/>
          <w:sz w:val="24"/>
          <w:szCs w:val="24"/>
        </w:rPr>
      </w:pPr>
      <w:r>
        <w:t xml:space="preserve">Break-Even Analysis: Determine minimum peak sales or maximum development cost to justify program investment</w:t>
      </w:r>
    </w:p>
    <w:p>
      <w:pPr>
        <w:pStyle w:val="ListParagraph"/>
        <w:numPr>
          <w:ilvl w:val="0"/>
          <w:numId w:val="2"/>
        </w:numPr>
        <w:spacing w:after="100" w:line="360"/>
        <w:ind w:left="720" w:hanging="360"/>
        <w:rPr>
          <w:rFonts w:ascii="Arial" w:cs="Arial" w:eastAsia="Arial" w:hAnsi="Arial"/>
          <w:sz w:val="24"/>
          <w:szCs w:val="24"/>
        </w:rPr>
      </w:pPr>
      <w:r>
        <w:t xml:space="preserve">Modality Comparison Dashboard: Visualize rNPV, PoS, and timeline trade-offs for small-molecule vs. ASO side-by-side</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What is the estimated development cost for a small-molecule program through Phase 2 approval?</w:t>
      </w:r>
    </w:p>
    <w:p>
      <w:pPr>
        <w:pStyle w:val="ListParagraph"/>
        <w:numPr>
          <w:ilvl w:val="0"/>
          <w:numId w:val="2"/>
        </w:numPr>
        <w:spacing w:after="100" w:line="360"/>
        <w:ind w:left="720" w:hanging="360"/>
        <w:rPr>
          <w:rFonts w:ascii="Arial" w:cs="Arial" w:eastAsia="Arial" w:hAnsi="Arial"/>
          <w:sz w:val="24"/>
          <w:szCs w:val="24"/>
        </w:rPr>
      </w:pPr>
      <w:r>
        <w:t xml:space="preserve">What is the estimated development cost for an ASO program through Phase 2 approval?</w:t>
      </w:r>
    </w:p>
    <w:p>
      <w:pPr>
        <w:pStyle w:val="ListParagraph"/>
        <w:numPr>
          <w:ilvl w:val="0"/>
          <w:numId w:val="2"/>
        </w:numPr>
        <w:spacing w:after="100" w:line="360"/>
        <w:ind w:left="720" w:hanging="360"/>
        <w:rPr>
          <w:rFonts w:ascii="Arial" w:cs="Arial" w:eastAsia="Arial" w:hAnsi="Arial"/>
          <w:sz w:val="24"/>
          <w:szCs w:val="24"/>
        </w:rPr>
      </w:pPr>
      <w:r>
        <w:t xml:space="preserve">What is the target market size and reasonable peak sales estimate for the indication?</w:t>
      </w:r>
    </w:p>
    <w:p>
      <w:pPr>
        <w:pStyle w:val="ListParagraph"/>
        <w:numPr>
          <w:ilvl w:val="0"/>
          <w:numId w:val="2"/>
        </w:numPr>
        <w:spacing w:after="100" w:line="360"/>
        <w:ind w:left="720" w:hanging="360"/>
        <w:rPr>
          <w:rFonts w:ascii="Arial" w:cs="Arial" w:eastAsia="Arial" w:hAnsi="Arial"/>
          <w:sz w:val="24"/>
          <w:szCs w:val="24"/>
        </w:rPr>
      </w:pPr>
      <w:r>
        <w:t xml:space="preserve">Given PoS and commercial value, which modality has higher rNPV?</w:t>
      </w:r>
    </w:p>
    <w:p>
      <w:pPr>
        <w:pStyle w:val="ListParagraph"/>
        <w:numPr>
          <w:ilvl w:val="0"/>
          <w:numId w:val="2"/>
        </w:numPr>
        <w:spacing w:after="100" w:line="360"/>
        <w:ind w:left="720" w:hanging="360"/>
        <w:rPr>
          <w:rFonts w:ascii="Arial" w:cs="Arial" w:eastAsia="Arial" w:hAnsi="Arial"/>
          <w:sz w:val="24"/>
          <w:szCs w:val="24"/>
        </w:rPr>
      </w:pPr>
      <w:r>
        <w:t xml:space="preserve">At what peak sales threshold does the rNPV become positive for each modality?</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Small-molecule rNPV estimate (best-case, base-case, worst-case) through peak sales</w:t>
      </w:r>
    </w:p>
    <w:p>
      <w:pPr>
        <w:pStyle w:val="ListParagraph"/>
        <w:numPr>
          <w:ilvl w:val="0"/>
          <w:numId w:val="2"/>
        </w:numPr>
        <w:spacing w:after="100" w:line="360"/>
        <w:ind w:left="720" w:hanging="360"/>
        <w:rPr>
          <w:rFonts w:ascii="Arial" w:cs="Arial" w:eastAsia="Arial" w:hAnsi="Arial"/>
          <w:sz w:val="24"/>
          <w:szCs w:val="24"/>
        </w:rPr>
      </w:pPr>
      <w:r>
        <w:t xml:space="preserve">ASO rNPV estimate (best-case, base-case, worst-case) through peak sales</w:t>
      </w:r>
    </w:p>
    <w:p>
      <w:pPr>
        <w:pStyle w:val="ListParagraph"/>
        <w:numPr>
          <w:ilvl w:val="0"/>
          <w:numId w:val="2"/>
        </w:numPr>
        <w:spacing w:after="100" w:line="360"/>
        <w:ind w:left="720" w:hanging="360"/>
        <w:rPr>
          <w:rFonts w:ascii="Arial" w:cs="Arial" w:eastAsia="Arial" w:hAnsi="Arial"/>
          <w:sz w:val="24"/>
          <w:szCs w:val="24"/>
        </w:rPr>
      </w:pPr>
      <w:r>
        <w:t xml:space="preserve">rNPV comparison: absolute and relative (e.g., 'ASO is $XX M higher NPV than small molecule')</w:t>
      </w:r>
    </w:p>
    <w:p>
      <w:pPr>
        <w:pStyle w:val="ListParagraph"/>
        <w:numPr>
          <w:ilvl w:val="0"/>
          <w:numId w:val="2"/>
        </w:numPr>
        <w:spacing w:after="100" w:line="360"/>
        <w:ind w:left="720" w:hanging="360"/>
        <w:rPr>
          <w:rFonts w:ascii="Arial" w:cs="Arial" w:eastAsia="Arial" w:hAnsi="Arial"/>
          <w:sz w:val="24"/>
          <w:szCs w:val="24"/>
        </w:rPr>
      </w:pPr>
      <w:r>
        <w:t xml:space="preserve">Development timeline comparison: which modality reaches market faster?</w:t>
      </w:r>
    </w:p>
    <w:p>
      <w:pPr>
        <w:pStyle w:val="ListParagraph"/>
        <w:numPr>
          <w:ilvl w:val="0"/>
          <w:numId w:val="2"/>
        </w:numPr>
        <w:spacing w:after="100" w:line="360"/>
        <w:ind w:left="720" w:hanging="360"/>
        <w:rPr>
          <w:rFonts w:ascii="Arial" w:cs="Arial" w:eastAsia="Arial" w:hAnsi="Arial"/>
          <w:sz w:val="24"/>
          <w:szCs w:val="24"/>
        </w:rPr>
      </w:pPr>
      <w:r>
        <w:t xml:space="preserve">Return on investment (ROI): rNPV/investment ratio for each modality</w:t>
      </w:r>
    </w:p>
    <w:p>
      <w:pPr>
        <w:pStyle w:val="ListParagraph"/>
        <w:numPr>
          <w:ilvl w:val="0"/>
          <w:numId w:val="2"/>
        </w:numPr>
        <w:spacing w:after="100" w:line="360"/>
        <w:ind w:left="720" w:hanging="360"/>
        <w:rPr>
          <w:rFonts w:ascii="Arial" w:cs="Arial" w:eastAsia="Arial" w:hAnsi="Arial"/>
          <w:sz w:val="24"/>
          <w:szCs w:val="24"/>
        </w:rPr>
      </w:pPr>
      <w:r>
        <w:t xml:space="preserve">Sensitivity analysis: peak sales, development costs, and PoS rankings by impact on rNPV</w:t>
      </w:r>
    </w:p>
    <w:p>
      <w:pPr>
        <w:pStyle w:val="ListParagraph"/>
        <w:numPr>
          <w:ilvl w:val="0"/>
          <w:numId w:val="2"/>
        </w:numPr>
        <w:spacing w:after="100" w:line="360"/>
        <w:ind w:left="720" w:hanging="360"/>
        <w:rPr>
          <w:rFonts w:ascii="Arial" w:cs="Arial" w:eastAsia="Arial" w:hAnsi="Arial"/>
          <w:sz w:val="24"/>
          <w:szCs w:val="24"/>
        </w:rPr>
      </w:pPr>
      <w:r>
        <w:t xml:space="preserve">Break-even analysis: minimum peak sales required for positive rNPV for each modality</w:t>
      </w:r>
    </w:p>
    <w:p>
      <w:pPr>
        <w:pStyle w:val="ListParagraph"/>
        <w:numPr>
          <w:ilvl w:val="0"/>
          <w:numId w:val="2"/>
        </w:numPr>
        <w:spacing w:after="100" w:line="360"/>
        <w:ind w:left="720" w:hanging="360"/>
        <w:rPr>
          <w:rFonts w:ascii="Arial" w:cs="Arial" w:eastAsia="Arial" w:hAnsi="Arial"/>
          <w:sz w:val="24"/>
          <w:szCs w:val="24"/>
        </w:rPr>
      </w:pPr>
      <w:r>
        <w:t xml:space="preserve">Go/No-Go recommendation: comparative modality recommendation with confidence intervals</w:t>
      </w:r>
    </w:p>
    <w:p>
      <w:pPr>
        <w:pStyle w:val="ListParagraph"/>
        <w:numPr>
          <w:ilvl w:val="0"/>
          <w:numId w:val="2"/>
        </w:numPr>
        <w:spacing w:after="100" w:line="360"/>
        <w:ind w:left="720" w:hanging="360"/>
        <w:rPr>
          <w:rFonts w:ascii="Arial" w:cs="Arial" w:eastAsia="Arial" w:hAnsi="Arial"/>
          <w:sz w:val="24"/>
          <w:szCs w:val="24"/>
        </w:rPr>
      </w:pPr>
      <w:r>
        <w:t xml:space="preserve">Risk-adjusted investment decision framework: ranked modality choice with financial justification</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rNPV model report: sm_rnpv_base_case_m_usd, aso_rnpv_base_case_m_usd, timeline_sm_years, timeline_aso_years, recommendation_modality, confidence_level</w:t>
      </w:r>
    </w:p>
    <w:p>
      <w:pPr>
        <w:pStyle w:val="Heading2"/>
        <w:pStyle w:val="Heading2"/>
        <w:spacing w:after="200" w:before="200"/>
        <w:rPr>
          <w:rFonts w:ascii="Arial" w:cs="Arial" w:eastAsia="Arial" w:hAnsi="Arial"/>
          <w:b/>
          <w:bCs/>
          <w:sz w:val="28"/>
          <w:szCs w:val="28"/>
        </w:rPr>
      </w:pPr>
      <w:r>
        <w:t xml:space="preserve">Tools &amp; Databases Summary</w:t>
      </w:r>
    </w:p>
    <w:p>
      <w:pPr>
        <w:pStyle w:val="ListParagraph"/>
        <w:numPr>
          <w:ilvl w:val="0"/>
          <w:numId w:val="2"/>
        </w:numPr>
        <w:spacing w:after="100" w:line="360"/>
        <w:ind w:left="720" w:hanging="360"/>
        <w:rPr>
          <w:rFonts w:ascii="Arial" w:cs="Arial" w:eastAsia="Arial" w:hAnsi="Arial"/>
          <w:sz w:val="24"/>
          <w:szCs w:val="24"/>
        </w:rPr>
      </w:pPr>
      <w:r>
        <w:t xml:space="preserve">ADME Prediction (physicochemical properties): Estimate logP, TPSA, BBB penetrance; identify property optimization needs</w:t>
      </w:r>
    </w:p>
    <w:p>
      <w:pPr>
        <w:pStyle w:val="ListParagraph"/>
        <w:numPr>
          <w:ilvl w:val="0"/>
          <w:numId w:val="2"/>
        </w:numPr>
        <w:spacing w:after="100" w:line="360"/>
        <w:ind w:left="720" w:hanging="360"/>
        <w:rPr>
          <w:rFonts w:ascii="Arial" w:cs="Arial" w:eastAsia="Arial" w:hAnsi="Arial"/>
          <w:sz w:val="24"/>
          <w:szCs w:val="24"/>
        </w:rPr>
      </w:pPr>
      <w:r>
        <w:t xml:space="preserve">ASO Sequence Design (WAVE, Ionis proprietary tools): Predict optimal antisense sequences; assess binding affinity, off-target hybridization</w:t>
      </w:r>
    </w:p>
    <w:p>
      <w:pPr>
        <w:pStyle w:val="ListParagraph"/>
        <w:numPr>
          <w:ilvl w:val="0"/>
          <w:numId w:val="2"/>
        </w:numPr>
        <w:spacing w:after="100" w:line="360"/>
        <w:ind w:left="720" w:hanging="360"/>
        <w:rPr>
          <w:rFonts w:ascii="Arial" w:cs="Arial" w:eastAsia="Arial" w:hAnsi="Arial"/>
          <w:sz w:val="24"/>
          <w:szCs w:val="24"/>
        </w:rPr>
      </w:pPr>
      <w:r>
        <w:t xml:space="preserve">Break-Even Analysis: Determine minimum peak sales or maximum development cost to justify program investment</w:t>
      </w:r>
    </w:p>
    <w:p>
      <w:pPr>
        <w:pStyle w:val="ListParagraph"/>
        <w:numPr>
          <w:ilvl w:val="0"/>
          <w:numId w:val="2"/>
        </w:numPr>
        <w:spacing w:after="100" w:line="360"/>
        <w:ind w:left="720" w:hanging="360"/>
        <w:rPr>
          <w:rFonts w:ascii="Arial" w:cs="Arial" w:eastAsia="Arial" w:hAnsi="Arial"/>
          <w:sz w:val="24"/>
          <w:szCs w:val="24"/>
        </w:rPr>
      </w:pPr>
      <w:r>
        <w:t xml:space="preserve">CMC &amp; Manufacturing Assessment: Evaluate synthesis scalability, process robustness, quality attributes</w:t>
      </w:r>
    </w:p>
    <w:p>
      <w:pPr>
        <w:pStyle w:val="ListParagraph"/>
        <w:numPr>
          <w:ilvl w:val="0"/>
          <w:numId w:val="2"/>
        </w:numPr>
        <w:spacing w:after="100" w:line="360"/>
        <w:ind w:left="720" w:hanging="360"/>
        <w:rPr>
          <w:rFonts w:ascii="Arial" w:cs="Arial" w:eastAsia="Arial" w:hAnsi="Arial"/>
          <w:sz w:val="24"/>
          <w:szCs w:val="24"/>
        </w:rPr>
      </w:pPr>
      <w:r>
        <w:t xml:space="preserve">Chemistry Feasibility Assessment: Evaluate hit-to-lead, lead-optimization timelines; identify common synthetic bottlenecks</w:t>
      </w:r>
    </w:p>
    <w:p>
      <w:pPr>
        <w:pStyle w:val="ListParagraph"/>
        <w:numPr>
          <w:ilvl w:val="0"/>
          <w:numId w:val="2"/>
        </w:numPr>
        <w:spacing w:after="100" w:line="360"/>
        <w:ind w:left="720" w:hanging="360"/>
        <w:rPr>
          <w:rFonts w:ascii="Arial" w:cs="Arial" w:eastAsia="Arial" w:hAnsi="Arial"/>
          <w:sz w:val="24"/>
          <w:szCs w:val="24"/>
        </w:rPr>
      </w:pPr>
      <w:r>
        <w:t xml:space="preserve">Chemistry Optimization (MOE, LNA variants): Evaluate potency, nuclease resistance, immunotoxicity potential for different chemistries</w:t>
      </w:r>
    </w:p>
    <w:p>
      <w:pPr>
        <w:pStyle w:val="ListParagraph"/>
        <w:numPr>
          <w:ilvl w:val="0"/>
          <w:numId w:val="2"/>
        </w:numPr>
        <w:spacing w:after="100" w:line="360"/>
        <w:ind w:left="720" w:hanging="360"/>
        <w:rPr>
          <w:rFonts w:ascii="Arial" w:cs="Arial" w:eastAsia="Arial" w:hAnsi="Arial"/>
          <w:sz w:val="24"/>
          <w:szCs w:val="24"/>
        </w:rPr>
      </w:pPr>
      <w:r>
        <w:t xml:space="preserve">ClinVar &amp; gnomAD: Evaluate pathogenicity of known loss-of-function variants</w:t>
      </w:r>
    </w:p>
    <w:p>
      <w:pPr>
        <w:pStyle w:val="ListParagraph"/>
        <w:numPr>
          <w:ilvl w:val="0"/>
          <w:numId w:val="2"/>
        </w:numPr>
        <w:spacing w:after="100" w:line="360"/>
        <w:ind w:left="720" w:hanging="360"/>
        <w:rPr>
          <w:rFonts w:ascii="Arial" w:cs="Arial" w:eastAsia="Arial" w:hAnsi="Arial"/>
          <w:sz w:val="24"/>
          <w:szCs w:val="24"/>
        </w:rPr>
      </w:pPr>
      <w:r>
        <w:t xml:space="preserve">Delivery Prediction Models: Estimate BBB penetrance for systemic dosing; assess intrathecal accessibility</w:t>
      </w:r>
    </w:p>
    <w:p>
      <w:pPr>
        <w:pStyle w:val="ListParagraph"/>
        <w:numPr>
          <w:ilvl w:val="0"/>
          <w:numId w:val="2"/>
        </w:numPr>
        <w:spacing w:after="100" w:line="360"/>
        <w:ind w:left="720" w:hanging="360"/>
        <w:rPr>
          <w:rFonts w:ascii="Arial" w:cs="Arial" w:eastAsia="Arial" w:hAnsi="Arial"/>
          <w:sz w:val="24"/>
          <w:szCs w:val="24"/>
        </w:rPr>
      </w:pPr>
      <w:r>
        <w:t xml:space="preserve">Druggability Prediction (FTScore, Pfizer DLE): Assess protein target tractability: binding site properties, predicted ease of inhibition</w:t>
      </w:r>
    </w:p>
    <w:p>
      <w:pPr>
        <w:pStyle w:val="ListParagraph"/>
        <w:numPr>
          <w:ilvl w:val="0"/>
          <w:numId w:val="2"/>
        </w:numPr>
        <w:spacing w:after="100" w:line="360"/>
        <w:ind w:left="720" w:hanging="360"/>
        <w:rPr>
          <w:rFonts w:ascii="Arial" w:cs="Arial" w:eastAsia="Arial" w:hAnsi="Arial"/>
          <w:sz w:val="24"/>
          <w:szCs w:val="24"/>
        </w:rPr>
      </w:pPr>
      <w:r>
        <w:t xml:space="preserve">GWAS Catalog &amp; Genomics Databases: Query genetic associations; assess statistical significance and population specificity</w:t>
      </w:r>
    </w:p>
    <w:p>
      <w:pPr>
        <w:pStyle w:val="ListParagraph"/>
        <w:numPr>
          <w:ilvl w:val="0"/>
          <w:numId w:val="2"/>
        </w:numPr>
        <w:spacing w:after="100" w:line="360"/>
        <w:ind w:left="720" w:hanging="360"/>
        <w:rPr>
          <w:rFonts w:ascii="Arial" w:cs="Arial" w:eastAsia="Arial" w:hAnsi="Arial"/>
          <w:sz w:val="24"/>
          <w:szCs w:val="24"/>
        </w:rPr>
      </w:pPr>
      <w:r>
        <w:t xml:space="preserve">Gene Expression Quantification (qRT-PCR): Confirm target mRNA knockdown by ASO; confirm target protein modulation by small molecule</w:t>
      </w:r>
    </w:p>
    <w:p>
      <w:pPr>
        <w:pStyle w:val="ListParagraph"/>
        <w:numPr>
          <w:ilvl w:val="0"/>
          <w:numId w:val="2"/>
        </w:numPr>
        <w:spacing w:after="100" w:line="360"/>
        <w:ind w:left="720" w:hanging="360"/>
        <w:rPr>
          <w:rFonts w:ascii="Arial" w:cs="Arial" w:eastAsia="Arial" w:hAnsi="Arial"/>
          <w:sz w:val="24"/>
          <w:szCs w:val="24"/>
        </w:rPr>
      </w:pPr>
      <w:r>
        <w:t xml:space="preserve">Industry Benchmark Database (Tufts, JAMA): Retrieve historical PoS for small molecules and ASOs at each development stage</w:t>
      </w:r>
    </w:p>
    <w:p>
      <w:pPr>
        <w:pStyle w:val="ListParagraph"/>
        <w:numPr>
          <w:ilvl w:val="0"/>
          <w:numId w:val="2"/>
        </w:numPr>
        <w:spacing w:after="100" w:line="360"/>
        <w:ind w:left="720" w:hanging="360"/>
        <w:rPr>
          <w:rFonts w:ascii="Arial" w:cs="Arial" w:eastAsia="Arial" w:hAnsi="Arial"/>
          <w:sz w:val="24"/>
          <w:szCs w:val="24"/>
        </w:rPr>
      </w:pPr>
      <w:r>
        <w:t xml:space="preserve">Modality Comparison Dashboard: Visualize rNPV, PoS, and timeline trade-offs for small-molecule vs. ASO side-by-side</w:t>
      </w:r>
    </w:p>
    <w:p>
      <w:pPr>
        <w:pStyle w:val="ListParagraph"/>
        <w:numPr>
          <w:ilvl w:val="0"/>
          <w:numId w:val="2"/>
        </w:numPr>
        <w:spacing w:after="100" w:line="360"/>
        <w:ind w:left="720" w:hanging="360"/>
        <w:rPr>
          <w:rFonts w:ascii="Arial" w:cs="Arial" w:eastAsia="Arial" w:hAnsi="Arial"/>
          <w:sz w:val="24"/>
          <w:szCs w:val="24"/>
        </w:rPr>
      </w:pPr>
      <w:r>
        <w:t xml:space="preserve">Monte Carlo Simulation: Generate confidence intervals for PoS estimates; assess robustness to parameter uncertainty</w:t>
      </w:r>
    </w:p>
    <w:p>
      <w:pPr>
        <w:pStyle w:val="ListParagraph"/>
        <w:numPr>
          <w:ilvl w:val="0"/>
          <w:numId w:val="2"/>
        </w:numPr>
        <w:spacing w:after="100" w:line="360"/>
        <w:ind w:left="720" w:hanging="360"/>
        <w:rPr>
          <w:rFonts w:ascii="Arial" w:cs="Arial" w:eastAsia="Arial" w:hAnsi="Arial"/>
          <w:sz w:val="24"/>
          <w:szCs w:val="24"/>
        </w:rPr>
      </w:pPr>
      <w:r>
        <w:t xml:space="preserve">NPV Calculation Engine: Discount future cash flows; compute NPV using standard pharmaceutical discount rates (8–12%)</w:t>
      </w:r>
    </w:p>
    <w:p>
      <w:pPr>
        <w:pStyle w:val="ListParagraph"/>
        <w:numPr>
          <w:ilvl w:val="0"/>
          <w:numId w:val="2"/>
        </w:numPr>
        <w:spacing w:after="100" w:line="360"/>
        <w:ind w:left="720" w:hanging="360"/>
        <w:rPr>
          <w:rFonts w:ascii="Arial" w:cs="Arial" w:eastAsia="Arial" w:hAnsi="Arial"/>
          <w:sz w:val="24"/>
          <w:szCs w:val="24"/>
        </w:rPr>
      </w:pPr>
      <w:r>
        <w:t xml:space="preserve">Network Pharmacology: Map target gene to disease-relevant biological pathways; assess network essentiality</w:t>
      </w:r>
    </w:p>
    <w:p>
      <w:pPr>
        <w:pStyle w:val="ListParagraph"/>
        <w:numPr>
          <w:ilvl w:val="0"/>
          <w:numId w:val="2"/>
        </w:numPr>
        <w:spacing w:after="100" w:line="360"/>
        <w:ind w:left="720" w:hanging="360"/>
        <w:rPr>
          <w:rFonts w:ascii="Arial" w:cs="Arial" w:eastAsia="Arial" w:hAnsi="Arial"/>
          <w:sz w:val="24"/>
          <w:szCs w:val="24"/>
        </w:rPr>
      </w:pPr>
      <w:r>
        <w:t xml:space="preserve">Off-Target Assessment: Measure effects on related genes or phenotypes; assess selectivity</w:t>
      </w:r>
    </w:p>
    <w:p>
      <w:pPr>
        <w:pStyle w:val="ListParagraph"/>
        <w:numPr>
          <w:ilvl w:val="0"/>
          <w:numId w:val="2"/>
        </w:numPr>
        <w:spacing w:after="100" w:line="360"/>
        <w:ind w:left="720" w:hanging="360"/>
        <w:rPr>
          <w:rFonts w:ascii="Arial" w:cs="Arial" w:eastAsia="Arial" w:hAnsi="Arial"/>
          <w:sz w:val="24"/>
          <w:szCs w:val="24"/>
        </w:rPr>
      </w:pPr>
      <w:r>
        <w:t xml:space="preserve">Off-Target Hybridization Analysis: Screen ASO candidate sequences for unintended mRNA hybridization; predict off-target effects</w:t>
      </w:r>
    </w:p>
    <w:p>
      <w:pPr>
        <w:pStyle w:val="ListParagraph"/>
        <w:numPr>
          <w:ilvl w:val="0"/>
          <w:numId w:val="2"/>
        </w:numPr>
        <w:spacing w:after="100" w:line="360"/>
        <w:ind w:left="720" w:hanging="360"/>
        <w:rPr>
          <w:rFonts w:ascii="Arial" w:cs="Arial" w:eastAsia="Arial" w:hAnsi="Arial"/>
          <w:sz w:val="24"/>
          <w:szCs w:val="24"/>
        </w:rPr>
      </w:pPr>
      <w:r>
        <w:t xml:space="preserve">Off-Target Profiling Prediction: Estimate selectivity risks based on target family homology and pan-assay interference</w:t>
      </w:r>
    </w:p>
    <w:p>
      <w:pPr>
        <w:pStyle w:val="ListParagraph"/>
        <w:numPr>
          <w:ilvl w:val="0"/>
          <w:numId w:val="2"/>
        </w:numPr>
        <w:spacing w:after="100" w:line="360"/>
        <w:ind w:left="720" w:hanging="360"/>
        <w:rPr>
          <w:rFonts w:ascii="Arial" w:cs="Arial" w:eastAsia="Arial" w:hAnsi="Arial"/>
          <w:sz w:val="24"/>
          <w:szCs w:val="24"/>
        </w:rPr>
      </w:pPr>
      <w:r>
        <w:t xml:space="preserve">PoS Calculation Framework (Additive or Bayesian): Integrate preclinical validation, modality-specific success rates, and clinical data</w:t>
      </w:r>
    </w:p>
    <w:p>
      <w:pPr>
        <w:pStyle w:val="ListParagraph"/>
        <w:numPr>
          <w:ilvl w:val="0"/>
          <w:numId w:val="2"/>
        </w:numPr>
        <w:spacing w:after="100" w:line="360"/>
        <w:ind w:left="720" w:hanging="360"/>
        <w:rPr>
          <w:rFonts w:ascii="Arial" w:cs="Arial" w:eastAsia="Arial" w:hAnsi="Arial"/>
          <w:sz w:val="24"/>
          <w:szCs w:val="24"/>
        </w:rPr>
      </w:pPr>
      <w:r>
        <w:t xml:space="preserve">Probability-Weighted NPV (PoS-Adjusted): Multiply expected value by PoS at each stage; sum discounted risk-adjusted cash flows</w:t>
      </w:r>
    </w:p>
    <w:p>
      <w:pPr>
        <w:pStyle w:val="ListParagraph"/>
        <w:numPr>
          <w:ilvl w:val="0"/>
          <w:numId w:val="2"/>
        </w:numPr>
        <w:spacing w:after="100" w:line="360"/>
        <w:ind w:left="720" w:hanging="360"/>
        <w:rPr>
          <w:rFonts w:ascii="Arial" w:cs="Arial" w:eastAsia="Arial" w:hAnsi="Arial"/>
          <w:sz w:val="24"/>
          <w:szCs w:val="24"/>
        </w:rPr>
      </w:pPr>
      <w:r>
        <w:t xml:space="preserve">Protein Level Assessment (Western blot, flow): Quantify target protein reduction at doses corresponding to phenotype rescue</w:t>
      </w:r>
    </w:p>
    <w:p>
      <w:pPr>
        <w:pStyle w:val="ListParagraph"/>
        <w:numPr>
          <w:ilvl w:val="0"/>
          <w:numId w:val="2"/>
        </w:numPr>
        <w:spacing w:after="100" w:line="360"/>
        <w:ind w:left="720" w:hanging="360"/>
        <w:rPr>
          <w:rFonts w:ascii="Arial" w:cs="Arial" w:eastAsia="Arial" w:hAnsi="Arial"/>
          <w:sz w:val="24"/>
          <w:szCs w:val="24"/>
        </w:rPr>
      </w:pPr>
      <w:r>
        <w:t xml:space="preserve">PubMed Literature Review: Aggregate functional validation studies, disease mechanism insights, prior drug programs</w:t>
      </w:r>
    </w:p>
    <w:p>
      <w:pPr>
        <w:pStyle w:val="ListParagraph"/>
        <w:numPr>
          <w:ilvl w:val="0"/>
          <w:numId w:val="2"/>
        </w:numPr>
        <w:spacing w:after="100" w:line="360"/>
        <w:ind w:left="720" w:hanging="360"/>
        <w:rPr>
          <w:rFonts w:ascii="Arial" w:cs="Arial" w:eastAsia="Arial" w:hAnsi="Arial"/>
          <w:sz w:val="24"/>
          <w:szCs w:val="24"/>
        </w:rPr>
      </w:pPr>
      <w:r>
        <w:t xml:space="preserve">QSAR/Virtual Screening: Mine ChEMBL for existing inhibitors; predict potency of known scaffolds</w:t>
      </w:r>
    </w:p>
    <w:p>
      <w:pPr>
        <w:pStyle w:val="ListParagraph"/>
        <w:numPr>
          <w:ilvl w:val="0"/>
          <w:numId w:val="2"/>
        </w:numPr>
        <w:spacing w:after="100" w:line="360"/>
        <w:ind w:left="720" w:hanging="360"/>
        <w:rPr>
          <w:rFonts w:ascii="Arial" w:cs="Arial" w:eastAsia="Arial" w:hAnsi="Arial"/>
          <w:sz w:val="24"/>
          <w:szCs w:val="24"/>
        </w:rPr>
      </w:pPr>
      <w:r>
        <w:t xml:space="preserve">Quiver CRISPR Database: Extract phenotype data for target gene perturbations; quantify rescue potential</w:t>
      </w:r>
    </w:p>
    <w:p>
      <w:pPr>
        <w:pStyle w:val="ListParagraph"/>
        <w:numPr>
          <w:ilvl w:val="0"/>
          <w:numId w:val="2"/>
        </w:numPr>
        <w:spacing w:after="100" w:line="360"/>
        <w:ind w:left="720" w:hanging="360"/>
        <w:rPr>
          <w:rFonts w:ascii="Arial" w:cs="Arial" w:eastAsia="Arial" w:hAnsi="Arial"/>
          <w:sz w:val="24"/>
          <w:szCs w:val="24"/>
        </w:rPr>
      </w:pPr>
      <w:r>
        <w:t xml:space="preserve">Quiver High-Throughput Electrophysiology: Parallel dose-response testing of small-molecule inhibitor and ASO; measure phenotype rescue</w:t>
      </w:r>
    </w:p>
    <w:p>
      <w:pPr>
        <w:pStyle w:val="ListParagraph"/>
        <w:numPr>
          <w:ilvl w:val="0"/>
          <w:numId w:val="2"/>
        </w:numPr>
        <w:spacing w:after="100" w:line="360"/>
        <w:ind w:left="720" w:hanging="360"/>
        <w:rPr>
          <w:rFonts w:ascii="Arial" w:cs="Arial" w:eastAsia="Arial" w:hAnsi="Arial"/>
          <w:sz w:val="24"/>
          <w:szCs w:val="24"/>
        </w:rPr>
      </w:pPr>
      <w:r>
        <w:t xml:space="preserve">Regulatory Pathway Mapping: Align with FDA ASO guidance; identify required preclinical and IND-enabling studies</w:t>
      </w:r>
    </w:p>
    <w:p>
      <w:pPr>
        <w:pStyle w:val="ListParagraph"/>
        <w:numPr>
          <w:ilvl w:val="0"/>
          <w:numId w:val="2"/>
        </w:numPr>
        <w:spacing w:after="100" w:line="360"/>
        <w:ind w:left="720" w:hanging="360"/>
        <w:rPr>
          <w:rFonts w:ascii="Arial" w:cs="Arial" w:eastAsia="Arial" w:hAnsi="Arial"/>
          <w:sz w:val="24"/>
          <w:szCs w:val="24"/>
        </w:rPr>
      </w:pPr>
      <w:r>
        <w:t xml:space="preserve">Scenario Analysis (Deterministic &amp; Stochastic): Model PoS under best-case, base-case, and worst-case assumptions</w:t>
      </w:r>
    </w:p>
    <w:p>
      <w:pPr>
        <w:pStyle w:val="ListParagraph"/>
        <w:numPr>
          <w:ilvl w:val="0"/>
          <w:numId w:val="2"/>
        </w:numPr>
        <w:spacing w:after="100" w:line="360"/>
        <w:ind w:left="720" w:hanging="360"/>
        <w:rPr>
          <w:rFonts w:ascii="Arial" w:cs="Arial" w:eastAsia="Arial" w:hAnsi="Arial"/>
          <w:sz w:val="24"/>
          <w:szCs w:val="24"/>
        </w:rPr>
      </w:pPr>
      <w:r>
        <w:t xml:space="preserve">Scenario Modeling: Model best-case, base-case, worst-case rNPV; compute expected rNPV distribution</w:t>
      </w:r>
    </w:p>
    <w:p>
      <w:pPr>
        <w:pStyle w:val="ListParagraph"/>
        <w:numPr>
          <w:ilvl w:val="0"/>
          <w:numId w:val="2"/>
        </w:numPr>
        <w:spacing w:after="100" w:line="360"/>
        <w:ind w:left="720" w:hanging="360"/>
        <w:rPr>
          <w:rFonts w:ascii="Arial" w:cs="Arial" w:eastAsia="Arial" w:hAnsi="Arial"/>
          <w:sz w:val="24"/>
          <w:szCs w:val="24"/>
        </w:rPr>
      </w:pPr>
      <w:r>
        <w:t xml:space="preserve">Sensitivity Analysis &amp; Tornado Plots: Identify which variables most impact rNPV (e.g., peak sales, development costs, PoS)</w:t>
      </w:r>
    </w:p>
    <w:p>
      <w:pPr>
        <w:pStyle w:val="ListParagraph"/>
        <w:numPr>
          <w:ilvl w:val="0"/>
          <w:numId w:val="2"/>
        </w:numPr>
        <w:spacing w:after="100" w:line="360"/>
        <w:ind w:left="720" w:hanging="360"/>
        <w:rPr>
          <w:rFonts w:ascii="Arial" w:cs="Arial" w:eastAsia="Arial" w:hAnsi="Arial"/>
          <w:sz w:val="24"/>
          <w:szCs w:val="24"/>
        </w:rPr>
      </w:pPr>
      <w:r>
        <w:t xml:space="preserve">Sensitivity Analysis: Identify which factors most drive PoS; highlight key decision points and information gaps</w:t>
      </w:r>
    </w:p>
    <w:p>
      <w:pPr>
        <w:pStyle w:val="ListParagraph"/>
        <w:numPr>
          <w:ilvl w:val="0"/>
          <w:numId w:val="2"/>
        </w:numPr>
        <w:spacing w:after="100" w:line="360"/>
        <w:ind w:left="720" w:hanging="360"/>
        <w:rPr>
          <w:rFonts w:ascii="Arial" w:cs="Arial" w:eastAsia="Arial" w:hAnsi="Arial"/>
          <w:sz w:val="24"/>
          <w:szCs w:val="24"/>
        </w:rPr>
      </w:pPr>
      <w:r>
        <w:t xml:space="preserve">Structural Bioinformatics (PyMOL, UCSF Chimera): Analyze protein binding pockets; identify inhibitor binding modes from PDB structures</w:t>
      </w:r>
    </w:p>
    <w:p>
      <w:pPr>
        <w:pStyle w:val="ListParagraph"/>
        <w:numPr>
          <w:ilvl w:val="0"/>
          <w:numId w:val="2"/>
        </w:numPr>
        <w:spacing w:after="100" w:line="360"/>
        <w:ind w:left="720" w:hanging="360"/>
        <w:rPr>
          <w:rFonts w:ascii="Arial" w:cs="Arial" w:eastAsia="Arial" w:hAnsi="Arial"/>
          <w:sz w:val="24"/>
          <w:szCs w:val="24"/>
        </w:rPr>
      </w:pPr>
      <w:r>
        <w:t xml:space="preserve">Toxicity Profiling: Cell viability, apoptosis markers at efficacious and supra-efficacious doses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2026-02-27T17:13:43.003Z</dcterms:created>
  <dcterms:modified xsi:type="dcterms:W3CDTF">2026-02-27T17:13:43.003Z</dcterms:modified>
</cp:coreProperties>
</file>

<file path=docProps/custom.xml><?xml version="1.0" encoding="utf-8"?>
<Properties xmlns="http://schemas.openxmlformats.org/officeDocument/2006/custom-properties" xmlns:vt="http://schemas.openxmlformats.org/officeDocument/2006/docPropsVTypes"/>
</file>