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/>
      </w:pPr>
      <w:r>
        <w:t xml:space="preserve">Sapphire Pipeline Workflow</w:t>
      </w:r>
    </w:p>
    <w:p>
      <w:pPr>
        <w:pStyle w:val="Heading2"/>
        <w:spacing w:after="200" w:before="200"/>
      </w:pPr>
      <w:r>
        <w:t xml:space="preserve">Prompt: "Rank 20 CNS compounds by predicted Phase 2 probability of success using Quiver + external data."</w:t>
      </w:r>
    </w:p>
    <w:p>
      <w:pPr>
        <w:spacing w:after="200" w:before="0"/>
      </w:pPr>
      <w:r>
        <w:t xml:space="preserve">This document defines the complete Sapphire pipeline — the sequential stages, tools called, external datasets used, inputs, outputs, and decision logic — required to deliver a valid, actionable answer to this prompt.</w:t>
      </w:r>
    </w:p>
    <w:p>
      <w:pPr>
        <w:spacing w:after="200" w:before="0"/>
      </w:pPr>
      <w:r>
        <w:t xml:space="preserve">The CNS Phase 2 Probability Ranking pipeline provides a quantitative, evidence-based ranking of clinical success probability for a defined set of CNS drug candidates. This workflow integrates Quiver's electrophysiology rescue efficacy data with comprehensive clinical, preclinical, competitive, and pharmacological datasets to generate phase-specific probability of success (PoS) predictions. The output is an investment-ready ranking suitable for portfolio prioritization, partnership decisions, and go/no-go funding allocation.</w:t>
      </w:r>
    </w:p>
    <w:p>
      <w:pPr>
        <w:pStyle w:val="Heading2"/>
        <w:spacing w:after="200" w:before="200"/>
      </w:pPr>
      <w:r>
        <w:t xml:space="preserve">Pipeline Overview</w:t>
      </w:r>
    </w:p>
    <w:p>
      <w:pPr>
        <w:spacing w:after="200" w:before="0"/>
      </w:pPr>
      <w:r>
        <w:t xml:space="preserve">The CNS Phase 2 Probability Ranking pipeline provides a quantitative, evidence-based ranking of clinical success probability for a defined set of CNS drug candidates. This workflow integrates Quiver's electrophysiology rescue efficacy data with comprehensive clinical, preclinical, competitive, and pharmacological datasets to generate phase-specific probability of success (PoS) predictions. The output is an investment-ready ranking suitable for portfolio prioritization, partnership decisions, and go/no-go funding allocation.</w:t>
      </w:r>
    </w:p>
    <w:p>
      <w:pPr>
        <w:pStyle w:val="Heading2"/>
        <w:spacing w:after="200" w:before="200"/>
      </w:pPr>
      <w:r>
        <w:t xml:space="preserve">Stage 1: Input Compound Stratification &amp; Mechanism Profiling</w:t>
      </w:r>
    </w:p>
    <w:p>
      <w:pPr>
        <w:spacing w:after="200" w:before="0"/>
      </w:pPr>
      <w:r>
        <w:rPr>
          <w:b/>
          <w:bCs/>
        </w:rPr>
        <w:t xml:space="preserve">Purpose: </w:t>
      </w:r>
      <w:r>
        <w:t xml:space="preserve">Establish a standardized profile for each of the 20 input CNS compounds, including target identity, mechanism class, and disease indication to enable comparison across heterogeneous chemotypes and mechanisms.</w:t>
      </w:r>
    </w:p>
    <w:p>
      <w:pPr>
        <w:spacing w:after="100" w:before="0"/>
      </w:pPr>
      <w:r>
        <w:t xml:space="preserve">Inputs:</w:t>
      </w:r>
    </w:p>
    <w:p>
      <w:pPr>
        <w:pStyle w:val="ListParagraph"/>
        <w:numPr>
          <w:ilvl w:val="0"/>
          <w:numId w:val="1"/>
        </w:numPr>
      </w:pPr>
      <w:r>
        <w:t xml:space="preserve">20 CNS compounds (names, structures, or compound IDs)</w:t>
      </w:r>
    </w:p>
    <w:p>
      <w:pPr>
        <w:pStyle w:val="ListParagraph"/>
        <w:numPr>
          <w:ilvl w:val="0"/>
          <w:numId w:val="1"/>
        </w:numPr>
      </w:pPr>
      <w:r>
        <w:t xml:space="preserve">Prior clinical history (if available)</w:t>
      </w:r>
    </w:p>
    <w:p>
      <w:pPr>
        <w:pStyle w:val="ListParagraph"/>
        <w:numPr>
          <w:ilvl w:val="0"/>
          <w:numId w:val="1"/>
        </w:numPr>
      </w:pPr>
      <w:r>
        <w:t xml:space="preserve">Known target(s) and mechanism of action</w:t>
      </w:r>
    </w:p>
    <w:p>
      <w:pPr>
        <w:pStyle w:val="ListParagraph"/>
        <w:numPr>
          <w:ilvl w:val="0"/>
          <w:numId w:val="1"/>
        </w:numPr>
      </w:pPr>
      <w:r>
        <w:t xml:space="preserve">Disease indication(s) for each compound</w:t>
      </w:r>
    </w:p>
    <w:p>
      <w:pPr>
        <w:spacing w:after="100" w:before="200"/>
      </w:pPr>
      <w:r>
        <w:t xml:space="preserve">Tools &amp; Databases Called:</w:t>
      </w:r>
    </w:p>
    <w:p>
      <w:pPr>
        <w:pStyle w:val="ListParagraph"/>
        <w:numPr>
          <w:ilvl w:val="0"/>
          <w:numId w:val="1"/>
        </w:numPr>
      </w:pPr>
      <w:r>
        <w:t xml:space="preserve">Compound Normalization Engine (structure standardization, identifier mapping)</w:t>
      </w:r>
    </w:p>
    <w:p>
      <w:pPr>
        <w:pStyle w:val="ListParagraph"/>
        <w:numPr>
          <w:ilvl w:val="0"/>
          <w:numId w:val="1"/>
        </w:numPr>
      </w:pPr>
      <w:r>
        <w:t xml:space="preserve">Target ID Validator (literature + database cross-check)</w:t>
      </w:r>
    </w:p>
    <w:p>
      <w:pPr>
        <w:pStyle w:val="ListParagraph"/>
        <w:numPr>
          <w:ilvl w:val="0"/>
          <w:numId w:val="1"/>
        </w:numPr>
      </w:pPr>
      <w:r>
        <w:t xml:space="preserve">Mechanism Classification System</w:t>
      </w:r>
    </w:p>
    <w:p>
      <w:pPr>
        <w:pStyle w:val="ListParagraph"/>
        <w:numPr>
          <w:ilvl w:val="0"/>
          <w:numId w:val="1"/>
        </w:numPr>
      </w:pPr>
      <w:r>
        <w:t xml:space="preserve">ChEMBL, PubChem, DrugBank Query</w:t>
      </w:r>
    </w:p>
    <w:p>
      <w:pPr>
        <w:spacing w:after="100" w:before="200"/>
      </w:pPr>
      <w:r>
        <w:t xml:space="preserve">Exemplary Sub-Prompts:</w:t>
      </w:r>
    </w:p>
    <w:p>
      <w:pPr>
        <w:pStyle w:val="ListParagraph"/>
        <w:numPr>
          <w:ilvl w:val="0"/>
          <w:numId w:val="1"/>
        </w:numPr>
      </w:pPr>
      <w:r>
        <w:t xml:space="preserve">Normalize all 20 compounds to standard identifiers (SMILES, InChI, compound ID).</w:t>
      </w:r>
    </w:p>
    <w:p>
      <w:pPr>
        <w:pStyle w:val="ListParagraph"/>
        <w:numPr>
          <w:ilvl w:val="0"/>
          <w:numId w:val="1"/>
        </w:numPr>
      </w:pPr>
      <w:r>
        <w:t xml:space="preserve">Validate primary target and mechanism for each compound via literature and database mining.</w:t>
      </w:r>
    </w:p>
    <w:p>
      <w:pPr>
        <w:pStyle w:val="ListParagraph"/>
        <w:numPr>
          <w:ilvl w:val="0"/>
          <w:numId w:val="1"/>
        </w:numPr>
      </w:pPr>
      <w:r>
        <w:t xml:space="preserve">Classify each compound by mechanism type (e.g., ion channel modulation, GPCR agonist, kinase inhibitor, neuroinflammation modulator).</w:t>
      </w:r>
    </w:p>
    <w:p>
      <w:pPr>
        <w:pStyle w:val="ListParagraph"/>
        <w:numPr>
          <w:ilvl w:val="0"/>
          <w:numId w:val="1"/>
        </w:numPr>
      </w:pPr>
      <w:r>
        <w:t xml:space="preserve">Group compounds by disease indication to enable stratified PoS modeling.</w:t>
      </w:r>
    </w:p>
    <w:p>
      <w:pPr>
        <w:spacing w:after="100" w:before="200"/>
      </w:pPr>
      <w:r>
        <w:t xml:space="preserve">Expected Outputs:</w:t>
      </w:r>
    </w:p>
    <w:p>
      <w:pPr>
        <w:pStyle w:val="ListParagraph"/>
        <w:numPr>
          <w:ilvl w:val="0"/>
          <w:numId w:val="1"/>
        </w:numPr>
      </w:pPr>
      <w:r>
        <w:t xml:space="preserve">Standardized compound profile sheet (all 20 compounds)</w:t>
      </w:r>
    </w:p>
    <w:p>
      <w:pPr>
        <w:pStyle w:val="ListParagraph"/>
        <w:numPr>
          <w:ilvl w:val="0"/>
          <w:numId w:val="1"/>
        </w:numPr>
      </w:pPr>
      <w:r>
        <w:t xml:space="preserve">Target and mechanism validation matrix</w:t>
      </w:r>
    </w:p>
    <w:p>
      <w:pPr>
        <w:pStyle w:val="ListParagraph"/>
        <w:numPr>
          <w:ilvl w:val="0"/>
          <w:numId w:val="1"/>
        </w:numPr>
      </w:pPr>
      <w:r>
        <w:t xml:space="preserve">Disease-indication groupings</w:t>
      </w:r>
    </w:p>
    <w:p>
      <w:pPr>
        <w:spacing w:after="200" w:before="0"/>
      </w:pPr>
      <w:r>
        <w:rPr>
          <w:b/>
          <w:bCs/>
        </w:rPr>
        <w:t xml:space="preserve">Format: </w:t>
      </w:r>
      <w:r>
        <w:t xml:space="preserve">Structured table: compound name/ID, target(s), mechanism class, disease indication, prior clinical phase (if any)</w:t>
      </w:r>
    </w:p>
    <w:p>
      <w:pPr>
        <w:pStyle w:val="Heading2"/>
        <w:spacing w:after="200" w:before="200"/>
      </w:pPr>
      <w:r>
        <w:t xml:space="preserve">Stage 2: Quiver EP Efficacy Profiling &amp; Rescue Score Extraction</w:t>
      </w:r>
    </w:p>
    <w:p>
      <w:pPr>
        <w:spacing w:after="200" w:before="0"/>
      </w:pPr>
      <w:r>
        <w:rPr>
          <w:b/>
          <w:bCs/>
        </w:rPr>
        <w:t xml:space="preserve">Purpose: </w:t>
      </w:r>
      <w:r>
        <w:t xml:space="preserve">Query Quiver's database to extract electrophysiology rescue scores and phenotypic efficacy for each compound across all tested CNS disease-relevant functional assays.</w:t>
      </w:r>
    </w:p>
    <w:p>
      <w:pPr>
        <w:spacing w:after="100" w:before="0"/>
      </w:pPr>
      <w:r>
        <w:t xml:space="preserve">Inputs:</w:t>
      </w:r>
    </w:p>
    <w:p>
      <w:pPr>
        <w:pStyle w:val="ListParagraph"/>
        <w:numPr>
          <w:ilvl w:val="0"/>
          <w:numId w:val="1"/>
        </w:numPr>
      </w:pPr>
      <w:r>
        <w:t xml:space="preserve">Validated compound profiles from Stage 1</w:t>
      </w:r>
    </w:p>
    <w:p>
      <w:pPr>
        <w:pStyle w:val="ListParagraph"/>
        <w:numPr>
          <w:ilvl w:val="0"/>
          <w:numId w:val="1"/>
        </w:numPr>
      </w:pPr>
      <w:r>
        <w:t xml:space="preserve">Quiver compound atlas with EP rescue data</w:t>
      </w:r>
    </w:p>
    <w:p>
      <w:pPr>
        <w:pStyle w:val="ListParagraph"/>
        <w:numPr>
          <w:ilvl w:val="0"/>
          <w:numId w:val="1"/>
        </w:numPr>
      </w:pPr>
      <w:r>
        <w:t xml:space="preserve">Quiver phenotype annotation database</w:t>
      </w:r>
    </w:p>
    <w:p>
      <w:pPr>
        <w:spacing w:after="100" w:before="200"/>
      </w:pPr>
      <w:r>
        <w:t xml:space="preserve">Tools &amp; Databases Called:</w:t>
      </w:r>
    </w:p>
    <w:p>
      <w:pPr>
        <w:pStyle w:val="ListParagraph"/>
        <w:numPr>
          <w:ilvl w:val="0"/>
          <w:numId w:val="1"/>
        </w:numPr>
      </w:pPr>
      <w:r>
        <w:t xml:space="preserve">Quiver EP Database Query API</w:t>
      </w:r>
    </w:p>
    <w:p>
      <w:pPr>
        <w:pStyle w:val="ListParagraph"/>
        <w:numPr>
          <w:ilvl w:val="0"/>
          <w:numId w:val="1"/>
        </w:numPr>
      </w:pPr>
      <w:r>
        <w:t xml:space="preserve">Compound Rescue Score Aggregator</w:t>
      </w:r>
    </w:p>
    <w:p>
      <w:pPr>
        <w:pStyle w:val="ListParagraph"/>
        <w:numPr>
          <w:ilvl w:val="0"/>
          <w:numId w:val="1"/>
        </w:numPr>
      </w:pPr>
      <w:r>
        <w:t xml:space="preserve">Phenotype Relevance Scorer</w:t>
      </w:r>
    </w:p>
    <w:p>
      <w:pPr>
        <w:pStyle w:val="ListParagraph"/>
        <w:numPr>
          <w:ilvl w:val="0"/>
          <w:numId w:val="1"/>
        </w:numPr>
      </w:pPr>
      <w:r>
        <w:t xml:space="preserve">Multi-Assay Data Integration Engine</w:t>
      </w:r>
    </w:p>
    <w:p>
      <w:pPr>
        <w:spacing w:after="100" w:before="200"/>
      </w:pPr>
      <w:r>
        <w:t xml:space="preserve">Exemplary Sub-Prompts:</w:t>
      </w:r>
    </w:p>
    <w:p>
      <w:pPr>
        <w:pStyle w:val="ListParagraph"/>
        <w:numPr>
          <w:ilvl w:val="0"/>
          <w:numId w:val="1"/>
        </w:numPr>
      </w:pPr>
      <w:r>
        <w:t xml:space="preserve">For each compound, retrieve all Quiver EP rescue scores (by assay, neuronal type, disease condition).</w:t>
      </w:r>
    </w:p>
    <w:p>
      <w:pPr>
        <w:pStyle w:val="ListParagraph"/>
        <w:numPr>
          <w:ilvl w:val="0"/>
          <w:numId w:val="1"/>
        </w:numPr>
      </w:pPr>
      <w:r>
        <w:t xml:space="preserve">Aggregate rescue scores across assays to derive: primary efficacy score, consistency across assays, specificity (target phenotype rescue vs. off-target effects).</w:t>
      </w:r>
    </w:p>
    <w:p>
      <w:pPr>
        <w:pStyle w:val="ListParagraph"/>
        <w:numPr>
          <w:ilvl w:val="0"/>
          <w:numId w:val="1"/>
        </w:numPr>
      </w:pPr>
      <w:r>
        <w:t xml:space="preserve">Score each phenotype for relevance to the target disease indication (e.g., for ASD candidates, weight rescue of network excitability higher).</w:t>
      </w:r>
    </w:p>
    <w:p>
      <w:pPr>
        <w:pStyle w:val="ListParagraph"/>
        <w:numPr>
          <w:ilvl w:val="0"/>
          <w:numId w:val="1"/>
        </w:numPr>
      </w:pPr>
      <w:r>
        <w:t xml:space="preserve">Identify assays where the compound shows unusually low efficacy (potential liability).</w:t>
      </w:r>
    </w:p>
    <w:p>
      <w:pPr>
        <w:spacing w:after="100" w:before="200"/>
      </w:pPr>
      <w:r>
        <w:t xml:space="preserve">Expected Outputs:</w:t>
      </w:r>
    </w:p>
    <w:p>
      <w:pPr>
        <w:pStyle w:val="ListParagraph"/>
        <w:numPr>
          <w:ilvl w:val="0"/>
          <w:numId w:val="1"/>
        </w:numPr>
      </w:pPr>
      <w:r>
        <w:t xml:space="preserve">EP rescue score profile per compound (all assays, aggregated score)</w:t>
      </w:r>
    </w:p>
    <w:p>
      <w:pPr>
        <w:pStyle w:val="ListParagraph"/>
        <w:numPr>
          <w:ilvl w:val="0"/>
          <w:numId w:val="1"/>
        </w:numPr>
      </w:pPr>
      <w:r>
        <w:t xml:space="preserve">Phenotype-efficacy matrix (compound × assay)</w:t>
      </w:r>
    </w:p>
    <w:p>
      <w:pPr>
        <w:pStyle w:val="ListParagraph"/>
        <w:numPr>
          <w:ilvl w:val="0"/>
          <w:numId w:val="1"/>
        </w:numPr>
      </w:pPr>
      <w:r>
        <w:t xml:space="preserve">Efficacy consistency metric (variance across assays)</w:t>
      </w:r>
    </w:p>
    <w:p>
      <w:pPr>
        <w:spacing w:after="200" w:before="0"/>
      </w:pPr>
      <w:r>
        <w:rPr>
          <w:b/>
          <w:bCs/>
        </w:rPr>
        <w:t xml:space="preserve">Format: </w:t>
      </w:r>
      <w:r>
        <w:t xml:space="preserve">Quantitative matrix: compound, primary rescue score (0–100), secondary phenotypes rescued (% efficacy), consistency score, notable off-target effects</w:t>
      </w:r>
    </w:p>
    <w:p>
      <w:pPr>
        <w:pStyle w:val="Heading2"/>
        <w:spacing w:after="200" w:before="200"/>
      </w:pPr>
      <w:r>
        <w:t xml:space="preserve">Stage 3: Clinical Success Rate Modeling &amp; External Benchmark Integration</w:t>
      </w:r>
    </w:p>
    <w:p>
      <w:pPr>
        <w:spacing w:after="200" w:before="0"/>
      </w:pPr>
      <w:r>
        <w:rPr>
          <w:b/>
          <w:bCs/>
        </w:rPr>
        <w:t xml:space="preserve">Purpose: </w:t>
      </w:r>
      <w:r>
        <w:t xml:space="preserve">Build a quantitative Phase 2 PoS model incorporating historical clinical trial data for similar mechanisms, targets, indications, and chemical series to establish baseline and mechanism-specific success benchmarks.</w:t>
      </w:r>
    </w:p>
    <w:p>
      <w:pPr>
        <w:spacing w:after="100" w:before="0"/>
      </w:pPr>
      <w:r>
        <w:t xml:space="preserve">Inputs:</w:t>
      </w:r>
    </w:p>
    <w:p>
      <w:pPr>
        <w:pStyle w:val="ListParagraph"/>
        <w:numPr>
          <w:ilvl w:val="0"/>
          <w:numId w:val="1"/>
        </w:numPr>
      </w:pPr>
      <w:r>
        <w:t xml:space="preserve">Standardized compound profiles from Stage 1</w:t>
      </w:r>
    </w:p>
    <w:p>
      <w:pPr>
        <w:pStyle w:val="ListParagraph"/>
        <w:numPr>
          <w:ilvl w:val="0"/>
          <w:numId w:val="1"/>
        </w:numPr>
      </w:pPr>
      <w:r>
        <w:t xml:space="preserve">Clinical trial database (ClinicalTrials.gov, BiopharmGuy, Tufts Center CSDD PoS data)</w:t>
      </w:r>
    </w:p>
    <w:p>
      <w:pPr>
        <w:pStyle w:val="ListParagraph"/>
        <w:numPr>
          <w:ilvl w:val="0"/>
          <w:numId w:val="1"/>
        </w:numPr>
      </w:pPr>
      <w:r>
        <w:t xml:space="preserve">Pharma/biotech pipeline data (Cortellis, Mergepoint)</w:t>
      </w:r>
    </w:p>
    <w:p>
      <w:pPr>
        <w:pStyle w:val="ListParagraph"/>
        <w:numPr>
          <w:ilvl w:val="0"/>
          <w:numId w:val="1"/>
        </w:numPr>
      </w:pPr>
      <w:r>
        <w:t xml:space="preserve">Mechanism-specific PoS benchmarks (ion channel modulators, GPCR agonists, kinase inhibitors in CNS, etc.)</w:t>
      </w:r>
    </w:p>
    <w:p>
      <w:pPr>
        <w:pStyle w:val="ListParagraph"/>
        <w:numPr>
          <w:ilvl w:val="0"/>
          <w:numId w:val="1"/>
        </w:numPr>
      </w:pPr>
      <w:r>
        <w:t xml:space="preserve">Historical Phase 1→2, Phase 2→3, Phase 3→FDA success rates by mechanism</w:t>
      </w:r>
    </w:p>
    <w:p>
      <w:pPr>
        <w:spacing w:after="100" w:before="200"/>
      </w:pPr>
      <w:r>
        <w:t xml:space="preserve">Tools &amp; Databases Called:</w:t>
      </w:r>
    </w:p>
    <w:p>
      <w:pPr>
        <w:pStyle w:val="ListParagraph"/>
        <w:numPr>
          <w:ilvl w:val="0"/>
          <w:numId w:val="1"/>
        </w:numPr>
      </w:pPr>
      <w:r>
        <w:t xml:space="preserve">Clinical Trial Outcome Analyzer (success/failure extraction)</w:t>
      </w:r>
    </w:p>
    <w:p>
      <w:pPr>
        <w:pStyle w:val="ListParagraph"/>
        <w:numPr>
          <w:ilvl w:val="0"/>
          <w:numId w:val="1"/>
        </w:numPr>
      </w:pPr>
      <w:r>
        <w:t xml:space="preserve">Historical PoS Database (Tufts CSDD, internal benchmarks)</w:t>
      </w:r>
    </w:p>
    <w:p>
      <w:pPr>
        <w:pStyle w:val="ListParagraph"/>
        <w:numPr>
          <w:ilvl w:val="0"/>
          <w:numId w:val="1"/>
        </w:numPr>
      </w:pPr>
      <w:r>
        <w:t xml:space="preserve">Mechanism-Class PoS Scorer</w:t>
      </w:r>
    </w:p>
    <w:p>
      <w:pPr>
        <w:pStyle w:val="ListParagraph"/>
        <w:numPr>
          <w:ilvl w:val="0"/>
          <w:numId w:val="1"/>
        </w:numPr>
      </w:pPr>
      <w:r>
        <w:t xml:space="preserve">Target-Specific Success Rate Calculator</w:t>
      </w:r>
    </w:p>
    <w:p>
      <w:pPr>
        <w:pStyle w:val="ListParagraph"/>
        <w:numPr>
          <w:ilvl w:val="0"/>
          <w:numId w:val="1"/>
        </w:numPr>
      </w:pPr>
      <w:r>
        <w:t xml:space="preserve">Disease-Indication PoS Benchmark Tool</w:t>
      </w:r>
    </w:p>
    <w:p>
      <w:pPr>
        <w:spacing w:after="100" w:before="200"/>
      </w:pPr>
      <w:r>
        <w:t xml:space="preserve">Exemplary Sub-Prompts:</w:t>
      </w:r>
    </w:p>
    <w:p>
      <w:pPr>
        <w:pStyle w:val="ListParagraph"/>
        <w:numPr>
          <w:ilvl w:val="0"/>
          <w:numId w:val="1"/>
        </w:numPr>
      </w:pPr>
      <w:r>
        <w:t xml:space="preserve">Retrieve Phase 1→2 success rates for compounds with similar targets and indications.</w:t>
      </w:r>
    </w:p>
    <w:p>
      <w:pPr>
        <w:pStyle w:val="ListParagraph"/>
        <w:numPr>
          <w:ilvl w:val="0"/>
          <w:numId w:val="1"/>
        </w:numPr>
      </w:pPr>
      <w:r>
        <w:t xml:space="preserve">Identify Phase 2 trials in the same disease indication (to assess disease-specific complexity and regulatory environment).</w:t>
      </w:r>
    </w:p>
    <w:p>
      <w:pPr>
        <w:pStyle w:val="ListParagraph"/>
        <w:numPr>
          <w:ilvl w:val="0"/>
          <w:numId w:val="1"/>
        </w:numPr>
      </w:pPr>
      <w:r>
        <w:t xml:space="preserve">Extract mechanism-class PoS data: what is the historical Phase 2 success rate for ion channel modulators in CNS? For GPCRs? For kinase inhibitors?</w:t>
      </w:r>
    </w:p>
    <w:p>
      <w:pPr>
        <w:pStyle w:val="ListParagraph"/>
        <w:numPr>
          <w:ilvl w:val="0"/>
          <w:numId w:val="1"/>
        </w:numPr>
      </w:pPr>
      <w:r>
        <w:t xml:space="preserve">Adjust benchmarks for regulatory pathway complexity (e.g., neuropsychiatric indications typically harder than neurodegenerative).</w:t>
      </w:r>
    </w:p>
    <w:p>
      <w:pPr>
        <w:spacing w:after="100" w:before="200"/>
      </w:pPr>
      <w:r>
        <w:t xml:space="preserve">Expected Outputs:</w:t>
      </w:r>
    </w:p>
    <w:p>
      <w:pPr>
        <w:pStyle w:val="ListParagraph"/>
        <w:numPr>
          <w:ilvl w:val="0"/>
          <w:numId w:val="1"/>
        </w:numPr>
      </w:pPr>
      <w:r>
        <w:t xml:space="preserve">Phase 2 PoS baseline by mechanism class</w:t>
      </w:r>
    </w:p>
    <w:p>
      <w:pPr>
        <w:pStyle w:val="ListParagraph"/>
        <w:numPr>
          <w:ilvl w:val="0"/>
          <w:numId w:val="1"/>
        </w:numPr>
      </w:pPr>
      <w:r>
        <w:t xml:space="preserve">Phase 2 PoS baseline by target + disease combination</w:t>
      </w:r>
    </w:p>
    <w:p>
      <w:pPr>
        <w:pStyle w:val="ListParagraph"/>
        <w:numPr>
          <w:ilvl w:val="0"/>
          <w:numId w:val="1"/>
        </w:numPr>
      </w:pPr>
      <w:r>
        <w:t xml:space="preserve">Historical success/failure case studies (comparable compounds)</w:t>
      </w:r>
    </w:p>
    <w:p>
      <w:pPr>
        <w:spacing w:after="200" w:before="0"/>
      </w:pPr>
      <w:r>
        <w:rPr>
          <w:b/>
          <w:bCs/>
        </w:rPr>
        <w:t xml:space="preserve">Format: </w:t>
      </w:r>
      <w:r>
        <w:t xml:space="preserve">Benchmark table: mechanism class, baseline Phase 2 PoS (%), comparable compounds, regulatory pathway complexity score</w:t>
      </w:r>
    </w:p>
    <w:p>
      <w:pPr>
        <w:pStyle w:val="Heading2"/>
        <w:spacing w:after="200" w:before="200"/>
      </w:pPr>
      <w:r>
        <w:t xml:space="preserve">Stage 4: Pharmacokinetic (PK) &amp; Pharmacodynamic (PD) Modeling &amp; CNS Bioavailability Assessment</w:t>
      </w:r>
    </w:p>
    <w:p>
      <w:pPr>
        <w:spacing w:after="200" w:before="0"/>
      </w:pPr>
      <w:r>
        <w:rPr>
          <w:b/>
          <w:bCs/>
        </w:rPr>
        <w:t xml:space="preserve">Purpose: </w:t>
      </w:r>
      <w:r>
        <w:t xml:space="preserve">Predict PK/PD properties and CNS bioavailability for each compound using chemoinformatics and structural modeling, identifying potential pharmacological barriers to Phase 2 success.</w:t>
      </w:r>
    </w:p>
    <w:p>
      <w:pPr>
        <w:spacing w:after="100" w:before="0"/>
      </w:pPr>
      <w:r>
        <w:t xml:space="preserve">Inputs:</w:t>
      </w:r>
    </w:p>
    <w:p>
      <w:pPr>
        <w:pStyle w:val="ListParagraph"/>
        <w:numPr>
          <w:ilvl w:val="0"/>
          <w:numId w:val="1"/>
        </w:numPr>
      </w:pPr>
      <w:r>
        <w:t xml:space="preserve">Compound structures (SMILES) from Stage 1</w:t>
      </w:r>
    </w:p>
    <w:p>
      <w:pPr>
        <w:pStyle w:val="ListParagraph"/>
        <w:numPr>
          <w:ilvl w:val="0"/>
          <w:numId w:val="1"/>
        </w:numPr>
      </w:pPr>
      <w:r>
        <w:t xml:space="preserve">Target binding predictions from Stage 1</w:t>
      </w:r>
    </w:p>
    <w:p>
      <w:pPr>
        <w:pStyle w:val="ListParagraph"/>
        <w:numPr>
          <w:ilvl w:val="0"/>
          <w:numId w:val="1"/>
        </w:numPr>
      </w:pPr>
      <w:r>
        <w:t xml:space="preserve">Known PK data (if available from literature or prior studies)</w:t>
      </w:r>
    </w:p>
    <w:p>
      <w:pPr>
        <w:pStyle w:val="ListParagraph"/>
        <w:numPr>
          <w:ilvl w:val="0"/>
          <w:numId w:val="1"/>
        </w:numPr>
      </w:pPr>
      <w:r>
        <w:t xml:space="preserve">CNS bioavailability predictor algorithms</w:t>
      </w:r>
    </w:p>
    <w:p>
      <w:pPr>
        <w:spacing w:after="100" w:before="200"/>
      </w:pPr>
      <w:r>
        <w:t xml:space="preserve">Tools &amp; Databases Called:</w:t>
      </w:r>
    </w:p>
    <w:p>
      <w:pPr>
        <w:pStyle w:val="ListParagraph"/>
        <w:numPr>
          <w:ilvl w:val="0"/>
          <w:numId w:val="1"/>
        </w:numPr>
      </w:pPr>
      <w:r>
        <w:t xml:space="preserve">ADME Prediction Engine (Lipinski, BBB permeability, CYP450 metabolism)</w:t>
      </w:r>
    </w:p>
    <w:p>
      <w:pPr>
        <w:pStyle w:val="ListParagraph"/>
        <w:numPr>
          <w:ilvl w:val="0"/>
          <w:numId w:val="1"/>
        </w:numPr>
      </w:pPr>
      <w:r>
        <w:t xml:space="preserve">PK/PD Modeling Tool (dose escalation, steady-state prediction)</w:t>
      </w:r>
    </w:p>
    <w:p>
      <w:pPr>
        <w:pStyle w:val="ListParagraph"/>
        <w:numPr>
          <w:ilvl w:val="0"/>
          <w:numId w:val="1"/>
        </w:numPr>
      </w:pPr>
      <w:r>
        <w:t xml:space="preserve">CNS Bioavailability Predictor (BBB transporter substrate analysis)</w:t>
      </w:r>
    </w:p>
    <w:p>
      <w:pPr>
        <w:pStyle w:val="ListParagraph"/>
        <w:numPr>
          <w:ilvl w:val="0"/>
          <w:numId w:val="1"/>
        </w:numPr>
      </w:pPr>
      <w:r>
        <w:t xml:space="preserve">Metabolism Liability Analyzer (CYP3A4, CYP2D6, UGT substrates)</w:t>
      </w:r>
    </w:p>
    <w:p>
      <w:pPr>
        <w:pStyle w:val="ListParagraph"/>
        <w:numPr>
          <w:ilvl w:val="0"/>
          <w:numId w:val="1"/>
        </w:numPr>
      </w:pPr>
      <w:r>
        <w:t xml:space="preserve">Off-Target Pharmacology Predictor (potential liability)</w:t>
      </w:r>
    </w:p>
    <w:p>
      <w:pPr>
        <w:spacing w:after="100" w:before="200"/>
      </w:pPr>
      <w:r>
        <w:t xml:space="preserve">Exemplary Sub-Prompts:</w:t>
      </w:r>
    </w:p>
    <w:p>
      <w:pPr>
        <w:pStyle w:val="ListParagraph"/>
        <w:numPr>
          <w:ilvl w:val="0"/>
          <w:numId w:val="1"/>
        </w:numPr>
      </w:pPr>
      <w:r>
        <w:t xml:space="preserve">Predict ADME properties for each compound: MW, LogP, HBD/HBA, solubility, CYP450 interaction profile.</w:t>
      </w:r>
    </w:p>
    <w:p>
      <w:pPr>
        <w:pStyle w:val="ListParagraph"/>
        <w:numPr>
          <w:ilvl w:val="0"/>
          <w:numId w:val="1"/>
        </w:numPr>
      </w:pPr>
      <w:r>
        <w:t xml:space="preserve">Assess BBB penetration: is the compound a substrate for active efflux transporters (P-gp)? Predicted brain:plasma ratio?</w:t>
      </w:r>
    </w:p>
    <w:p>
      <w:pPr>
        <w:pStyle w:val="ListParagraph"/>
        <w:numPr>
          <w:ilvl w:val="0"/>
          <w:numId w:val="1"/>
        </w:numPr>
      </w:pPr>
      <w:r>
        <w:t xml:space="preserve">Model likely oral bioavailability and first-pass metabolism.</w:t>
      </w:r>
    </w:p>
    <w:p>
      <w:pPr>
        <w:pStyle w:val="ListParagraph"/>
        <w:numPr>
          <w:ilvl w:val="0"/>
          <w:numId w:val="1"/>
        </w:numPr>
      </w:pPr>
      <w:r>
        <w:t xml:space="preserve">Identify high-risk PK liabilities that might cause trial failure (poor absorption, rapid metabolism, DDI risk).</w:t>
      </w:r>
    </w:p>
    <w:p>
      <w:pPr>
        <w:spacing w:after="100" w:before="200"/>
      </w:pPr>
      <w:r>
        <w:t xml:space="preserve">Expected Outputs:</w:t>
      </w:r>
    </w:p>
    <w:p>
      <w:pPr>
        <w:pStyle w:val="ListParagraph"/>
        <w:numPr>
          <w:ilvl w:val="0"/>
          <w:numId w:val="1"/>
        </w:numPr>
      </w:pPr>
      <w:r>
        <w:t xml:space="preserve">ADME prediction profile per compound</w:t>
      </w:r>
    </w:p>
    <w:p>
      <w:pPr>
        <w:pStyle w:val="ListParagraph"/>
        <w:numPr>
          <w:ilvl w:val="0"/>
          <w:numId w:val="1"/>
        </w:numPr>
      </w:pPr>
      <w:r>
        <w:t xml:space="preserve">BBB bioavailability assessment (predicted brain:plasma ratio)</w:t>
      </w:r>
    </w:p>
    <w:p>
      <w:pPr>
        <w:pStyle w:val="ListParagraph"/>
        <w:numPr>
          <w:ilvl w:val="0"/>
          <w:numId w:val="1"/>
        </w:numPr>
      </w:pPr>
      <w:r>
        <w:t xml:space="preserve">PK/PD risk classification (low, medium, high risk)</w:t>
      </w:r>
    </w:p>
    <w:p>
      <w:pPr>
        <w:spacing w:after="200" w:before="0"/>
      </w:pPr>
      <w:r>
        <w:rPr>
          <w:b/>
          <w:bCs/>
        </w:rPr>
        <w:t xml:space="preserve">Format: </w:t>
      </w:r>
      <w:r>
        <w:t xml:space="preserve">ADME summary: compound, predicted F(%), BBB penetration (low/medium/high), metabolic liability (CYP substrate profile), Phase 2 risk (PK-related)</w:t>
      </w:r>
    </w:p>
    <w:p>
      <w:pPr>
        <w:pStyle w:val="Heading2"/>
        <w:spacing w:after="200" w:before="200"/>
      </w:pPr>
      <w:r>
        <w:t xml:space="preserve">Stage 5: Safety &amp; Toxicology Signal Assessment, Off-Target Liability Modeling</w:t>
      </w:r>
    </w:p>
    <w:p>
      <w:pPr>
        <w:spacing w:after="200" w:before="0"/>
      </w:pPr>
      <w:r>
        <w:rPr>
          <w:b/>
          <w:bCs/>
        </w:rPr>
        <w:t xml:space="preserve">Purpose: </w:t>
      </w:r>
      <w:r>
        <w:t xml:space="preserve">Systematically evaluate known safety signals, off-target pharmacology, and predicted toxicology risks that could lead to Phase 2 trial failure, adverse events, or regulatory halt.</w:t>
      </w:r>
    </w:p>
    <w:p>
      <w:pPr>
        <w:spacing w:after="100" w:before="0"/>
      </w:pPr>
      <w:r>
        <w:t xml:space="preserve">Inputs:</w:t>
      </w:r>
    </w:p>
    <w:p>
      <w:pPr>
        <w:pStyle w:val="ListParagraph"/>
        <w:numPr>
          <w:ilvl w:val="0"/>
          <w:numId w:val="1"/>
        </w:numPr>
      </w:pPr>
      <w:r>
        <w:t xml:space="preserve">Compound structures from Stage 1</w:t>
      </w:r>
    </w:p>
    <w:p>
      <w:pPr>
        <w:pStyle w:val="ListParagraph"/>
        <w:numPr>
          <w:ilvl w:val="0"/>
          <w:numId w:val="1"/>
        </w:numPr>
      </w:pPr>
      <w:r>
        <w:t xml:space="preserve">Prior clinical/preclinical safety data (if available)</w:t>
      </w:r>
    </w:p>
    <w:p>
      <w:pPr>
        <w:pStyle w:val="ListParagraph"/>
        <w:numPr>
          <w:ilvl w:val="0"/>
          <w:numId w:val="1"/>
        </w:numPr>
      </w:pPr>
      <w:r>
        <w:t xml:space="preserve">Predicted off-target binding profile</w:t>
      </w:r>
    </w:p>
    <w:p>
      <w:pPr>
        <w:pStyle w:val="ListParagraph"/>
        <w:numPr>
          <w:ilvl w:val="0"/>
          <w:numId w:val="1"/>
        </w:numPr>
      </w:pPr>
      <w:r>
        <w:t xml:space="preserve">Toxicology database (e.g., Tox21, eTOX)</w:t>
      </w:r>
    </w:p>
    <w:p>
      <w:pPr>
        <w:spacing w:after="100" w:before="200"/>
      </w:pPr>
      <w:r>
        <w:t xml:space="preserve">Tools &amp; Databases Called:</w:t>
      </w:r>
    </w:p>
    <w:p>
      <w:pPr>
        <w:pStyle w:val="ListParagraph"/>
        <w:numPr>
          <w:ilvl w:val="0"/>
          <w:numId w:val="1"/>
        </w:numPr>
      </w:pPr>
      <w:r>
        <w:t xml:space="preserve">Off-Target Binding Predictor (pan-assay profiling modeling)</w:t>
      </w:r>
    </w:p>
    <w:p>
      <w:pPr>
        <w:pStyle w:val="ListParagraph"/>
        <w:numPr>
          <w:ilvl w:val="0"/>
          <w:numId w:val="1"/>
        </w:numPr>
      </w:pPr>
      <w:r>
        <w:t xml:space="preserve">Toxicology Database Query (Tox21, PubChem, literature)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Safety Signal Extractor (adverse event databases</w:t>
      </w:r>
      <w:r>
        <w:t xml:space="preserve">: FDA Adverse Event Reporting System, EudraVigilance)</w:t>
      </w:r>
    </w:p>
    <w:p>
      <w:pPr>
        <w:pStyle w:val="ListParagraph"/>
        <w:numPr>
          <w:ilvl w:val="0"/>
          <w:numId w:val="1"/>
        </w:numPr>
      </w:pPr>
      <w:r>
        <w:t xml:space="preserve">Structural Alert System (DEREK, Lhasa, structural liability flags)</w:t>
      </w:r>
    </w:p>
    <w:p>
      <w:pPr>
        <w:spacing w:after="100" w:before="200"/>
      </w:pPr>
      <w:r>
        <w:t xml:space="preserve">Exemplary Sub-Prompts:</w:t>
      </w:r>
    </w:p>
    <w:p>
      <w:pPr>
        <w:pStyle w:val="ListParagraph"/>
        <w:numPr>
          <w:ilvl w:val="0"/>
          <w:numId w:val="1"/>
        </w:numPr>
      </w:pPr>
      <w:r>
        <w:t xml:space="preserve">For each compound, predict off-target binding across 100+ relevant proteins (kinases, GPCRs, ion channels, nuclear receptors).</w:t>
      </w:r>
    </w:p>
    <w:p>
      <w:pPr>
        <w:pStyle w:val="ListParagraph"/>
        <w:numPr>
          <w:ilvl w:val="0"/>
          <w:numId w:val="1"/>
        </w:numPr>
      </w:pPr>
      <w:r>
        <w:t xml:space="preserve">Search clinical trial and case report databases for adverse events associated with this compound or close analogues.</w:t>
      </w:r>
    </w:p>
    <w:p>
      <w:pPr>
        <w:pStyle w:val="ListParagraph"/>
        <w:numPr>
          <w:ilvl w:val="0"/>
          <w:numId w:val="1"/>
        </w:numPr>
      </w:pPr>
      <w:r>
        <w:t xml:space="preserve">Apply structural alert algorithms to identify known toxicophores or liability patterns.</w:t>
      </w:r>
    </w:p>
    <w:p>
      <w:pPr>
        <w:pStyle w:val="ListParagraph"/>
        <w:numPr>
          <w:ilvl w:val="0"/>
          <w:numId w:val="1"/>
        </w:numPr>
      </w:pPr>
      <w:r>
        <w:t xml:space="preserve">Assess immune safety risk (DILI liability, complement activation, potential for autoimmunity based on target).</w:t>
      </w:r>
    </w:p>
    <w:p>
      <w:pPr>
        <w:spacing w:after="100" w:before="200"/>
      </w:pPr>
      <w:r>
        <w:t xml:space="preserve">Expected Outputs:</w:t>
      </w:r>
    </w:p>
    <w:p>
      <w:pPr>
        <w:pStyle w:val="ListParagraph"/>
        <w:numPr>
          <w:ilvl w:val="0"/>
          <w:numId w:val="1"/>
        </w:numPr>
      </w:pPr>
      <w:r>
        <w:t xml:space="preserve">Off-target binding profile (% occupancy prediction at relevant targets)</w:t>
      </w:r>
    </w:p>
    <w:p>
      <w:pPr>
        <w:pStyle w:val="ListParagraph"/>
        <w:numPr>
          <w:ilvl w:val="0"/>
          <w:numId w:val="1"/>
        </w:numPr>
      </w:pPr>
      <w:r>
        <w:t xml:space="preserve">Known safety signals (clinical adverse events from prior trials)</w:t>
      </w:r>
    </w:p>
    <w:p>
      <w:pPr>
        <w:pStyle w:val="ListParagraph"/>
        <w:numPr>
          <w:ilvl w:val="0"/>
          <w:numId w:val="1"/>
        </w:numPr>
      </w:pPr>
      <w:r>
        <w:t xml:space="preserve">Predicted toxicology risk (structural alerts, mechanism-based toxicity concerns)</w:t>
      </w:r>
    </w:p>
    <w:p>
      <w:pPr>
        <w:pStyle w:val="ListParagraph"/>
        <w:numPr>
          <w:ilvl w:val="0"/>
          <w:numId w:val="1"/>
        </w:numPr>
      </w:pPr>
      <w:r>
        <w:t xml:space="preserve">Safety risk tier (low/medium/high)</w:t>
      </w:r>
    </w:p>
    <w:p>
      <w:pPr>
        <w:spacing w:after="200" w:before="0"/>
      </w:pPr>
      <w:r>
        <w:rPr>
          <w:b/>
          <w:bCs/>
        </w:rPr>
        <w:t xml:space="preserve">Format: </w:t>
      </w:r>
      <w:r>
        <w:t xml:space="preserve">Safety scorecard: compound, major off-target risks (top 5), known adverse events (if any), structural alerts, overall safety risk, go/no-go flag</w:t>
      </w:r>
    </w:p>
    <w:p>
      <w:pPr>
        <w:pStyle w:val="Heading2"/>
        <w:spacing w:after="200" w:before="200"/>
      </w:pPr>
      <w:r>
        <w:t xml:space="preserve">Stage 6: Quantitative Phase 2 PoS Calculation, Weighting, &amp; Sensitivity Analysis</w:t>
      </w:r>
    </w:p>
    <w:p>
      <w:pPr>
        <w:spacing w:after="200" w:before="0"/>
      </w:pPr>
      <w:r>
        <w:rPr>
          <w:b/>
          <w:bCs/>
        </w:rPr>
        <w:t xml:space="preserve">Purpose: </w:t>
      </w:r>
      <w:r>
        <w:t xml:space="preserve">Combine all evidence (Quiver efficacy, clinical benchmarks, PK/PD, safety) into a single quantitative Phase 2 PoS score using a calibrated multi-factor model, with sensitivity analysis to identify key drivers.</w:t>
      </w:r>
    </w:p>
    <w:p>
      <w:pPr>
        <w:spacing w:after="100" w:before="0"/>
      </w:pPr>
      <w:r>
        <w:t xml:space="preserve">Inputs:</w:t>
      </w:r>
    </w:p>
    <w:p>
      <w:pPr>
        <w:pStyle w:val="ListParagraph"/>
        <w:numPr>
          <w:ilvl w:val="0"/>
          <w:numId w:val="1"/>
        </w:numPr>
      </w:pPr>
      <w:r>
        <w:t xml:space="preserve">EP rescue scores (Stage 2)</w:t>
      </w:r>
    </w:p>
    <w:p>
      <w:pPr>
        <w:pStyle w:val="ListParagraph"/>
        <w:numPr>
          <w:ilvl w:val="0"/>
          <w:numId w:val="1"/>
        </w:numPr>
      </w:pPr>
      <w:r>
        <w:t xml:space="preserve">Clinical success benchmarks (Stage 3)</w:t>
      </w:r>
    </w:p>
    <w:p>
      <w:pPr>
        <w:pStyle w:val="ListParagraph"/>
        <w:numPr>
          <w:ilvl w:val="0"/>
          <w:numId w:val="1"/>
        </w:numPr>
      </w:pPr>
      <w:r>
        <w:t xml:space="preserve">PK/PD risk profile (Stage 4)</w:t>
      </w:r>
    </w:p>
    <w:p>
      <w:pPr>
        <w:pStyle w:val="ListParagraph"/>
        <w:numPr>
          <w:ilvl w:val="0"/>
          <w:numId w:val="1"/>
        </w:numPr>
      </w:pPr>
      <w:r>
        <w:t xml:space="preserve">Safety risk assessment (Stage 5)</w:t>
      </w:r>
    </w:p>
    <w:p>
      <w:pPr>
        <w:spacing w:after="100" w:before="200"/>
      </w:pPr>
      <w:r>
        <w:t xml:space="preserve">Tools &amp; Databases Called:</w:t>
      </w:r>
    </w:p>
    <w:p>
      <w:pPr>
        <w:pStyle w:val="ListParagraph"/>
        <w:numPr>
          <w:ilvl w:val="0"/>
          <w:numId w:val="1"/>
        </w:numPr>
      </w:pPr>
      <w:r>
        <w:t xml:space="preserve">Multi-Factor PoS Model (Bayesian integration, weighted scoring)</w:t>
      </w:r>
    </w:p>
    <w:p>
      <w:pPr>
        <w:pStyle w:val="ListParagraph"/>
        <w:numPr>
          <w:ilvl w:val="0"/>
          <w:numId w:val="1"/>
        </w:numPr>
      </w:pPr>
      <w:r>
        <w:t xml:space="preserve">Sensitivity Analysis Engine (parameter uncertainty quantification)</w:t>
      </w:r>
    </w:p>
    <w:p>
      <w:pPr>
        <w:pStyle w:val="ListParagraph"/>
        <w:numPr>
          <w:ilvl w:val="0"/>
          <w:numId w:val="1"/>
        </w:numPr>
      </w:pPr>
      <w:r>
        <w:t xml:space="preserve">Confidence Interval Calculator</w:t>
      </w:r>
    </w:p>
    <w:p>
      <w:pPr>
        <w:pStyle w:val="ListParagraph"/>
        <w:numPr>
          <w:ilvl w:val="0"/>
          <w:numId w:val="1"/>
        </w:numPr>
      </w:pPr>
      <w:r>
        <w:t xml:space="preserve">Scenario Modeling Tool (best case, worst case, base case)</w:t>
      </w:r>
    </w:p>
    <w:p>
      <w:pPr>
        <w:spacing w:after="100" w:before="200"/>
      </w:pPr>
      <w:r>
        <w:t xml:space="preserve">Exemplary Sub-Prompts:</w:t>
      </w:r>
    </w:p>
    <w:p>
      <w:pPr>
        <w:pStyle w:val="ListParagraph"/>
        <w:numPr>
          <w:ilvl w:val="0"/>
          <w:numId w:val="1"/>
        </w:numPr>
      </w:pPr>
      <w:r>
        <w:t xml:space="preserve">Build a Phase 2 PoS model: PoS = (efficacy component) × (clinical precedent) × (1 - PK/PD risk) × (1 - safety risk).</w:t>
      </w:r>
    </w:p>
    <w:p>
      <w:pPr>
        <w:pStyle w:val="ListParagraph"/>
        <w:numPr>
          <w:ilvl w:val="0"/>
          <w:numId w:val="1"/>
        </w:numPr>
      </w:pPr>
      <w:r>
        <w:t xml:space="preserve">Weight Quiver EP rescue score at 35%, clinical mechanism-specific baseline at 40%, PK/PD risk at 15%, safety risk at 10%.</w:t>
      </w:r>
    </w:p>
    <w:p>
      <w:pPr>
        <w:pStyle w:val="ListParagraph"/>
        <w:numPr>
          <w:ilvl w:val="0"/>
          <w:numId w:val="1"/>
        </w:numPr>
      </w:pPr>
      <w:r>
        <w:t xml:space="preserve">For each compound, calculate: base PoS (%), confidence interval (95% CI), key risk drivers.</w:t>
      </w:r>
    </w:p>
    <w:p>
      <w:pPr>
        <w:pStyle w:val="ListParagraph"/>
        <w:numPr>
          <w:ilvl w:val="0"/>
          <w:numId w:val="1"/>
        </w:numPr>
      </w:pPr>
      <w:r>
        <w:t xml:space="preserve">Run sensitivity analysis: how does Phase 2 PoS change if efficacy is ±20%? If safety risk is higher? If regulatory pathway is more stringent?</w:t>
      </w:r>
    </w:p>
    <w:p>
      <w:pPr>
        <w:spacing w:after="100" w:before="200"/>
      </w:pPr>
      <w:r>
        <w:t xml:space="preserve">Expected Outputs:</w:t>
      </w:r>
    </w:p>
    <w:p>
      <w:pPr>
        <w:pStyle w:val="ListParagraph"/>
        <w:numPr>
          <w:ilvl w:val="0"/>
          <w:numId w:val="1"/>
        </w:numPr>
      </w:pPr>
      <w:r>
        <w:t xml:space="preserve">Phase 2 PoS score for each compound (0–100%)</w:t>
      </w:r>
    </w:p>
    <w:p>
      <w:pPr>
        <w:pStyle w:val="ListParagraph"/>
        <w:numPr>
          <w:ilvl w:val="0"/>
          <w:numId w:val="1"/>
        </w:numPr>
      </w:pPr>
      <w:r>
        <w:t xml:space="preserve">Confidence interval (95% CI)</w:t>
      </w:r>
    </w:p>
    <w:p>
      <w:pPr>
        <w:pStyle w:val="ListParagraph"/>
        <w:numPr>
          <w:ilvl w:val="0"/>
          <w:numId w:val="1"/>
        </w:numPr>
      </w:pPr>
      <w:r>
        <w:t xml:space="preserve">Key driver analysis (which factor most influences PoS for each compound?)</w:t>
      </w:r>
    </w:p>
    <w:p>
      <w:pPr>
        <w:pStyle w:val="ListParagraph"/>
        <w:numPr>
          <w:ilvl w:val="0"/>
          <w:numId w:val="1"/>
        </w:numPr>
      </w:pPr>
      <w:r>
        <w:t xml:space="preserve">Sensitivity analysis results</w:t>
      </w:r>
    </w:p>
    <w:p>
      <w:pPr>
        <w:spacing w:after="200" w:before="0"/>
      </w:pPr>
      <w:r>
        <w:rPr>
          <w:b/>
          <w:bCs/>
        </w:rPr>
        <w:t xml:space="preserve">Format: </w:t>
      </w:r>
      <w:r>
        <w:t xml:space="preserve">Quantitative scorecard: compound, Phase 2 PoS (%), 95% CI, base drivers (efficacy, mechanism precedent, PK/PD risk, safety risk), top risk factor</w:t>
      </w:r>
    </w:p>
    <w:p>
      <w:pPr>
        <w:pStyle w:val="Heading2"/>
        <w:spacing w:after="200" w:before="200"/>
      </w:pPr>
      <w:r>
        <w:t xml:space="preserve">Stage 7: Ranking, Portfolio Prioritization, &amp; Investment-Ready Output</w:t>
      </w:r>
    </w:p>
    <w:p>
      <w:pPr>
        <w:spacing w:after="200" w:before="0"/>
      </w:pPr>
      <w:r>
        <w:rPr>
          <w:b/>
          <w:bCs/>
        </w:rPr>
        <w:t xml:space="preserve">Purpose: </w:t>
      </w:r>
      <w:r>
        <w:t xml:space="preserve">Rank all 20 compounds by Phase 2 PoS, provide portfolio-level insights, and generate investment-ready outputs for stakeholder decision-making and funding allocation.</w:t>
      </w:r>
    </w:p>
    <w:p>
      <w:pPr>
        <w:spacing w:after="100" w:before="0"/>
      </w:pPr>
      <w:r>
        <w:t xml:space="preserve">Inputs:</w:t>
      </w:r>
    </w:p>
    <w:p>
      <w:pPr>
        <w:pStyle w:val="ListParagraph"/>
        <w:numPr>
          <w:ilvl w:val="0"/>
          <w:numId w:val="1"/>
        </w:numPr>
      </w:pPr>
      <w:r>
        <w:t xml:space="preserve">Phase 2 PoS scores and risk profiles from Stage 6</w:t>
      </w:r>
    </w:p>
    <w:p>
      <w:pPr>
        <w:pStyle w:val="ListParagraph"/>
        <w:numPr>
          <w:ilvl w:val="0"/>
          <w:numId w:val="1"/>
        </w:numPr>
      </w:pPr>
      <w:r>
        <w:t xml:space="preserve">Portfolio context (disease areas, target diversity, stage distribution)</w:t>
      </w:r>
    </w:p>
    <w:p>
      <w:pPr>
        <w:spacing w:after="100" w:before="200"/>
      </w:pPr>
      <w:r>
        <w:t xml:space="preserve">Tools &amp; Databases Called:</w:t>
      </w:r>
    </w:p>
    <w:p>
      <w:pPr>
        <w:pStyle w:val="ListParagraph"/>
        <w:numPr>
          <w:ilvl w:val="0"/>
          <w:numId w:val="1"/>
        </w:numPr>
      </w:pPr>
      <w:r>
        <w:t xml:space="preserve">Ranking Algorithm (PoS-based sorting)</w:t>
      </w:r>
    </w:p>
    <w:p>
      <w:pPr>
        <w:pStyle w:val="ListParagraph"/>
        <w:numPr>
          <w:ilvl w:val="0"/>
          <w:numId w:val="1"/>
        </w:numPr>
      </w:pPr>
      <w:r>
        <w:t xml:space="preserve">Portfolio Analytics Engine (diversification, risk-adjusted return)</w:t>
      </w:r>
    </w:p>
    <w:p>
      <w:pPr>
        <w:pStyle w:val="ListParagraph"/>
        <w:numPr>
          <w:ilvl w:val="0"/>
          <w:numId w:val="1"/>
        </w:numPr>
      </w:pPr>
      <w:r>
        <w:t xml:space="preserve">Report Generator (executive summary, detailed rankings)</w:t>
      </w:r>
    </w:p>
    <w:p>
      <w:pPr>
        <w:pStyle w:val="ListParagraph"/>
        <w:numPr>
          <w:ilvl w:val="0"/>
          <w:numId w:val="1"/>
        </w:numPr>
      </w:pPr>
      <w:r>
        <w:t xml:space="preserve">Visualization Tool (forest plots, risk-benefit charts)</w:t>
      </w:r>
    </w:p>
    <w:p>
      <w:pPr>
        <w:spacing w:after="100" w:before="200"/>
      </w:pPr>
      <w:r>
        <w:t xml:space="preserve">Exemplary Sub-Prompts:</w:t>
      </w:r>
    </w:p>
    <w:p>
      <w:pPr>
        <w:pStyle w:val="ListParagraph"/>
        <w:numPr>
          <w:ilvl w:val="0"/>
          <w:numId w:val="1"/>
        </w:numPr>
      </w:pPr>
      <w:r>
        <w:t xml:space="preserve">Rank all 20 compounds by Phase 2 PoS (descending).</w:t>
      </w:r>
    </w:p>
    <w:p>
      <w:pPr>
        <w:pStyle w:val="ListParagraph"/>
        <w:numPr>
          <w:ilvl w:val="0"/>
          <w:numId w:val="1"/>
        </w:numPr>
      </w:pPr>
      <w:r>
        <w:t xml:space="preserve">Highlight top 5 compounds with &gt;70% PoS, medium-tier compounds (40–70%), and high-risk compounds (&lt;40%).</w:t>
      </w:r>
    </w:p>
    <w:p>
      <w:pPr>
        <w:pStyle w:val="ListParagraph"/>
        <w:numPr>
          <w:ilvl w:val="0"/>
          <w:numId w:val="1"/>
        </w:numPr>
      </w:pPr>
      <w:r>
        <w:t xml:space="preserve">Perform portfolio analysis: what is the expected number of Phase 2 successes if we advance all 20? Top 10? How does portfolio risk change with different allocation strategies?</w:t>
      </w:r>
    </w:p>
    <w:p>
      <w:pPr>
        <w:pStyle w:val="ListParagraph"/>
        <w:numPr>
          <w:ilvl w:val="0"/>
          <w:numId w:val="1"/>
        </w:numPr>
      </w:pPr>
      <w:r>
        <w:t xml:space="preserve">Generate executive summary (1–2 pages), detailed ranking with justification (3–5 pages), and supplementary data tables.</w:t>
      </w:r>
    </w:p>
    <w:p>
      <w:pPr>
        <w:spacing w:after="100" w:before="200"/>
      </w:pPr>
      <w:r>
        <w:t xml:space="preserve">Expected Outputs:</w:t>
      </w:r>
    </w:p>
    <w:p>
      <w:pPr>
        <w:pStyle w:val="ListParagraph"/>
        <w:numPr>
          <w:ilvl w:val="0"/>
          <w:numId w:val="1"/>
        </w:numPr>
      </w:pPr>
      <w:r>
        <w:t xml:space="preserve">Ranked list of 20 compounds (Phase 2 PoS, confidence, key drivers)</w:t>
      </w:r>
    </w:p>
    <w:p>
      <w:pPr>
        <w:pStyle w:val="ListParagraph"/>
        <w:numPr>
          <w:ilvl w:val="0"/>
          <w:numId w:val="1"/>
        </w:numPr>
      </w:pPr>
      <w:r>
        <w:t xml:space="preserve">Portfolio-level success probability</w:t>
      </w:r>
    </w:p>
    <w:p>
      <w:pPr>
        <w:pStyle w:val="ListParagraph"/>
        <w:numPr>
          <w:ilvl w:val="0"/>
          <w:numId w:val="1"/>
        </w:numPr>
      </w:pPr>
      <w:r>
        <w:t xml:space="preserve">Investment recommendation (go/no-go per compound)</w:t>
      </w:r>
    </w:p>
    <w:p>
      <w:pPr>
        <w:pStyle w:val="ListParagraph"/>
        <w:numPr>
          <w:ilvl w:val="0"/>
          <w:numId w:val="1"/>
        </w:numPr>
      </w:pPr>
      <w:r>
        <w:t xml:space="preserve">Go/stop decision matrix by PoS tier</w:t>
      </w:r>
    </w:p>
    <w:p>
      <w:pPr>
        <w:spacing w:after="200" w:before="0"/>
      </w:pPr>
      <w:r>
        <w:rPr>
          <w:b/>
          <w:bCs/>
        </w:rPr>
        <w:t xml:space="preserve">Format: </w:t>
      </w:r>
      <w:r>
        <w:t xml:space="preserve">Tiered ranking table: rank #, compound, Phase 2 PoS (%), 95% CI, recommendation tier, key opportunity, primary risk, confidence</w:t>
      </w:r>
    </w:p>
    <w:p>
      <w:pPr>
        <w:pStyle w:val="Heading2"/>
        <w:spacing w:after="200" w:before="200"/>
      </w:pPr>
      <w:r>
        <w:t xml:space="preserve">Tools &amp; Databases Summary</w:t>
      </w:r>
    </w:p>
    <w:p>
      <w:pPr>
        <w:pStyle w:val="ListParagraph"/>
        <w:numPr>
          <w:ilvl w:val="0"/>
          <w:numId w:val="1"/>
        </w:numPr>
      </w:pPr>
      <w:r>
        <w:t xml:space="preserve">Compound Normalization Engine</w:t>
      </w:r>
    </w:p>
    <w:p>
      <w:pPr>
        <w:pStyle w:val="ListParagraph"/>
        <w:numPr>
          <w:ilvl w:val="0"/>
          <w:numId w:val="1"/>
        </w:numPr>
      </w:pPr>
      <w:r>
        <w:t xml:space="preserve">Target ID Validator</w:t>
      </w:r>
    </w:p>
    <w:p>
      <w:pPr>
        <w:pStyle w:val="ListParagraph"/>
        <w:numPr>
          <w:ilvl w:val="0"/>
          <w:numId w:val="1"/>
        </w:numPr>
      </w:pPr>
      <w:r>
        <w:t xml:space="preserve">Mechanism Classification System</w:t>
      </w:r>
    </w:p>
    <w:p>
      <w:pPr>
        <w:pStyle w:val="ListParagraph"/>
        <w:numPr>
          <w:ilvl w:val="0"/>
          <w:numId w:val="1"/>
        </w:numPr>
      </w:pPr>
      <w:r>
        <w:t xml:space="preserve">ChEMBL, PubChem, DrugBank Query</w:t>
      </w:r>
    </w:p>
    <w:p>
      <w:pPr>
        <w:pStyle w:val="ListParagraph"/>
        <w:numPr>
          <w:ilvl w:val="0"/>
          <w:numId w:val="1"/>
        </w:numPr>
      </w:pPr>
      <w:r>
        <w:t xml:space="preserve">Quiver EP Database Query API</w:t>
      </w:r>
    </w:p>
    <w:p>
      <w:pPr>
        <w:pStyle w:val="ListParagraph"/>
        <w:numPr>
          <w:ilvl w:val="0"/>
          <w:numId w:val="1"/>
        </w:numPr>
      </w:pPr>
      <w:r>
        <w:t xml:space="preserve">Compound Rescue Score Aggregator</w:t>
      </w:r>
    </w:p>
    <w:p>
      <w:pPr>
        <w:pStyle w:val="ListParagraph"/>
        <w:numPr>
          <w:ilvl w:val="0"/>
          <w:numId w:val="1"/>
        </w:numPr>
      </w:pPr>
      <w:r>
        <w:t xml:space="preserve">Phenotype Relevance Scorer</w:t>
      </w:r>
    </w:p>
    <w:p>
      <w:pPr>
        <w:pStyle w:val="ListParagraph"/>
        <w:numPr>
          <w:ilvl w:val="0"/>
          <w:numId w:val="1"/>
        </w:numPr>
      </w:pPr>
      <w:r>
        <w:t xml:space="preserve">Multi-Assay Data Integration Engine</w:t>
      </w:r>
    </w:p>
    <w:p>
      <w:pPr>
        <w:pStyle w:val="ListParagraph"/>
        <w:numPr>
          <w:ilvl w:val="0"/>
          <w:numId w:val="1"/>
        </w:numPr>
      </w:pPr>
      <w:r>
        <w:t xml:space="preserve">Clinical Trial Outcome Analyzer</w:t>
      </w:r>
    </w:p>
    <w:p>
      <w:pPr>
        <w:pStyle w:val="ListParagraph"/>
        <w:numPr>
          <w:ilvl w:val="0"/>
          <w:numId w:val="1"/>
        </w:numPr>
      </w:pPr>
      <w:r>
        <w:t xml:space="preserve">Historical PoS Database (Tufts CSDD)</w:t>
      </w:r>
    </w:p>
    <w:p>
      <w:pPr>
        <w:pStyle w:val="ListParagraph"/>
        <w:numPr>
          <w:ilvl w:val="0"/>
          <w:numId w:val="1"/>
        </w:numPr>
      </w:pPr>
      <w:r>
        <w:t xml:space="preserve">Mechanism-Class PoS Scorer</w:t>
      </w:r>
    </w:p>
    <w:p>
      <w:pPr>
        <w:pStyle w:val="ListParagraph"/>
        <w:numPr>
          <w:ilvl w:val="0"/>
          <w:numId w:val="1"/>
        </w:numPr>
      </w:pPr>
      <w:r>
        <w:t xml:space="preserve">Target-Specific Success Rate Calculator</w:t>
      </w:r>
    </w:p>
    <w:p>
      <w:pPr>
        <w:pStyle w:val="ListParagraph"/>
        <w:numPr>
          <w:ilvl w:val="0"/>
          <w:numId w:val="1"/>
        </w:numPr>
      </w:pPr>
      <w:r>
        <w:t xml:space="preserve">Disease-Indication PoS Benchmark Tool</w:t>
      </w:r>
    </w:p>
    <w:p>
      <w:pPr>
        <w:pStyle w:val="ListParagraph"/>
        <w:numPr>
          <w:ilvl w:val="0"/>
          <w:numId w:val="1"/>
        </w:numPr>
      </w:pPr>
      <w:r>
        <w:t xml:space="preserve">ADME Prediction Engine</w:t>
      </w:r>
    </w:p>
    <w:p>
      <w:pPr>
        <w:pStyle w:val="ListParagraph"/>
        <w:numPr>
          <w:ilvl w:val="0"/>
          <w:numId w:val="1"/>
        </w:numPr>
      </w:pPr>
      <w:r>
        <w:t xml:space="preserve">PK/PD Modeling Tool</w:t>
      </w:r>
    </w:p>
    <w:p>
      <w:pPr>
        <w:pStyle w:val="ListParagraph"/>
        <w:numPr>
          <w:ilvl w:val="0"/>
          <w:numId w:val="1"/>
        </w:numPr>
      </w:pPr>
      <w:r>
        <w:t xml:space="preserve">CNS Bioavailability Predictor</w:t>
      </w:r>
    </w:p>
    <w:p>
      <w:pPr>
        <w:pStyle w:val="ListParagraph"/>
        <w:numPr>
          <w:ilvl w:val="0"/>
          <w:numId w:val="1"/>
        </w:numPr>
      </w:pPr>
      <w:r>
        <w:t xml:space="preserve">Metabolism Liability Analyzer</w:t>
      </w:r>
    </w:p>
    <w:p>
      <w:pPr>
        <w:pStyle w:val="ListParagraph"/>
        <w:numPr>
          <w:ilvl w:val="0"/>
          <w:numId w:val="1"/>
        </w:numPr>
      </w:pPr>
      <w:r>
        <w:t xml:space="preserve">Off-Target Pharmacology Predictor</w:t>
      </w:r>
    </w:p>
    <w:p>
      <w:pPr>
        <w:pStyle w:val="ListParagraph"/>
        <w:numPr>
          <w:ilvl w:val="0"/>
          <w:numId w:val="1"/>
        </w:numPr>
      </w:pPr>
      <w:r>
        <w:t xml:space="preserve">Off-Target Binding Predictor</w:t>
      </w:r>
    </w:p>
    <w:p>
      <w:pPr>
        <w:pStyle w:val="ListParagraph"/>
        <w:numPr>
          <w:ilvl w:val="0"/>
          <w:numId w:val="1"/>
        </w:numPr>
      </w:pPr>
      <w:r>
        <w:t xml:space="preserve">Toxicology Database Query (Tox21)</w:t>
      </w:r>
    </w:p>
    <w:p>
      <w:pPr>
        <w:pStyle w:val="ListParagraph"/>
        <w:numPr>
          <w:ilvl w:val="0"/>
          <w:numId w:val="1"/>
        </w:numPr>
      </w:pPr>
      <w:r>
        <w:t xml:space="preserve">Safety Signal Extractor</w:t>
      </w:r>
    </w:p>
    <w:p>
      <w:pPr>
        <w:pStyle w:val="ListParagraph"/>
        <w:numPr>
          <w:ilvl w:val="0"/>
          <w:numId w:val="1"/>
        </w:numPr>
      </w:pPr>
      <w:r>
        <w:t xml:space="preserve">Structural Alert System (DEREK, Lhasa)</w:t>
      </w:r>
    </w:p>
    <w:p>
      <w:pPr>
        <w:pStyle w:val="ListParagraph"/>
        <w:numPr>
          <w:ilvl w:val="0"/>
          <w:numId w:val="1"/>
        </w:numPr>
      </w:pPr>
      <w:r>
        <w:t xml:space="preserve">Multi-Factor PoS Model (Bayesian)</w:t>
      </w:r>
    </w:p>
    <w:p>
      <w:pPr>
        <w:pStyle w:val="ListParagraph"/>
        <w:numPr>
          <w:ilvl w:val="0"/>
          <w:numId w:val="1"/>
        </w:numPr>
      </w:pPr>
      <w:r>
        <w:t xml:space="preserve">Sensitivity Analysis Engine</w:t>
      </w:r>
    </w:p>
    <w:p>
      <w:pPr>
        <w:pStyle w:val="ListParagraph"/>
        <w:numPr>
          <w:ilvl w:val="0"/>
          <w:numId w:val="1"/>
        </w:numPr>
      </w:pPr>
      <w:r>
        <w:t xml:space="preserve">Confidence Interval Calculator</w:t>
      </w:r>
    </w:p>
    <w:p>
      <w:pPr>
        <w:pStyle w:val="ListParagraph"/>
        <w:numPr>
          <w:ilvl w:val="0"/>
          <w:numId w:val="1"/>
        </w:numPr>
      </w:pPr>
      <w:r>
        <w:t xml:space="preserve">Scenario Modeling Tool</w:t>
      </w:r>
    </w:p>
    <w:p>
      <w:pPr>
        <w:pStyle w:val="ListParagraph"/>
        <w:numPr>
          <w:ilvl w:val="0"/>
          <w:numId w:val="1"/>
        </w:numPr>
      </w:pPr>
      <w:r>
        <w:t xml:space="preserve">Ranking Algorithm</w:t>
      </w:r>
    </w:p>
    <w:p>
      <w:pPr>
        <w:pStyle w:val="ListParagraph"/>
        <w:numPr>
          <w:ilvl w:val="0"/>
          <w:numId w:val="1"/>
        </w:numPr>
      </w:pPr>
      <w:r>
        <w:t xml:space="preserve">Portfolio Analytics Engine</w:t>
      </w:r>
    </w:p>
    <w:p>
      <w:pPr>
        <w:pStyle w:val="ListParagraph"/>
        <w:numPr>
          <w:ilvl w:val="0"/>
          <w:numId w:val="1"/>
        </w:numPr>
      </w:pPr>
      <w:r>
        <w:t xml:space="preserve">Report Generator</w:t>
      </w:r>
    </w:p>
    <w:p>
      <w:pPr>
        <w:pStyle w:val="ListParagraph"/>
        <w:numPr>
          <w:ilvl w:val="0"/>
          <w:numId w:val="1"/>
        </w:numPr>
      </w:pPr>
      <w:r>
        <w:t xml:space="preserve">Visualization Tool (forest plots)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  <w:lvl w:ilvl="1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2026-02-27T17:18:45.739Z</dcterms:created>
  <dcterms:modified xsi:type="dcterms:W3CDTF">2026-02-27T17:18:45.739Z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