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"Propose combination strategies targeting excitatory neuron intrinsic excitability + inhibitory synaptic transmission."</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line="360"/>
      </w:pPr>
      <w:r>
        <w:t xml:space="preserve">This pipeline systematically identifies dual-mechanism combination therapies by leveraging Quiver's comprehensive CRISPR perturbation and EP phenotyping data in human cortical neurons. The workflow integrates three complementary discovery axes: excitatory neuron intrinsic excitability modulation (voltage-gated sodium/calcium channels, AIS properties), inhibitory synaptic transmission enhancement (GABA receptor signaling, GABAergic synapse strength), and synergistic interaction prediction using multivariate electrophysiological signatures.</w:t>
      </w:r>
    </w:p>
    <w:p>
      <w:pPr>
        <w:spacing w:after="240" w:line="360"/>
      </w:pPr>
      <w:r>
        <w:t xml:space="preserve">The process moves sequentially from mechanism decomposition and single-compound phenotype mapping, through mechanistic pairing and synergy prediction, to dosing optimization and clinical feasibility assessment. By combining Quiver EP data with genetic interaction patterns and pharmacological constraints, this pipeline delivers ranked dual-target combination candidates predicted to achieve superior therapeutic efficacy compared to monotherapy approaches, with explicit toxicity risk stratification.</w:t>
      </w:r>
    </w:p>
    <w:p>
      <w:pPr>
        <w:pStyle w:val="Heading2"/>
        <w:spacing w:after="200" w:before="200"/>
      </w:pPr>
      <w:r>
        <w:t xml:space="preserve">Stage 1: Quiver Excitatory Intrinsic Excitability Phenotype Mapping</w:t>
      </w:r>
    </w:p>
    <w:p>
      <w:pPr>
        <w:spacing w:after="200" w:line="360"/>
      </w:pPr>
      <w:r>
        <w:rPr>
          <w:b/>
          <w:bCs/>
        </w:rPr>
        <w:t xml:space="preserve">Purpose: </w:t>
      </w:r>
      <w:r>
        <w:t xml:space="preserve">Extract and characterize all CRISPR perturbations that modulate excitatory neuron intrinsic excitability from the Quiver database, establishing a phenotype-to-gene mapping foundation.</w:t>
      </w:r>
    </w:p>
    <w:p>
      <w:pPr>
        <w:spacing w:after="120"/>
      </w:pPr>
      <w:r>
        <w:rPr>
          <w:b/>
          <w:bCs/>
        </w:rPr>
        <w:t xml:space="preserve">Inputs:</w:t>
      </w:r>
    </w:p>
    <w:p>
      <w:pPr>
        <w:pStyle w:val="ListParagraph"/>
        <w:numPr>
          <w:ilvl w:val="0"/>
          <w:numId w:val="1"/>
        </w:numPr>
        <w:spacing w:after="100" w:line="360"/>
      </w:pPr>
      <w:r>
        <w:t xml:space="preserve">Quiver ~18,000 CRISPR perturbation database</w:t>
      </w:r>
    </w:p>
    <w:p>
      <w:pPr>
        <w:pStyle w:val="ListParagraph"/>
        <w:numPr>
          <w:ilvl w:val="0"/>
          <w:numId w:val="1"/>
        </w:numPr>
        <w:spacing w:after="100" w:line="360"/>
      </w:pPr>
      <w:r>
        <w:t xml:space="preserve">Electrophysiology (EP) feature set: resting membrane potential, input resistance, action potential threshold, AP amplitude, AP half-width, AP rise time, AP fall time, AIS rheobase, repetitive firing frequency</w:t>
      </w:r>
    </w:p>
    <w:p>
      <w:pPr>
        <w:pStyle w:val="ListParagraph"/>
        <w:numPr>
          <w:ilvl w:val="0"/>
          <w:numId w:val="1"/>
        </w:numPr>
        <w:spacing w:after="100" w:line="360"/>
      </w:pPr>
      <w:r>
        <w:t xml:space="preserve">Cell type annotations (excitatory vs inhibitory neurons, layer-specific classification)</w:t>
      </w:r>
    </w:p>
    <w:p>
      <w:pPr>
        <w:pStyle w:val="ListParagraph"/>
        <w:numPr>
          <w:ilvl w:val="0"/>
          <w:numId w:val="1"/>
        </w:numPr>
        <w:spacing w:after="100" w:line="360"/>
      </w:pPr>
      <w:r>
        <w:t xml:space="preserve">Compound atlas with chemical structure and known mechanism annotations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Quiver EP Query API</w:t>
      </w:r>
      <w:r>
        <w:t xml:space="preserve">: Filter ~18,000 CRISPR lines by excitatory neuron cell type and extract intrinsic excitability phenotypes (AP properties, rheobase, input resistance)</w:t>
      </w:r>
    </w:p>
    <w:p>
      <w:pPr>
        <w:pStyle w:val="ListParagraph"/>
        <w:numPr>
          <w:ilvl w:val="0"/>
          <w:numId w:val="1"/>
        </w:numPr>
        <w:spacing w:after="100" w:line="360"/>
      </w:pPr>
      <w:r>
        <w:rPr>
          <w:b/>
          <w:bCs/>
        </w:rPr>
        <w:t xml:space="preserve">Phenotype Clustering Engine</w:t>
      </w:r>
      <w:r>
        <w:t xml:space="preserve">: Group perturbations by similar intrinsic excitability profiles using hierarchical clustering and k-means on normalized EP features</w:t>
      </w:r>
    </w:p>
    <w:p>
      <w:pPr>
        <w:pStyle w:val="ListParagraph"/>
        <w:numPr>
          <w:ilvl w:val="0"/>
          <w:numId w:val="1"/>
        </w:numPr>
        <w:spacing w:after="100" w:line="360"/>
      </w:pPr>
      <w:r>
        <w:rPr>
          <w:b/>
          <w:bCs/>
        </w:rPr>
        <w:t xml:space="preserve">Gene Annotation Module</w:t>
      </w:r>
      <w:r>
        <w:t xml:space="preserve">: Cross-reference clustered phenotypes with gene ontology, KEGG pathways, and protein interaction networks to identify excitability-relevant functional modules</w:t>
      </w:r>
    </w:p>
    <w:p>
      <w:pPr>
        <w:pStyle w:val="ListParagraph"/>
        <w:numPr>
          <w:ilvl w:val="0"/>
          <w:numId w:val="1"/>
        </w:numPr>
        <w:spacing w:after="100" w:line="360"/>
      </w:pPr>
      <w:r>
        <w:rPr>
          <w:b/>
          <w:bCs/>
        </w:rPr>
        <w:t xml:space="preserve">Statistical Association Tool</w:t>
      </w:r>
      <w:r>
        <w:t xml:space="preserve">: Compute effect size (Cohen's d) and p-values for each perturbation-phenotype relationship; filter by significance threshold (FDR q &lt; 0.01)</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Identify all CRISPR perturbations in Quiver that increase excitatory neuron intrinsic excitability (elevated firing frequency, lowered AP threshold, increased AP amplitude).</w:t>
      </w:r>
    </w:p>
    <w:p>
      <w:pPr>
        <w:pStyle w:val="ListParagraph"/>
        <w:numPr>
          <w:ilvl w:val="0"/>
          <w:numId w:val="1"/>
        </w:numPr>
        <w:spacing w:after="100" w:line="360"/>
      </w:pPr>
      <w:r>
        <w:t xml:space="preserve">For each excitability-increasing perturbation, extract the complete EP feature vector and normalize across the population.</w:t>
      </w:r>
    </w:p>
    <w:p>
      <w:pPr>
        <w:pStyle w:val="ListParagraph"/>
        <w:numPr>
          <w:ilvl w:val="0"/>
          <w:numId w:val="1"/>
        </w:numPr>
        <w:spacing w:after="100" w:line="360"/>
      </w:pPr>
      <w:r>
        <w:t xml:space="preserve">Cluster perturbations by similarity of intrinsic excitability phenotype; identify the top 15-20 phenotypically distinct clusters.</w:t>
      </w:r>
    </w:p>
    <w:p>
      <w:pPr>
        <w:pStyle w:val="ListParagraph"/>
        <w:numPr>
          <w:ilvl w:val="0"/>
          <w:numId w:val="1"/>
        </w:numPr>
        <w:spacing w:after="100" w:line="360"/>
      </w:pPr>
      <w:r>
        <w:t xml:space="preserve">For each cluster, assign a mechanistic label (e.g., 'sodium channel enhancement', 'potassium channel suppression', 'AIS depolarization') based on gene function.</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~50-80 CRISPR perturbations that significantly enhance excitatory intrinsic excitability, with effect sizes</w:t>
      </w:r>
    </w:p>
    <w:p>
      <w:pPr>
        <w:pStyle w:val="ListParagraph"/>
        <w:numPr>
          <w:ilvl w:val="0"/>
          <w:numId w:val="1"/>
        </w:numPr>
        <w:spacing w:after="100" w:line="360"/>
      </w:pPr>
      <w:r>
        <w:t xml:space="preserve">Phenotype cluster assignments and mechanistic interpretations</w:t>
      </w:r>
    </w:p>
    <w:p>
      <w:pPr>
        <w:pStyle w:val="ListParagraph"/>
        <w:numPr>
          <w:ilvl w:val="0"/>
          <w:numId w:val="1"/>
        </w:numPr>
        <w:spacing w:after="100" w:line="360"/>
      </w:pPr>
      <w:r>
        <w:t xml:space="preserve">Heatmap of EP features across clusters showing discriminating phenotypic signatures</w:t>
      </w:r>
    </w:p>
    <w:p>
      <w:pPr>
        <w:pStyle w:val="ListParagraph"/>
        <w:numPr>
          <w:ilvl w:val="0"/>
          <w:numId w:val="1"/>
        </w:numPr>
        <w:spacing w:after="100" w:line="360"/>
      </w:pPr>
      <w:r>
        <w:t xml:space="preserve">Gene-to-mechanism mapping document with pathway annotations</w:t>
      </w:r>
    </w:p>
    <w:p>
      <w:pPr>
        <w:spacing w:after="120"/>
      </w:pPr>
      <w:r>
        <w:t xml:space="preserve"/>
      </w:r>
    </w:p>
    <w:p>
      <w:pPr>
        <w:spacing w:after="240" w:line="360"/>
      </w:pPr>
      <w:r>
        <w:rPr>
          <w:b/>
          <w:bCs/>
        </w:rPr>
        <w:t xml:space="preserve">Format: </w:t>
      </w:r>
      <w:r>
        <w:t xml:space="preserve">Structured data table (CSV) with rows = perturbation IDs, columns = normalized EP features, effect size, p-value, mechanism label, cluster assignment. Supplementary heatmap visualization.</w:t>
      </w:r>
    </w:p>
    <w:p>
      <w:pPr>
        <w:pStyle w:val="Heading2"/>
        <w:spacing w:after="200" w:before="200"/>
      </w:pPr>
      <w:r>
        <w:t xml:space="preserve">Stage 2: Quiver Inhibitory Synaptic Transmission Phenotype Mapping</w:t>
      </w:r>
    </w:p>
    <w:p>
      <w:pPr>
        <w:spacing w:after="200" w:line="360"/>
      </w:pPr>
      <w:r>
        <w:rPr>
          <w:b/>
          <w:bCs/>
        </w:rPr>
        <w:t xml:space="preserve">Purpose: </w:t>
      </w:r>
      <w:r>
        <w:t xml:space="preserve">Extract and characterize all CRISPR perturbations that enhance inhibitory synaptic transmission in human cortical neuron networks, establishing the complementary axis for combination therapy.</w:t>
      </w:r>
    </w:p>
    <w:p>
      <w:pPr>
        <w:spacing w:after="120"/>
      </w:pPr>
      <w:r>
        <w:rPr>
          <w:b/>
          <w:bCs/>
        </w:rPr>
        <w:t xml:space="preserve">Inputs:</w:t>
      </w:r>
    </w:p>
    <w:p>
      <w:pPr>
        <w:pStyle w:val="ListParagraph"/>
        <w:numPr>
          <w:ilvl w:val="0"/>
          <w:numId w:val="1"/>
        </w:numPr>
        <w:spacing w:after="100" w:line="360"/>
      </w:pPr>
      <w:r>
        <w:t xml:space="preserve">Quiver ~18,000 CRISPR perturbation database</w:t>
      </w:r>
    </w:p>
    <w:p>
      <w:pPr>
        <w:pStyle w:val="ListParagraph"/>
        <w:numPr>
          <w:ilvl w:val="0"/>
          <w:numId w:val="1"/>
        </w:numPr>
        <w:spacing w:after="100" w:line="360"/>
      </w:pPr>
      <w:r>
        <w:t xml:space="preserve">Electrophysiology feature set for inhibitory synapses: miniature inhibitory postsynaptic current (mIPSC) frequency, amplitude, rise time, decay time; spontaneous IPSC properties; synaptic strength index</w:t>
      </w:r>
    </w:p>
    <w:p>
      <w:pPr>
        <w:pStyle w:val="ListParagraph"/>
        <w:numPr>
          <w:ilvl w:val="0"/>
          <w:numId w:val="1"/>
        </w:numPr>
        <w:spacing w:after="100" w:line="360"/>
      </w:pPr>
      <w:r>
        <w:t xml:space="preserve">Identified inhibitory neuron recordings with synaptic connectivity annotations</w:t>
      </w:r>
    </w:p>
    <w:p>
      <w:pPr>
        <w:pStyle w:val="ListParagraph"/>
        <w:numPr>
          <w:ilvl w:val="0"/>
          <w:numId w:val="1"/>
        </w:numPr>
        <w:spacing w:after="100" w:line="360"/>
      </w:pPr>
      <w:r>
        <w:t xml:space="preserve">Compound atlas and pharmacological interaction database</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Quiver EP Query API</w:t>
      </w:r>
      <w:r>
        <w:t xml:space="preserve">: Filter by inhibitory neuron cell type and extract synaptic transmission phenotypes (IPSC kinetics, frequency, amplitude)</w:t>
      </w:r>
    </w:p>
    <w:p>
      <w:pPr>
        <w:pStyle w:val="ListParagraph"/>
        <w:numPr>
          <w:ilvl w:val="0"/>
          <w:numId w:val="1"/>
        </w:numPr>
        <w:spacing w:after="100" w:line="360"/>
      </w:pPr>
      <w:r>
        <w:rPr>
          <w:b/>
          <w:bCs/>
        </w:rPr>
        <w:t xml:space="preserve">Synaptic Feature Extraction Module</w:t>
      </w:r>
      <w:r>
        <w:t xml:space="preserve">: Compute integrated synaptic strength metrics from mIPSC/sIPSC properties; aggregate across all recorded synapses per perturbation</w:t>
      </w:r>
    </w:p>
    <w:p>
      <w:pPr>
        <w:pStyle w:val="ListParagraph"/>
        <w:numPr>
          <w:ilvl w:val="0"/>
          <w:numId w:val="1"/>
        </w:numPr>
        <w:spacing w:after="100" w:line="360"/>
      </w:pPr>
      <w:r>
        <w:rPr>
          <w:b/>
          <w:bCs/>
        </w:rPr>
        <w:t xml:space="preserve">Synapse Network Analyzer</w:t>
      </w:r>
      <w:r>
        <w:t xml:space="preserve">: Reconstruct synaptic connectivity graphs and compute pairwise inhibitory coupling strength; identify hub inhibitory neurons</w:t>
      </w:r>
    </w:p>
    <w:p>
      <w:pPr>
        <w:pStyle w:val="ListParagraph"/>
        <w:numPr>
          <w:ilvl w:val="0"/>
          <w:numId w:val="1"/>
        </w:numPr>
        <w:spacing w:after="100" w:line="360"/>
      </w:pPr>
      <w:r>
        <w:rPr>
          <w:b/>
          <w:bCs/>
        </w:rPr>
        <w:t xml:space="preserve">Functional Connectivity Correlator</w:t>
      </w:r>
      <w:r>
        <w:t xml:space="preserve">: Correlate inhibitory synaptic phenotypes with network-level inhibition balance (excitation-inhibition ratio)</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Retrieve all CRISPR perturbations in Quiver affecting inhibitory neurons; filter for those increasing synaptic transmission strength.</w:t>
      </w:r>
    </w:p>
    <w:p>
      <w:pPr>
        <w:pStyle w:val="ListParagraph"/>
        <w:numPr>
          <w:ilvl w:val="0"/>
          <w:numId w:val="1"/>
        </w:numPr>
        <w:spacing w:after="100" w:line="360"/>
      </w:pPr>
      <w:r>
        <w:t xml:space="preserve">For inhibitory synaptic transmission enhancers, extract mIPSC/sIPSC kinetics, frequency, and amplitude; compute a composite synaptic strength index.</w:t>
      </w:r>
    </w:p>
    <w:p>
      <w:pPr>
        <w:pStyle w:val="ListParagraph"/>
        <w:numPr>
          <w:ilvl w:val="0"/>
          <w:numId w:val="1"/>
        </w:numPr>
        <w:spacing w:after="100" w:line="360"/>
      </w:pPr>
      <w:r>
        <w:t xml:space="preserve">Cluster inhibitory transmission enhancers by similarity of synaptic phenotype; identify ~15-20 distinct mechanistic clusters.</w:t>
      </w:r>
    </w:p>
    <w:p>
      <w:pPr>
        <w:pStyle w:val="ListParagraph"/>
        <w:numPr>
          <w:ilvl w:val="0"/>
          <w:numId w:val="1"/>
        </w:numPr>
        <w:spacing w:after="100" w:line="360"/>
      </w:pPr>
      <w:r>
        <w:t xml:space="preserve">Map clusters to molecular mechanisms (e.g., 'GABA-A receptor potentiation', 'GABAergic axon terminal expansion', 'presynaptic GABA synthesis enhancement').</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~40-60 CRISPR perturbations that significantly enhance inhibitory synaptic transmission, with effect sizes and synaptic strength indices</w:t>
      </w:r>
    </w:p>
    <w:p>
      <w:pPr>
        <w:pStyle w:val="ListParagraph"/>
        <w:numPr>
          <w:ilvl w:val="0"/>
          <w:numId w:val="1"/>
        </w:numPr>
        <w:spacing w:after="100" w:line="360"/>
      </w:pPr>
      <w:r>
        <w:t xml:space="preserve">Inhibitory phenotype cluster assignments with mechanistic annotations</w:t>
      </w:r>
    </w:p>
    <w:p>
      <w:pPr>
        <w:pStyle w:val="ListParagraph"/>
        <w:numPr>
          <w:ilvl w:val="0"/>
          <w:numId w:val="1"/>
        </w:numPr>
        <w:spacing w:after="100" w:line="360"/>
      </w:pPr>
      <w:r>
        <w:t xml:space="preserve">Network inhibitory connectivity maps showing enhanced synaptic nodes</w:t>
      </w:r>
    </w:p>
    <w:p>
      <w:pPr>
        <w:pStyle w:val="ListParagraph"/>
        <w:numPr>
          <w:ilvl w:val="0"/>
          <w:numId w:val="1"/>
        </w:numPr>
        <w:spacing w:after="100" w:line="360"/>
      </w:pPr>
      <w:r>
        <w:t xml:space="preserve">Synaptic feature correlation matrix: which EP properties co-vary with inhibitory transmission strength</w:t>
      </w:r>
    </w:p>
    <w:p>
      <w:pPr>
        <w:spacing w:after="120"/>
      </w:pPr>
      <w:r>
        <w:t xml:space="preserve"/>
      </w:r>
    </w:p>
    <w:p>
      <w:pPr>
        <w:spacing w:after="240" w:line="360"/>
      </w:pPr>
      <w:r>
        <w:rPr>
          <w:b/>
          <w:bCs/>
        </w:rPr>
        <w:t xml:space="preserve">Format: </w:t>
      </w:r>
      <w:r>
        <w:t xml:space="preserve">Structured data table (CSV) with rows = inhibitory perturbation IDs, columns = synaptic strength metrics, mIPSC kinetics, frequency, effect size, mechanism, cluster. Supplementary network graph visualization.</w:t>
      </w:r>
    </w:p>
    <w:p>
      <w:pPr>
        <w:pStyle w:val="Heading2"/>
        <w:spacing w:after="200" w:before="200"/>
      </w:pPr>
      <w:r>
        <w:t xml:space="preserve">Stage 3: Dual-Mechanism Pairing &amp; Synergy Prediction Engine</w:t>
      </w:r>
    </w:p>
    <w:p>
      <w:pPr>
        <w:spacing w:after="200" w:line="360"/>
      </w:pPr>
      <w:r>
        <w:rPr>
          <w:b/>
          <w:bCs/>
        </w:rPr>
        <w:t xml:space="preserve">Purpose: </w:t>
      </w:r>
      <w:r>
        <w:t xml:space="preserve">Systematically pair excitatory intrinsic excitability enhancers with inhibitory transmission enhancers; predict synergistic interactions using multivariate EP data and genetic interaction modeling.</w:t>
      </w:r>
    </w:p>
    <w:p>
      <w:pPr>
        <w:spacing w:after="120"/>
      </w:pPr>
      <w:r>
        <w:rPr>
          <w:b/>
          <w:bCs/>
        </w:rPr>
        <w:t xml:space="preserve">Inputs:</w:t>
      </w:r>
    </w:p>
    <w:p>
      <w:pPr>
        <w:pStyle w:val="ListParagraph"/>
        <w:numPr>
          <w:ilvl w:val="0"/>
          <w:numId w:val="1"/>
        </w:numPr>
        <w:spacing w:after="100" w:line="360"/>
      </w:pPr>
      <w:r>
        <w:t xml:space="preserve">Ranked excitatory intrinsic excitability enhancer list (Stage 1 output)</w:t>
      </w:r>
    </w:p>
    <w:p>
      <w:pPr>
        <w:pStyle w:val="ListParagraph"/>
        <w:numPr>
          <w:ilvl w:val="0"/>
          <w:numId w:val="1"/>
        </w:numPr>
        <w:spacing w:after="100" w:line="360"/>
      </w:pPr>
      <w:r>
        <w:t xml:space="preserve">Ranked inhibitory synaptic transmission enhancer list (Stage 2 output)</w:t>
      </w:r>
    </w:p>
    <w:p>
      <w:pPr>
        <w:pStyle w:val="ListParagraph"/>
        <w:numPr>
          <w:ilvl w:val="0"/>
          <w:numId w:val="1"/>
        </w:numPr>
        <w:spacing w:after="100" w:line="360"/>
      </w:pPr>
      <w:r>
        <w:t xml:space="preserve">Quiver EP data for all pairwise perturbation combinations (single and double perturbations)</w:t>
      </w:r>
    </w:p>
    <w:p>
      <w:pPr>
        <w:pStyle w:val="ListParagraph"/>
        <w:numPr>
          <w:ilvl w:val="0"/>
          <w:numId w:val="1"/>
        </w:numPr>
        <w:spacing w:after="100" w:line="360"/>
      </w:pPr>
      <w:r>
        <w:t xml:space="preserve">Genetic interaction database (STRING, BioGRID, Quiver interaction matrix)</w:t>
      </w:r>
    </w:p>
    <w:p>
      <w:pPr>
        <w:pStyle w:val="ListParagraph"/>
        <w:numPr>
          <w:ilvl w:val="0"/>
          <w:numId w:val="1"/>
        </w:numPr>
        <w:spacing w:after="100" w:line="360"/>
      </w:pPr>
      <w:r>
        <w:t xml:space="preserve">Pharmacological synergy prediction models trained on literature compound combinations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Pairwise Perturbation Query Module</w:t>
      </w:r>
      <w:r>
        <w:t xml:space="preserve">: For each excitatory-inhibitory pair, retrieve all available double-perturbation EP phenotypes from Quiver; compute synergy scores using Bliss independence model and Loewe additivity</w:t>
      </w:r>
    </w:p>
    <w:p>
      <w:pPr>
        <w:pStyle w:val="ListParagraph"/>
        <w:numPr>
          <w:ilvl w:val="0"/>
          <w:numId w:val="1"/>
        </w:numPr>
        <w:spacing w:after="100" w:line="360"/>
      </w:pPr>
      <w:r>
        <w:rPr>
          <w:b/>
          <w:bCs/>
        </w:rPr>
        <w:t xml:space="preserve">Genetic Interaction Network Analyzer</w:t>
      </w:r>
      <w:r>
        <w:t xml:space="preserve">: Build a bipartite interaction graph between excitatory and inhibitory gene perturbations; identify positive (synergistic) and negative (antagonistic) genetic interactions</w:t>
      </w:r>
    </w:p>
    <w:p>
      <w:pPr>
        <w:pStyle w:val="ListParagraph"/>
        <w:numPr>
          <w:ilvl w:val="0"/>
          <w:numId w:val="1"/>
        </w:numPr>
        <w:spacing w:after="100" w:line="360"/>
      </w:pPr>
      <w:r>
        <w:rPr>
          <w:b/>
          <w:bCs/>
        </w:rPr>
        <w:t xml:space="preserve">Multivariate Synergy Predictor</w:t>
      </w:r>
      <w:r>
        <w:t xml:space="preserve">: Apply machine learning (XGBoost, random forest) to predict synergy likelihood from gene ontology, pathway overlap, protein interaction distance, and single-perturbation EP phenotypes</w:t>
      </w:r>
    </w:p>
    <w:p>
      <w:pPr>
        <w:pStyle w:val="ListParagraph"/>
        <w:numPr>
          <w:ilvl w:val="0"/>
          <w:numId w:val="1"/>
        </w:numPr>
        <w:spacing w:after="100" w:line="360"/>
      </w:pPr>
      <w:r>
        <w:rPr>
          <w:b/>
          <w:bCs/>
        </w:rPr>
        <w:t xml:space="preserve">Mechanistic Rationality Scorer</w:t>
      </w:r>
      <w:r>
        <w:t xml:space="preserve">: Score each pair by mechanistic complementarity: do the two perturbations target non-overlapping pathways or reinforce therapeutic effects through distinct cellular mechanisms?</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of the top 20 excitatory intrinsic excitability enhancers and top 15 inhibitory transmission enhancers, retrieve all available double-perturbation Quiver EP data.</w:t>
      </w:r>
    </w:p>
    <w:p>
      <w:pPr>
        <w:pStyle w:val="ListParagraph"/>
        <w:numPr>
          <w:ilvl w:val="0"/>
          <w:numId w:val="1"/>
        </w:numPr>
        <w:spacing w:after="100" w:line="360"/>
      </w:pPr>
      <w:r>
        <w:t xml:space="preserve">Compute Bliss synergy scores for each pair; identify pairs with synergy scores &gt; 0.3 (indicating super-additive effects).</w:t>
      </w:r>
    </w:p>
    <w:p>
      <w:pPr>
        <w:pStyle w:val="ListParagraph"/>
        <w:numPr>
          <w:ilvl w:val="0"/>
          <w:numId w:val="1"/>
        </w:numPr>
        <w:spacing w:after="100" w:line="360"/>
      </w:pPr>
      <w:r>
        <w:t xml:space="preserve">Query genetic interaction databases to assess pathway overlap and potential antagonism between paired perturbations.</w:t>
      </w:r>
    </w:p>
    <w:p>
      <w:pPr>
        <w:pStyle w:val="ListParagraph"/>
        <w:numPr>
          <w:ilvl w:val="0"/>
          <w:numId w:val="1"/>
        </w:numPr>
        <w:spacing w:after="100" w:line="360"/>
      </w:pPr>
      <w:r>
        <w:t xml:space="preserve">Apply multivariate ML-based synergy prediction; rank all pairs by predicted synergy likelihood and mechanistic complementarity.</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top 30-50 excitatory-inhibitory dual-mechanism pairs, ranked by synergy score and mechanistic rationality</w:t>
      </w:r>
    </w:p>
    <w:p>
      <w:pPr>
        <w:pStyle w:val="ListParagraph"/>
        <w:numPr>
          <w:ilvl w:val="0"/>
          <w:numId w:val="1"/>
        </w:numPr>
        <w:spacing w:after="100" w:line="360"/>
      </w:pPr>
      <w:r>
        <w:t xml:space="preserve">Synergy prediction confidence scores and supporting evidence (genetic interaction, pathway analysis, phenotypic complementarity)</w:t>
      </w:r>
    </w:p>
    <w:p>
      <w:pPr>
        <w:pStyle w:val="ListParagraph"/>
        <w:numPr>
          <w:ilvl w:val="0"/>
          <w:numId w:val="1"/>
        </w:numPr>
        <w:spacing w:after="100" w:line="360"/>
      </w:pPr>
      <w:r>
        <w:t xml:space="preserve">Mechanistic interaction diagram for top 10 pairs showing pathway non-overlap and hypothesized synergistic mechanisms</w:t>
      </w:r>
    </w:p>
    <w:p>
      <w:pPr>
        <w:pStyle w:val="ListParagraph"/>
        <w:numPr>
          <w:ilvl w:val="0"/>
          <w:numId w:val="1"/>
        </w:numPr>
        <w:spacing w:after="100" w:line="360"/>
      </w:pPr>
      <w:r>
        <w:t xml:space="preserve">Negative interaction flagging: pairs predicted to antagonize each other or pose toxicity risk</w:t>
      </w:r>
    </w:p>
    <w:p>
      <w:pPr>
        <w:spacing w:after="120"/>
      </w:pPr>
      <w:r>
        <w:t xml:space="preserve"/>
      </w:r>
    </w:p>
    <w:p>
      <w:pPr>
        <w:spacing w:after="240" w:line="360"/>
      </w:pPr>
      <w:r>
        <w:rPr>
          <w:b/>
          <w:bCs/>
        </w:rPr>
        <w:t xml:space="preserve">Format: </w:t>
      </w:r>
      <w:r>
        <w:t xml:space="preserve">Ranked table (CSV) with rows = dual-mechanism pairs, columns = excitatory gene, inhibitory gene, synergy score, confidence, mechanistic rationality score, predicted clinical benefit, toxicity risk flag. Supplementary network diagrams.</w:t>
      </w:r>
    </w:p>
    <w:p>
      <w:pPr>
        <w:pStyle w:val="Heading2"/>
        <w:spacing w:after="200" w:before="200"/>
      </w:pPr>
      <w:r>
        <w:t xml:space="preserve">Stage 4: Compound Library Matching &amp; Pharmacological Translation</w:t>
      </w:r>
    </w:p>
    <w:p>
      <w:pPr>
        <w:spacing w:after="200" w:line="360"/>
      </w:pPr>
      <w:r>
        <w:rPr>
          <w:b/>
          <w:bCs/>
        </w:rPr>
        <w:t xml:space="preserve">Purpose: </w:t>
      </w:r>
      <w:r>
        <w:t xml:space="preserve">Map the top predicted dual-mechanism perturbation pairs to available compounds in the Sapphire compound atlas, ensuring druggability and clinical feasibility of the proposed combinations.</w:t>
      </w:r>
    </w:p>
    <w:p>
      <w:pPr>
        <w:spacing w:after="120"/>
      </w:pPr>
      <w:r>
        <w:rPr>
          <w:b/>
          <w:bCs/>
        </w:rPr>
        <w:t xml:space="preserve">Inputs:</w:t>
      </w:r>
    </w:p>
    <w:p>
      <w:pPr>
        <w:pStyle w:val="ListParagraph"/>
        <w:numPr>
          <w:ilvl w:val="0"/>
          <w:numId w:val="1"/>
        </w:numPr>
        <w:spacing w:after="100" w:line="360"/>
      </w:pPr>
      <w:r>
        <w:t xml:space="preserve">Top 30-50 dual-mechanism perturbation pairs from Stage 3</w:t>
      </w:r>
    </w:p>
    <w:p>
      <w:pPr>
        <w:pStyle w:val="ListParagraph"/>
        <w:numPr>
          <w:ilvl w:val="0"/>
          <w:numId w:val="1"/>
        </w:numPr>
        <w:spacing w:after="100" w:line="360"/>
      </w:pPr>
      <w:r>
        <w:t xml:space="preserve">Sapphire compound atlas: ~10,000 compounds with chemical structures, mechanism annotations, selectivity profiles, ADMET properties</w:t>
      </w:r>
    </w:p>
    <w:p>
      <w:pPr>
        <w:pStyle w:val="ListParagraph"/>
        <w:numPr>
          <w:ilvl w:val="0"/>
          <w:numId w:val="1"/>
        </w:numPr>
        <w:spacing w:after="100" w:line="360"/>
      </w:pPr>
      <w:r>
        <w:t xml:space="preserve">Target-compound association matrix (which compounds inhibit/activate which genes/pathways)</w:t>
      </w:r>
    </w:p>
    <w:p>
      <w:pPr>
        <w:pStyle w:val="ListParagraph"/>
        <w:numPr>
          <w:ilvl w:val="0"/>
          <w:numId w:val="1"/>
        </w:numPr>
        <w:spacing w:after="100" w:line="360"/>
      </w:pPr>
      <w:r>
        <w:t xml:space="preserve">Known off-target and toxicity profiles for each compound</w:t>
      </w:r>
    </w:p>
    <w:p>
      <w:pPr>
        <w:pStyle w:val="ListParagraph"/>
        <w:numPr>
          <w:ilvl w:val="0"/>
          <w:numId w:val="1"/>
        </w:numPr>
        <w:spacing w:after="100" w:line="360"/>
      </w:pPr>
      <w:r>
        <w:t xml:space="preserve">Literature on compound safety, pharmacokinetics, and clinical development status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Target-Compound Mapping Module</w:t>
      </w:r>
      <w:r>
        <w:t xml:space="preserve">: For each top dual-mechanism pair, identify all compounds in the atlas that modulate the excitatory or inhibitory target genes; compute target selectivity scores</w:t>
      </w:r>
    </w:p>
    <w:p>
      <w:pPr>
        <w:pStyle w:val="ListParagraph"/>
        <w:numPr>
          <w:ilvl w:val="0"/>
          <w:numId w:val="1"/>
        </w:numPr>
        <w:spacing w:after="100" w:line="360"/>
      </w:pPr>
      <w:r>
        <w:rPr>
          <w:b/>
          <w:bCs/>
        </w:rPr>
        <w:t xml:space="preserve">Compound Selectivity Analyzer</w:t>
      </w:r>
      <w:r>
        <w:t xml:space="preserve">: Assess off-target binding potential for each candidate compound using chemoinformatics (Tanimoto similarity, pharmacophore matching); flag compounds with promiscuous binding profiles</w:t>
      </w:r>
    </w:p>
    <w:p>
      <w:pPr>
        <w:pStyle w:val="ListParagraph"/>
        <w:numPr>
          <w:ilvl w:val="0"/>
          <w:numId w:val="1"/>
        </w:numPr>
        <w:spacing w:after="100" w:line="360"/>
      </w:pPr>
      <w:r>
        <w:rPr>
          <w:b/>
          <w:bCs/>
        </w:rPr>
        <w:t xml:space="preserve">ADMET Property Predictor</w:t>
      </w:r>
      <w:r>
        <w:t xml:space="preserve">: Predict absorption, distribution, metabolism, excretion, and toxicity properties for candidate compounds; filter by drug-likeness criteria (Lipinski's rule of 5, predicted BBB penetrance)</w:t>
      </w:r>
    </w:p>
    <w:p>
      <w:pPr>
        <w:pStyle w:val="ListParagraph"/>
        <w:numPr>
          <w:ilvl w:val="0"/>
          <w:numId w:val="1"/>
        </w:numPr>
        <w:spacing w:after="100" w:line="360"/>
      </w:pPr>
      <w:r>
        <w:rPr>
          <w:b/>
          <w:bCs/>
        </w:rPr>
        <w:t xml:space="preserve">Clinical Feasibility Scorer</w:t>
      </w:r>
      <w:r>
        <w:t xml:space="preserve">: For each compound pair, assess clinical viability: regulatory status, existing safety data, dosing range feasibility, pharmacokinetic compatibility (overlapping therapeutic windows)</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the top 20 dual-mechanism perturbation pairs, identify all compounds in the Sapphire atlas targeting the excitatory intrinsic excitability mechanism.</w:t>
      </w:r>
    </w:p>
    <w:p>
      <w:pPr>
        <w:pStyle w:val="ListParagraph"/>
        <w:numPr>
          <w:ilvl w:val="0"/>
          <w:numId w:val="1"/>
        </w:numPr>
        <w:spacing w:after="100" w:line="360"/>
      </w:pPr>
      <w:r>
        <w:t xml:space="preserve">Identify all compounds targeting the inhibitory synaptic transmission mechanism; assess selectivity and off-target potential for each.</w:t>
      </w:r>
    </w:p>
    <w:p>
      <w:pPr>
        <w:pStyle w:val="ListParagraph"/>
        <w:numPr>
          <w:ilvl w:val="0"/>
          <w:numId w:val="1"/>
        </w:numPr>
        <w:spacing w:after="100" w:line="360"/>
      </w:pPr>
      <w:r>
        <w:t xml:space="preserve">Compute combined selectivity scores for each dual-compound pair; filter out pairs where either compound has high off-target binding.</w:t>
      </w:r>
    </w:p>
    <w:p>
      <w:pPr>
        <w:pStyle w:val="ListParagraph"/>
        <w:numPr>
          <w:ilvl w:val="0"/>
          <w:numId w:val="1"/>
        </w:numPr>
        <w:spacing w:after="100" w:line="360"/>
      </w:pPr>
      <w:r>
        <w:t xml:space="preserve">Assess ADMET properties and drug-likeness; prioritize compounds with predicted BBB penetrance and favorable pharmacokinetics.</w:t>
      </w:r>
    </w:p>
    <w:p>
      <w:pPr>
        <w:pStyle w:val="ListParagraph"/>
        <w:numPr>
          <w:ilvl w:val="0"/>
          <w:numId w:val="1"/>
        </w:numPr>
        <w:spacing w:after="100" w:line="360"/>
      </w:pPr>
      <w:r>
        <w:t xml:space="preserve">Cross-reference with clinical literature to identify pairs where both compounds have established safety profiles or are already in development.</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Matched dual-compound pairs (excitatory + inhibitory) ranked by mechanistic relevance, selectivity, ADMET favorability, and clinical feasibility</w:t>
      </w:r>
    </w:p>
    <w:p>
      <w:pPr>
        <w:pStyle w:val="ListParagraph"/>
        <w:numPr>
          <w:ilvl w:val="0"/>
          <w:numId w:val="1"/>
        </w:numPr>
        <w:spacing w:after="100" w:line="360"/>
      </w:pPr>
      <w:r>
        <w:t xml:space="preserve">Off-target risk assessment for each compound in the proposed combinations</w:t>
      </w:r>
    </w:p>
    <w:p>
      <w:pPr>
        <w:pStyle w:val="ListParagraph"/>
        <w:numPr>
          <w:ilvl w:val="0"/>
          <w:numId w:val="1"/>
        </w:numPr>
        <w:spacing w:after="100" w:line="360"/>
      </w:pPr>
      <w:r>
        <w:t xml:space="preserve">Predicted ADMET profiles and drug-likeness scores for all proposed compounds</w:t>
      </w:r>
    </w:p>
    <w:p>
      <w:pPr>
        <w:pStyle w:val="ListParagraph"/>
        <w:numPr>
          <w:ilvl w:val="0"/>
          <w:numId w:val="1"/>
        </w:numPr>
        <w:spacing w:after="100" w:line="360"/>
      </w:pPr>
      <w:r>
        <w:t xml:space="preserve">Clinical development status summary (phase of development, known safety signals, dosing ranges) for each compound pair</w:t>
      </w:r>
    </w:p>
    <w:p>
      <w:pPr>
        <w:spacing w:after="120"/>
      </w:pPr>
      <w:r>
        <w:t xml:space="preserve"/>
      </w:r>
    </w:p>
    <w:p>
      <w:pPr>
        <w:spacing w:after="240" w:line="360"/>
      </w:pPr>
      <w:r>
        <w:rPr>
          <w:b/>
          <w:bCs/>
        </w:rPr>
        <w:t xml:space="preserve">Format: </w:t>
      </w:r>
      <w:r>
        <w:t xml:space="preserve">Detailed table (CSV/Excel) with rows = dual-compound pairs, columns = excitatory compound ID, inhibitory compound ID, target genes, selectivity scores, ADMET summary, clinical status, recommended dose ranges, safety notes. Supplementary risk matrices.</w:t>
      </w:r>
    </w:p>
    <w:p>
      <w:pPr>
        <w:pStyle w:val="Heading2"/>
        <w:spacing w:after="200" w:before="200"/>
      </w:pPr>
      <w:r>
        <w:t xml:space="preserve">Stage 5: Dosing Ratio Optimization &amp; Therapeutic Index Estimation</w:t>
      </w:r>
    </w:p>
    <w:p>
      <w:pPr>
        <w:spacing w:after="200" w:line="360"/>
      </w:pPr>
      <w:r>
        <w:rPr>
          <w:b/>
          <w:bCs/>
        </w:rPr>
        <w:t xml:space="preserve">Purpose: </w:t>
      </w:r>
      <w:r>
        <w:t xml:space="preserve">Predict optimal dosing ratios and schedules for each top dual-compound pair to maximize phenotype rescue while maintaining acceptable toxicity margins.</w:t>
      </w:r>
    </w:p>
    <w:p>
      <w:pPr>
        <w:spacing w:after="120"/>
      </w:pPr>
      <w:r>
        <w:rPr>
          <w:b/>
          <w:bCs/>
        </w:rPr>
        <w:t xml:space="preserve">Inputs:</w:t>
      </w:r>
    </w:p>
    <w:p>
      <w:pPr>
        <w:pStyle w:val="ListParagraph"/>
        <w:numPr>
          <w:ilvl w:val="0"/>
          <w:numId w:val="1"/>
        </w:numPr>
        <w:spacing w:after="100" w:line="360"/>
      </w:pPr>
      <w:r>
        <w:t xml:space="preserve">Top 20-30 matched dual-compound pairs from Stage 4</w:t>
      </w:r>
    </w:p>
    <w:p>
      <w:pPr>
        <w:pStyle w:val="ListParagraph"/>
        <w:numPr>
          <w:ilvl w:val="0"/>
          <w:numId w:val="1"/>
        </w:numPr>
        <w:spacing w:after="100" w:line="360"/>
      </w:pPr>
      <w:r>
        <w:t xml:space="preserve">Quiver dose-response curves for each compound in single and combination settings (EC50, Hill coefficient, maximal effect)</w:t>
      </w:r>
    </w:p>
    <w:p>
      <w:pPr>
        <w:pStyle w:val="ListParagraph"/>
        <w:numPr>
          <w:ilvl w:val="0"/>
          <w:numId w:val="1"/>
        </w:numPr>
        <w:spacing w:after="100" w:line="360"/>
      </w:pPr>
      <w:r>
        <w:t xml:space="preserve">Predicted pharmacokinetics and pharmacodynamics for each compound (Cmax, half-life, target occupancy dynamics)</w:t>
      </w:r>
    </w:p>
    <w:p>
      <w:pPr>
        <w:pStyle w:val="ListParagraph"/>
        <w:numPr>
          <w:ilvl w:val="0"/>
          <w:numId w:val="1"/>
        </w:numPr>
        <w:spacing w:after="100" w:line="360"/>
      </w:pPr>
      <w:r>
        <w:t xml:space="preserve">Toxicity endpoints from Quiver or literature (electrophysiological toxicity signals, off-target pathway activation, metabolic stress indicators)</w:t>
      </w:r>
    </w:p>
    <w:p>
      <w:pPr>
        <w:pStyle w:val="ListParagraph"/>
        <w:numPr>
          <w:ilvl w:val="0"/>
          <w:numId w:val="1"/>
        </w:numPr>
        <w:spacing w:after="100" w:line="360"/>
      </w:pPr>
      <w:r>
        <w:t xml:space="preserve">Literature on approved dosing ratios for existing combination therapies in related indications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Dose-Response Curve Analyzer</w:t>
      </w:r>
      <w:r>
        <w:t xml:space="preserve">: For each compound, extract EC50, Hill coefficient, and maximal effect from Quiver dose-response data; model pharmacodynamic responses across dose ranges</w:t>
      </w:r>
    </w:p>
    <w:p>
      <w:pPr>
        <w:pStyle w:val="ListParagraph"/>
        <w:numPr>
          <w:ilvl w:val="0"/>
          <w:numId w:val="1"/>
        </w:numPr>
        <w:spacing w:after="100" w:line="360"/>
      </w:pPr>
      <w:r>
        <w:rPr>
          <w:b/>
          <w:bCs/>
        </w:rPr>
        <w:t xml:space="preserve">PK/PD Simulator</w:t>
      </w:r>
      <w:r>
        <w:t xml:space="preserve">: Simulate time-dependent target occupancy for each compound using predicted pharmacokinetics; compute probability of achieving therapeutic effect over 24h dosing period</w:t>
      </w:r>
    </w:p>
    <w:p>
      <w:pPr>
        <w:pStyle w:val="ListParagraph"/>
        <w:numPr>
          <w:ilvl w:val="0"/>
          <w:numId w:val="1"/>
        </w:numPr>
        <w:spacing w:after="100" w:line="360"/>
      </w:pPr>
      <w:r>
        <w:rPr>
          <w:b/>
          <w:bCs/>
        </w:rPr>
        <w:t xml:space="preserve">Synergistic Dosing Optimizer</w:t>
      </w:r>
      <w:r>
        <w:t xml:space="preserve">: For each dual-compound pair, test virtual dose ratios (1:1, 1:2, 1:10, etc.) using Bliss or Loewe synergy models; identify ratio maximizing synergistic rescue at minimal total drug exposure</w:t>
      </w:r>
    </w:p>
    <w:p>
      <w:pPr>
        <w:pStyle w:val="ListParagraph"/>
        <w:numPr>
          <w:ilvl w:val="0"/>
          <w:numId w:val="1"/>
        </w:numPr>
        <w:spacing w:after="100" w:line="360"/>
      </w:pPr>
      <w:r>
        <w:rPr>
          <w:b/>
          <w:bCs/>
        </w:rPr>
        <w:t xml:space="preserve">Therapeutic Index Estimator</w:t>
      </w:r>
      <w:r>
        <w:t xml:space="preserve">: Compute therapeutic index (efficacy dose / toxicity threshold) for each dosing ratio; identify ratios with TI &gt; 5 (high safety margin)</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dual-compound pair, extract dose-response curves from Quiver; determine EC50 and Hill coefficient for phenotypic rescue in relevant neuron types.</w:t>
      </w:r>
    </w:p>
    <w:p>
      <w:pPr>
        <w:pStyle w:val="ListParagraph"/>
        <w:numPr>
          <w:ilvl w:val="0"/>
          <w:numId w:val="1"/>
        </w:numPr>
        <w:spacing w:after="100" w:line="360"/>
      </w:pPr>
      <w:r>
        <w:t xml:space="preserve">Predict steady-state pharmacokinetics (Cmax, half-life) for each compound assuming standard dosing regimens.</w:t>
      </w:r>
    </w:p>
    <w:p>
      <w:pPr>
        <w:pStyle w:val="ListParagraph"/>
        <w:numPr>
          <w:ilvl w:val="0"/>
          <w:numId w:val="1"/>
        </w:numPr>
        <w:spacing w:after="100" w:line="360"/>
      </w:pPr>
      <w:r>
        <w:t xml:space="preserve">Simulate target occupancy dynamics over a 24-hour period for various dosing ratios (1:1, 1:2, 1:3, 2:1, etc.); identify which ratio maintains highest synergistic target occupancy.</w:t>
      </w:r>
    </w:p>
    <w:p>
      <w:pPr>
        <w:pStyle w:val="ListParagraph"/>
        <w:numPr>
          <w:ilvl w:val="0"/>
          <w:numId w:val="1"/>
        </w:numPr>
        <w:spacing w:after="100" w:line="360"/>
      </w:pPr>
      <w:r>
        <w:t xml:space="preserve">Query Quiver for toxicity signals (electrophysiological abnormalities, cell death, abnormal network activity) at each simulated dose combination.</w:t>
      </w:r>
    </w:p>
    <w:p>
      <w:pPr>
        <w:pStyle w:val="ListParagraph"/>
        <w:numPr>
          <w:ilvl w:val="0"/>
          <w:numId w:val="1"/>
        </w:numPr>
        <w:spacing w:after="100" w:line="360"/>
      </w:pPr>
      <w:r>
        <w:t xml:space="preserve">Compute therapeutic index for top 5 dosing ratios per pair; rank by TI value and feasibility of clinical dosing.</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Optimized dosing ratios for top 15-20 dual-compound pairs (e.g., 'Compound A 2mg BID : Compound B 1mg BID')</w:t>
      </w:r>
    </w:p>
    <w:p>
      <w:pPr>
        <w:pStyle w:val="ListParagraph"/>
        <w:numPr>
          <w:ilvl w:val="0"/>
          <w:numId w:val="1"/>
        </w:numPr>
        <w:spacing w:after="100" w:line="360"/>
      </w:pPr>
      <w:r>
        <w:t xml:space="preserve">Predicted steady-state pharmacokinetics and target occupancy profiles for optimized dosing</w:t>
      </w:r>
    </w:p>
    <w:p>
      <w:pPr>
        <w:pStyle w:val="ListParagraph"/>
        <w:numPr>
          <w:ilvl w:val="0"/>
          <w:numId w:val="1"/>
        </w:numPr>
        <w:spacing w:after="100" w:line="360"/>
      </w:pPr>
      <w:r>
        <w:t xml:space="preserve">Estimated therapeutic index (TI) for each recommended dosing regimen; pairs with TI &gt; 5 flagged as 'high confidence'</w:t>
      </w:r>
    </w:p>
    <w:p>
      <w:pPr>
        <w:pStyle w:val="ListParagraph"/>
        <w:numPr>
          <w:ilvl w:val="0"/>
          <w:numId w:val="1"/>
        </w:numPr>
        <w:spacing w:after="100" w:line="360"/>
      </w:pPr>
      <w:r>
        <w:t xml:space="preserve">Toxicity safety margin assessment: predicted margin between therapeutic and toxic dose concentrations</w:t>
      </w:r>
    </w:p>
    <w:p>
      <w:pPr>
        <w:pStyle w:val="ListParagraph"/>
        <w:numPr>
          <w:ilvl w:val="0"/>
          <w:numId w:val="1"/>
        </w:numPr>
        <w:spacing w:after="100" w:line="360"/>
      </w:pPr>
      <w:r>
        <w:t xml:space="preserve">Dosing schedule recommendations (frequency, timing relative to meals/CNS penetration) based on PK properties</w:t>
      </w:r>
    </w:p>
    <w:p>
      <w:pPr>
        <w:spacing w:after="120"/>
      </w:pPr>
      <w:r>
        <w:t xml:space="preserve"/>
      </w:r>
    </w:p>
    <w:p>
      <w:pPr>
        <w:spacing w:after="240" w:line="360"/>
      </w:pPr>
      <w:r>
        <w:rPr>
          <w:b/>
          <w:bCs/>
        </w:rPr>
        <w:t xml:space="preserve">Format: </w:t>
      </w:r>
      <w:r>
        <w:t xml:space="preserve">Dosing recommendation table (Excel) with rows = dual-compound pairs, columns = compound A + dose, compound B + dose, dosing ratio, therapeutic index, expected Cmax, half-life, target occupancy, toxicity margin, recommended schedule. Supplementary PK/PD simulation graphs.</w:t>
      </w:r>
    </w:p>
    <w:p>
      <w:pPr>
        <w:pStyle w:val="Heading2"/>
        <w:spacing w:after="200" w:before="200"/>
      </w:pPr>
      <w:r>
        <w:t xml:space="preserve">Stage 6: Clinical Feasibility Assessment &amp; Ranking</w:t>
      </w:r>
    </w:p>
    <w:p>
      <w:pPr>
        <w:spacing w:after="200" w:line="360"/>
      </w:pPr>
      <w:r>
        <w:rPr>
          <w:b/>
          <w:bCs/>
        </w:rPr>
        <w:t xml:space="preserve">Purpose: </w:t>
      </w:r>
      <w:r>
        <w:t xml:space="preserve">Conduct comprehensive clinical feasibility evaluation of all recommended dual-compound combinations, accounting for drug availability, regulatory pathway, patient population fit, and contraindication risks.</w:t>
      </w:r>
    </w:p>
    <w:p>
      <w:pPr>
        <w:spacing w:after="120"/>
      </w:pPr>
      <w:r>
        <w:rPr>
          <w:b/>
          <w:bCs/>
        </w:rPr>
        <w:t xml:space="preserve">Inputs:</w:t>
      </w:r>
    </w:p>
    <w:p>
      <w:pPr>
        <w:pStyle w:val="ListParagraph"/>
        <w:numPr>
          <w:ilvl w:val="0"/>
          <w:numId w:val="1"/>
        </w:numPr>
        <w:spacing w:after="100" w:line="360"/>
      </w:pPr>
      <w:r>
        <w:t xml:space="preserve">Top 15-20 optimized dual-compound combinations from Stage 5</w:t>
      </w:r>
    </w:p>
    <w:p>
      <w:pPr>
        <w:pStyle w:val="ListParagraph"/>
        <w:numPr>
          <w:ilvl w:val="0"/>
          <w:numId w:val="1"/>
        </w:numPr>
        <w:spacing w:after="100" w:line="360"/>
      </w:pPr>
      <w:r>
        <w:t xml:space="preserve">Clinical development history and regulatory status for each compound (FDA phase, EMA approvals, investigational status)</w:t>
      </w:r>
    </w:p>
    <w:p>
      <w:pPr>
        <w:pStyle w:val="ListParagraph"/>
        <w:numPr>
          <w:ilvl w:val="0"/>
          <w:numId w:val="1"/>
        </w:numPr>
        <w:spacing w:after="100" w:line="360"/>
      </w:pPr>
      <w:r>
        <w:t xml:space="preserve">Known drug-drug interactions (DDI) database; pharmacogenomic considerations</w:t>
      </w:r>
    </w:p>
    <w:p>
      <w:pPr>
        <w:pStyle w:val="ListParagraph"/>
        <w:numPr>
          <w:ilvl w:val="0"/>
          <w:numId w:val="1"/>
        </w:numPr>
        <w:spacing w:after="100" w:line="360"/>
      </w:pPr>
      <w:r>
        <w:t xml:space="preserve">Patient exclusion criteria and contraindication mappings for existing indications</w:t>
      </w:r>
    </w:p>
    <w:p>
      <w:pPr>
        <w:pStyle w:val="ListParagraph"/>
        <w:numPr>
          <w:ilvl w:val="0"/>
          <w:numId w:val="1"/>
        </w:numPr>
        <w:spacing w:after="100" w:line="360"/>
      </w:pPr>
      <w:r>
        <w:t xml:space="preserve">Budget and timeline constraints for combination development and clinical trial design</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Drug-Drug Interaction Checker</w:t>
      </w:r>
      <w:r>
        <w:t xml:space="preserve">: Cross-reference each dual-compound pair against known DDI databases (DrugBank, FDA, VigiBase); flag pairs with known or predicted major interactions (CYP3A4 inhibition, protein binding displacement)</w:t>
      </w:r>
    </w:p>
    <w:p>
      <w:pPr>
        <w:pStyle w:val="ListParagraph"/>
        <w:numPr>
          <w:ilvl w:val="0"/>
          <w:numId w:val="1"/>
        </w:numPr>
        <w:spacing w:after="100" w:line="360"/>
      </w:pPr>
      <w:r>
        <w:rPr>
          <w:b/>
          <w:bCs/>
        </w:rPr>
        <w:t xml:space="preserve">Regulatory Pathway Mapper</w:t>
      </w:r>
      <w:r>
        <w:t xml:space="preserve">: For each compound pair, map the optimal regulatory strategy (IND/CTA/IMP application requirements, combination trial design expectations, expedited approval pathways if eligible)</w:t>
      </w:r>
    </w:p>
    <w:p>
      <w:pPr>
        <w:pStyle w:val="ListParagraph"/>
        <w:numPr>
          <w:ilvl w:val="0"/>
          <w:numId w:val="1"/>
        </w:numPr>
        <w:spacing w:after="100" w:line="360"/>
      </w:pPr>
      <w:r>
        <w:rPr>
          <w:b/>
          <w:bCs/>
        </w:rPr>
        <w:t xml:space="preserve">Patient Population Alignment Tool</w:t>
      </w:r>
      <w:r>
        <w:t xml:space="preserve">: Assess fit of each combination to target disease phenotypes (e.g., treatment-resistant epilepsy, refractory depression); score based on predicted phenotypic rescue and known patient stratification markers</w:t>
      </w:r>
    </w:p>
    <w:p>
      <w:pPr>
        <w:pStyle w:val="ListParagraph"/>
        <w:numPr>
          <w:ilvl w:val="0"/>
          <w:numId w:val="1"/>
        </w:numPr>
        <w:spacing w:after="100" w:line="360"/>
      </w:pPr>
      <w:r>
        <w:rPr>
          <w:b/>
          <w:bCs/>
        </w:rPr>
        <w:t xml:space="preserve">Cost-Benefit &amp; Timeline Analyzer</w:t>
      </w:r>
      <w:r>
        <w:t xml:space="preserve">: Estimate development timelines, trial costs, and manufacturing complexity for each combination; rank by feasibility of near-term advancement (18-24 months)</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dual-compound combination, query comprehensive drug-drug interaction databases; identify any major interactions requiring dose adjustment or additional monitoring.</w:t>
      </w:r>
    </w:p>
    <w:p>
      <w:pPr>
        <w:pStyle w:val="ListParagraph"/>
        <w:numPr>
          <w:ilvl w:val="0"/>
          <w:numId w:val="1"/>
        </w:numPr>
        <w:spacing w:after="100" w:line="360"/>
      </w:pPr>
      <w:r>
        <w:t xml:space="preserve">Assess regulatory status: are both compounds approved for any indication? If not, which would require IND application? What is the fastest regulatory pathway for the combination?</w:t>
      </w:r>
    </w:p>
    <w:p>
      <w:pPr>
        <w:pStyle w:val="ListParagraph"/>
        <w:numPr>
          <w:ilvl w:val="0"/>
          <w:numId w:val="1"/>
        </w:numPr>
        <w:spacing w:after="100" w:line="360"/>
      </w:pPr>
      <w:r>
        <w:t xml:space="preserve">Determine whether either compound has relevant existing safety/efficacy data in the target disease; assess whether combination trial could leverage existing data.</w:t>
      </w:r>
    </w:p>
    <w:p>
      <w:pPr>
        <w:pStyle w:val="ListParagraph"/>
        <w:numPr>
          <w:ilvl w:val="0"/>
          <w:numId w:val="1"/>
        </w:numPr>
        <w:spacing w:after="100" w:line="360"/>
      </w:pPr>
      <w:r>
        <w:t xml:space="preserve">Identify patient inclusion/exclusion criteria constraints; evaluate whether the target population has adequate number of diagnosed patients for trial feasibility.</w:t>
      </w:r>
    </w:p>
    <w:p>
      <w:pPr>
        <w:pStyle w:val="ListParagraph"/>
        <w:numPr>
          <w:ilvl w:val="0"/>
          <w:numId w:val="1"/>
        </w:numPr>
        <w:spacing w:after="100" w:line="360"/>
      </w:pPr>
      <w:r>
        <w:t xml:space="preserve">Estimate development timeline (IND preparation, Phase I, Phase II) and approximate budget for each combination; identify combinations with fastest path to clinical testing.</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Final ranked list of top 10-15 dual-compound combinations for clinical advancement, ranked by mechanistic strength, dosing feasibility, clinical safety profile, and regulatory pathway clarity</w:t>
      </w:r>
    </w:p>
    <w:p>
      <w:pPr>
        <w:pStyle w:val="ListParagraph"/>
        <w:numPr>
          <w:ilvl w:val="0"/>
          <w:numId w:val="1"/>
        </w:numPr>
        <w:spacing w:after="100" w:line="360"/>
      </w:pPr>
      <w:r>
        <w:t xml:space="preserve">For each recommended combination: executive summary of mechanism, predicted efficacy, toxicity risk, and clinical pathway</w:t>
      </w:r>
    </w:p>
    <w:p>
      <w:pPr>
        <w:pStyle w:val="ListParagraph"/>
        <w:numPr>
          <w:ilvl w:val="0"/>
          <w:numId w:val="1"/>
        </w:numPr>
        <w:spacing w:after="100" w:line="360"/>
      </w:pPr>
      <w:r>
        <w:t xml:space="preserve">Drug-drug interaction assessment: any pairs flagged with major DDI concerns or requiring modified dosing strategies</w:t>
      </w:r>
    </w:p>
    <w:p>
      <w:pPr>
        <w:pStyle w:val="ListParagraph"/>
        <w:numPr>
          <w:ilvl w:val="0"/>
          <w:numId w:val="1"/>
        </w:numPr>
        <w:spacing w:after="100" w:line="360"/>
      </w:pPr>
      <w:r>
        <w:t xml:space="preserve">Proposed target patient population and inclusion/exclusion criteria for each combination</w:t>
      </w:r>
    </w:p>
    <w:p>
      <w:pPr>
        <w:pStyle w:val="ListParagraph"/>
        <w:numPr>
          <w:ilvl w:val="0"/>
          <w:numId w:val="1"/>
        </w:numPr>
        <w:spacing w:after="100" w:line="360"/>
      </w:pPr>
      <w:r>
        <w:t xml:space="preserve">Estimated development timeline and cost for advancing each combination to IND filing and Phase I trial readiness</w:t>
      </w:r>
    </w:p>
    <w:p>
      <w:pPr>
        <w:spacing w:after="120"/>
      </w:pPr>
      <w:r>
        <w:t xml:space="preserve"/>
      </w:r>
    </w:p>
    <w:p>
      <w:pPr>
        <w:spacing w:after="240" w:line="360"/>
      </w:pPr>
      <w:r>
        <w:rPr>
          <w:b/>
          <w:bCs/>
        </w:rPr>
        <w:t xml:space="preserve">Format: </w:t>
      </w:r>
      <w:r>
        <w:t xml:space="preserve">Executive ranking table (Excel) with rows = recommended dual-compound combinations, columns = excitatory compound, inhibitory compound, mechanism, predicted efficacy level, toxicity risk (low/medium/high), DDI concerns, patient population fit, regulatory status, estimated timeline to IND, development cost tier, clinical priority score. Supporting narrative summaries for top 5 combinations.</w:t>
      </w:r>
    </w:p>
    <w:p>
      <w:pPr>
        <w:pStyle w:val="Heading2"/>
        <w:spacing w:after="200" w:before="200"/>
      </w:pPr>
      <w:r>
        <w:t xml:space="preserve">Tools &amp; Databases Summary</w:t>
      </w:r>
    </w:p>
    <w:p>
      <w:pPr>
        <w:pStyle w:val="ListParagraph"/>
        <w:numPr>
          <w:ilvl w:val="0"/>
          <w:numId w:val="1"/>
        </w:numPr>
        <w:spacing w:after="100" w:line="360"/>
      </w:pPr>
      <w:r>
        <w:t xml:space="preserve">Quiver EP Query API: Core access to ~18,000 CRISPR perturbations and electrophysiology phenotypes in human cortical neurons</w:t>
      </w:r>
    </w:p>
    <w:p>
      <w:pPr>
        <w:pStyle w:val="ListParagraph"/>
        <w:numPr>
          <w:ilvl w:val="0"/>
          <w:numId w:val="1"/>
        </w:numPr>
        <w:spacing w:after="100" w:line="360"/>
      </w:pPr>
      <w:r>
        <w:t xml:space="preserve">Phenotype Clustering Engine: Hierarchical clustering and k-means for grouping perturbations by similar electrophysiological signatures</w:t>
      </w:r>
    </w:p>
    <w:p>
      <w:pPr>
        <w:pStyle w:val="ListParagraph"/>
        <w:numPr>
          <w:ilvl w:val="0"/>
          <w:numId w:val="1"/>
        </w:numPr>
        <w:spacing w:after="100" w:line="360"/>
      </w:pPr>
      <w:r>
        <w:t xml:space="preserve">Gene Annotation Module: GO enrichment, KEGG pathway mapping, protein interaction network integration</w:t>
      </w:r>
    </w:p>
    <w:p>
      <w:pPr>
        <w:pStyle w:val="ListParagraph"/>
        <w:numPr>
          <w:ilvl w:val="0"/>
          <w:numId w:val="1"/>
        </w:numPr>
        <w:spacing w:after="100" w:line="360"/>
      </w:pPr>
      <w:r>
        <w:t xml:space="preserve">Statistical Association Tool: Effect size computation, FDR correction, significance filtering (q &lt; 0.01)</w:t>
      </w:r>
    </w:p>
    <w:p>
      <w:pPr>
        <w:pStyle w:val="ListParagraph"/>
        <w:numPr>
          <w:ilvl w:val="0"/>
          <w:numId w:val="1"/>
        </w:numPr>
        <w:spacing w:after="100" w:line="360"/>
      </w:pPr>
      <w:r>
        <w:t xml:space="preserve">Synaptic Feature Extraction Module: mIPSC/sIPSC kinetics computation, synaptic strength integration from network recordings</w:t>
      </w:r>
    </w:p>
    <w:p>
      <w:pPr>
        <w:pStyle w:val="ListParagraph"/>
        <w:numPr>
          <w:ilvl w:val="0"/>
          <w:numId w:val="1"/>
        </w:numPr>
        <w:spacing w:after="100" w:line="360"/>
      </w:pPr>
      <w:r>
        <w:t xml:space="preserve">Synapse Network Analyzer: Connectivity graph reconstruction, hub neuron identification, E:I balance computation</w:t>
      </w:r>
    </w:p>
    <w:p>
      <w:pPr>
        <w:pStyle w:val="ListParagraph"/>
        <w:numPr>
          <w:ilvl w:val="0"/>
          <w:numId w:val="1"/>
        </w:numPr>
        <w:spacing w:after="100" w:line="360"/>
      </w:pPr>
      <w:r>
        <w:t xml:space="preserve">Functional Connectivity Correlator: Network-level integration of synaptic phenotypes</w:t>
      </w:r>
    </w:p>
    <w:p>
      <w:pPr>
        <w:pStyle w:val="ListParagraph"/>
        <w:numPr>
          <w:ilvl w:val="0"/>
          <w:numId w:val="1"/>
        </w:numPr>
        <w:spacing w:after="100" w:line="360"/>
      </w:pPr>
      <w:r>
        <w:t xml:space="preserve">Pairwise Perturbation Query Module: Retrieval of double-perturbation Quiver EP data and synergy scoring (Bliss, Loewe)</w:t>
      </w:r>
    </w:p>
    <w:p>
      <w:pPr>
        <w:pStyle w:val="ListParagraph"/>
        <w:numPr>
          <w:ilvl w:val="0"/>
          <w:numId w:val="1"/>
        </w:numPr>
        <w:spacing w:after="100" w:line="360"/>
      </w:pPr>
      <w:r>
        <w:t xml:space="preserve">Genetic Interaction Network Analyzer: STRING/BioGRID integration, bipartite interaction graphing</w:t>
      </w:r>
    </w:p>
    <w:p>
      <w:pPr>
        <w:pStyle w:val="ListParagraph"/>
        <w:numPr>
          <w:ilvl w:val="0"/>
          <w:numId w:val="1"/>
        </w:numPr>
        <w:spacing w:after="100" w:line="360"/>
      </w:pPr>
      <w:r>
        <w:t xml:space="preserve">Multivariate Synergy Predictor: Machine learning models (XGBoost, random forest) for synergy prediction</w:t>
      </w:r>
    </w:p>
    <w:p>
      <w:pPr>
        <w:pStyle w:val="ListParagraph"/>
        <w:numPr>
          <w:ilvl w:val="0"/>
          <w:numId w:val="1"/>
        </w:numPr>
        <w:spacing w:after="100" w:line="360"/>
      </w:pPr>
      <w:r>
        <w:t xml:space="preserve">Mechanistic Rationality Scorer: Pathway overlap analysis and therapeutic mechanism complementarity assessment</w:t>
      </w:r>
    </w:p>
    <w:p>
      <w:pPr>
        <w:pStyle w:val="ListParagraph"/>
        <w:numPr>
          <w:ilvl w:val="0"/>
          <w:numId w:val="1"/>
        </w:numPr>
        <w:spacing w:after="100" w:line="360"/>
      </w:pPr>
      <w:r>
        <w:t xml:space="preserve">Target-Compound Mapping Module: Chemical structure matching, target annotation cross-referencing</w:t>
      </w:r>
    </w:p>
    <w:p>
      <w:pPr>
        <w:pStyle w:val="ListParagraph"/>
        <w:numPr>
          <w:ilvl w:val="0"/>
          <w:numId w:val="1"/>
        </w:numPr>
        <w:spacing w:after="100" w:line="360"/>
      </w:pPr>
      <w:r>
        <w:t xml:space="preserve">Compound Selectivity Analyzer: Chemoinformatics tools (Tanimoto similarity, pharmacophore matching), off-target assessment</w:t>
      </w:r>
    </w:p>
    <w:p>
      <w:pPr>
        <w:pStyle w:val="ListParagraph"/>
        <w:numPr>
          <w:ilvl w:val="0"/>
          <w:numId w:val="1"/>
        </w:numPr>
        <w:spacing w:after="100" w:line="360"/>
      </w:pPr>
      <w:r>
        <w:t xml:space="preserve">ADMET Property Predictor: Lipinski rule of 5, BBB penetrance prediction, drug-likeness scoring</w:t>
      </w:r>
    </w:p>
    <w:p>
      <w:pPr>
        <w:pStyle w:val="ListParagraph"/>
        <w:numPr>
          <w:ilvl w:val="0"/>
          <w:numId w:val="1"/>
        </w:numPr>
        <w:spacing w:after="100" w:line="360"/>
      </w:pPr>
      <w:r>
        <w:t xml:space="preserve">Clinical Feasibility Scorer: Regulatory status mapping, dosing feasibility assessment</w:t>
      </w:r>
    </w:p>
    <w:p>
      <w:pPr>
        <w:pStyle w:val="ListParagraph"/>
        <w:numPr>
          <w:ilvl w:val="0"/>
          <w:numId w:val="1"/>
        </w:numPr>
        <w:spacing w:after="100" w:line="360"/>
      </w:pPr>
      <w:r>
        <w:t xml:space="preserve">Dose-Response Curve Analyzer: EC50, Hill coefficient extraction, pharmacodynamic modeling</w:t>
      </w:r>
    </w:p>
    <w:p>
      <w:pPr>
        <w:pStyle w:val="ListParagraph"/>
        <w:numPr>
          <w:ilvl w:val="0"/>
          <w:numId w:val="1"/>
        </w:numPr>
        <w:spacing w:after="100" w:line="360"/>
      </w:pPr>
      <w:r>
        <w:t xml:space="preserve">PK/PD Simulator: Target occupancy dynamics, dose-ranging simulations across 24h period</w:t>
      </w:r>
    </w:p>
    <w:p>
      <w:pPr>
        <w:pStyle w:val="ListParagraph"/>
        <w:numPr>
          <w:ilvl w:val="0"/>
          <w:numId w:val="1"/>
        </w:numPr>
        <w:spacing w:after="100" w:line="360"/>
      </w:pPr>
      <w:r>
        <w:t xml:space="preserve">Synergistic Dosing Optimizer: Virtual dosing ratio testing, Bliss/Loewe synergy optimization</w:t>
      </w:r>
    </w:p>
    <w:p>
      <w:pPr>
        <w:pStyle w:val="ListParagraph"/>
        <w:numPr>
          <w:ilvl w:val="0"/>
          <w:numId w:val="1"/>
        </w:numPr>
        <w:spacing w:after="100" w:line="360"/>
      </w:pPr>
      <w:r>
        <w:t xml:space="preserve">Therapeutic Index Estimator: Efficacy dose / toxicity threshold computation, safety margin assessment</w:t>
      </w:r>
    </w:p>
    <w:p>
      <w:pPr>
        <w:pStyle w:val="ListParagraph"/>
        <w:numPr>
          <w:ilvl w:val="0"/>
          <w:numId w:val="1"/>
        </w:numPr>
        <w:spacing w:after="100" w:line="360"/>
      </w:pPr>
      <w:r>
        <w:t xml:space="preserve">Drug-Drug Interaction Checker: DrugBank, FDA, VigiBase integration, major interaction flagging</w:t>
      </w:r>
    </w:p>
    <w:p>
      <w:pPr>
        <w:pStyle w:val="ListParagraph"/>
        <w:numPr>
          <w:ilvl w:val="0"/>
          <w:numId w:val="1"/>
        </w:numPr>
        <w:spacing w:after="100" w:line="360"/>
      </w:pPr>
      <w:r>
        <w:t xml:space="preserve">Regulatory Pathway Mapper: IND/CTA requirements, trial design recommendations, expedited approval pathway identification</w:t>
      </w:r>
    </w:p>
    <w:p>
      <w:pPr>
        <w:pStyle w:val="ListParagraph"/>
        <w:numPr>
          <w:ilvl w:val="0"/>
          <w:numId w:val="1"/>
        </w:numPr>
        <w:spacing w:after="100" w:line="360"/>
      </w:pPr>
      <w:r>
        <w:t xml:space="preserve">Patient Population Alignment Tool: Disease phenotype matching, patient stratification scoring</w:t>
      </w:r>
    </w:p>
    <w:p>
      <w:pPr>
        <w:pStyle w:val="ListParagraph"/>
        <w:numPr>
          <w:ilvl w:val="0"/>
          <w:numId w:val="1"/>
        </w:numPr>
        <w:spacing w:after="100" w:line="360"/>
      </w:pPr>
      <w:r>
        <w:t xml:space="preserve">Cost-Benefit &amp; Timeline Analyzer: Development timeline estimation, budget allocation, manufacturing feasibility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2026-02-27T17:23:14.297Z</dcterms:created>
  <dcterms:modified xsi:type="dcterms:W3CDTF">2026-02-27T17:23:14.297Z</dcterms:modified>
</cp:coreProperties>
</file>

<file path=docProps/custom.xml><?xml version="1.0" encoding="utf-8"?>
<Properties xmlns="http://schemas.openxmlformats.org/officeDocument/2006/custom-properties" xmlns:vt="http://schemas.openxmlformats.org/officeDocument/2006/docPropsVTypes"/>
</file>