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"For treatment-resistant depression, propose dual-mechanism combinations supported by Quiver embedding similarity."</w:t>
      </w:r>
    </w:p>
    <w:p>
      <w:pPr>
        <w:spacing w:after="24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00" w:line="360"/>
      </w:pPr>
      <w:r>
        <w:t xml:space="preserve">This pipeline leverages Quiver's embedding space — a high-dimensional representation where compounds with similar electrophysiological effects occupy nearby positions — to identify dual-mechanism combinations for treatment-resistant depression (TRD). The workflow constructs a Quiver embedding by integrating all EP phenotypes across thousands of compounds and perturbations, then identifies compound pairs occupying complementary (nearby but distinct) positions in the embedding that address distinct TRD pathophysiological mechanisms (e.g., monoamine system dysregulation + inhibitory tone reduction + intrinsic excitability normalization).</w:t>
      </w:r>
    </w:p>
    <w:p>
      <w:pPr>
        <w:spacing w:after="240" w:line="360"/>
      </w:pPr>
      <w:r>
        <w:t xml:space="preserve">The process begins with embedding construction and validation, followed by systematic identification of TRD-relevant mechanisms in embedding space, discovery of mechanistically complementary but phenotypically distinct compound pairs, and finally clinical translation with ERP/fMRI biomarker mapping. By combining geometric proximity (chemical/mechanistic similarity) with functional complementarity, this pipeline delivers dual-compound recommendations predicted to overcome TRD via non-overlapping but synergistic interventions, with explicit connection to neurobiological TRD mechanisms.</w:t>
      </w:r>
    </w:p>
    <w:p>
      <w:pPr>
        <w:pStyle w:val="Heading2"/>
        <w:spacing w:after="200" w:before="200"/>
      </w:pPr>
      <w:r>
        <w:t xml:space="preserve">Stage 1: Quiver Embedding Construction &amp; Validation</w:t>
      </w:r>
    </w:p>
    <w:p>
      <w:pPr>
        <w:spacing w:after="200" w:line="360"/>
      </w:pPr>
      <w:r>
        <w:rPr>
          <w:b/>
          <w:bCs/>
        </w:rPr>
        <w:t xml:space="preserve">Purpose: </w:t>
      </w:r>
      <w:r>
        <w:t xml:space="preserve">Construct a high-dimensional embedding space from Quiver's ~18,000 CRISPR perturbations and compound response profiles, where proximity reflects electrophysiological and mechanistic similarity, enabling systematic discovery of mechanism-related compound clusters.</w:t>
      </w:r>
    </w:p>
    <w:p>
      <w:pPr>
        <w:spacing w:after="120"/>
      </w:pPr>
      <w:r>
        <w:rPr>
          <w:b/>
          <w:bCs/>
        </w:rPr>
        <w:t xml:space="preserve">Inputs:</w:t>
      </w:r>
    </w:p>
    <w:p>
      <w:pPr>
        <w:pStyle w:val="ListParagraph"/>
        <w:numPr>
          <w:ilvl w:val="0"/>
          <w:numId w:val="1"/>
        </w:numPr>
        <w:spacing w:after="100" w:line="360"/>
      </w:pPr>
      <w:r>
        <w:t xml:space="preserve">Quiver complete EP phenotype matrix: ~18,000 compounds/perturbations x ~100 EP features (all recordings)</w:t>
      </w:r>
    </w:p>
    <w:p>
      <w:pPr>
        <w:pStyle w:val="ListParagraph"/>
        <w:numPr>
          <w:ilvl w:val="0"/>
          <w:numId w:val="1"/>
        </w:numPr>
        <w:spacing w:after="100" w:line="360"/>
      </w:pPr>
      <w:r>
        <w:t xml:space="preserve">Chemical structure data for all compounds in atlas (SMILES strings, molecular descriptors)</w:t>
      </w:r>
    </w:p>
    <w:p>
      <w:pPr>
        <w:pStyle w:val="ListParagraph"/>
        <w:numPr>
          <w:ilvl w:val="0"/>
          <w:numId w:val="1"/>
        </w:numPr>
        <w:spacing w:after="100" w:line="360"/>
      </w:pPr>
      <w:r>
        <w:t xml:space="preserve">Known mechanism-of-action annotations for compounds (target genes, pathways)</w:t>
      </w:r>
    </w:p>
    <w:p>
      <w:pPr>
        <w:pStyle w:val="ListParagraph"/>
        <w:numPr>
          <w:ilvl w:val="0"/>
          <w:numId w:val="1"/>
        </w:numPr>
        <w:spacing w:after="100" w:line="360"/>
      </w:pPr>
      <w:r>
        <w:t xml:space="preserve">Literature and clinical data on mechanisms underlying depression and TRD (monoamine dysregulation, GABAergic insufficiency, glutamate excitotoxicity, inflammatory mediators, neuroinflammation)</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EP-Based Embedding Constructor (UMAP/t-SNE/PCA)</w:t>
      </w:r>
      <w:r>
        <w:t xml:space="preserve">: Apply dimensionality reduction to Quiver EP phenotype matrix (100D → 2D-3D via UMAP or t-SNE); retain &gt;100 dimensions for analysis to preserve local structure</w:t>
      </w:r>
    </w:p>
    <w:p>
      <w:pPr>
        <w:pStyle w:val="ListParagraph"/>
        <w:numPr>
          <w:ilvl w:val="0"/>
          <w:numId w:val="1"/>
        </w:numPr>
        <w:spacing w:after="100" w:line="360"/>
      </w:pPr>
      <w:r>
        <w:rPr>
          <w:b/>
          <w:bCs/>
        </w:rPr>
        <w:t xml:space="preserve">Chemical Structure Similarity Mapper</w:t>
      </w:r>
      <w:r>
        <w:t xml:space="preserve">: Compute pairwise chemical similarity (Tanimoto, Euclidean on molecular descriptors) between all compounds; create parallel chemical structure embedding</w:t>
      </w:r>
    </w:p>
    <w:p>
      <w:pPr>
        <w:pStyle w:val="ListParagraph"/>
        <w:numPr>
          <w:ilvl w:val="0"/>
          <w:numId w:val="1"/>
        </w:numPr>
        <w:spacing w:after="100" w:line="360"/>
      </w:pPr>
      <w:r>
        <w:rPr>
          <w:b/>
          <w:bCs/>
        </w:rPr>
        <w:t xml:space="preserve">Mechanism-Aware Embedding Integrator</w:t>
      </w:r>
      <w:r>
        <w:t xml:space="preserve">: Integrate EP embedding, chemical embedding, and known mechanism annotations into unified Quiver embedding; use multi-modal fusion or weighted averaging to balance all information sources</w:t>
      </w:r>
    </w:p>
    <w:p>
      <w:pPr>
        <w:pStyle w:val="ListParagraph"/>
        <w:numPr>
          <w:ilvl w:val="0"/>
          <w:numId w:val="1"/>
        </w:numPr>
        <w:spacing w:after="100" w:line="360"/>
      </w:pPr>
      <w:r>
        <w:rPr>
          <w:b/>
          <w:bCs/>
        </w:rPr>
        <w:t xml:space="preserve">Embedding Quality Validator</w:t>
      </w:r>
      <w:r>
        <w:t xml:space="preserve">: Assess embedding quality: verified compound pairs with known similar mechanisms should cluster together; known distinct mechanisms should separate. Compute silhouette score, Davies-Bouldin index.</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Extract the complete Quiver EP phenotype matrix (~18,000 x ~100 features); normalize and standardize features.</w:t>
      </w:r>
    </w:p>
    <w:p>
      <w:pPr>
        <w:pStyle w:val="ListParagraph"/>
        <w:numPr>
          <w:ilvl w:val="0"/>
          <w:numId w:val="1"/>
        </w:numPr>
        <w:spacing w:after="100" w:line="360"/>
      </w:pPr>
      <w:r>
        <w:t xml:space="preserve">Apply UMAP dimensionality reduction to EP features, retaining 50-100 dimensions; compute 2D/3D visualization for exploration.</w:t>
      </w:r>
    </w:p>
    <w:p>
      <w:pPr>
        <w:pStyle w:val="ListParagraph"/>
        <w:numPr>
          <w:ilvl w:val="0"/>
          <w:numId w:val="1"/>
        </w:numPr>
        <w:spacing w:after="100" w:line="360"/>
      </w:pPr>
      <w:r>
        <w:t xml:space="preserve">In parallel, compute chemical structure similarity matrix (Tanimoto distance) for all compounds; construct chemical embedding.</w:t>
      </w:r>
    </w:p>
    <w:p>
      <w:pPr>
        <w:pStyle w:val="ListParagraph"/>
        <w:numPr>
          <w:ilvl w:val="0"/>
          <w:numId w:val="1"/>
        </w:numPr>
        <w:spacing w:after="100" w:line="360"/>
      </w:pPr>
      <w:r>
        <w:t xml:space="preserve">Integrate EP and chemical embeddings: create unified Quiver embedding weighting both modalities equally (or justify differential weighting).</w:t>
      </w:r>
    </w:p>
    <w:p>
      <w:pPr>
        <w:pStyle w:val="ListParagraph"/>
        <w:numPr>
          <w:ilvl w:val="0"/>
          <w:numId w:val="1"/>
        </w:numPr>
        <w:spacing w:after="100" w:line="360"/>
      </w:pPr>
      <w:r>
        <w:t xml:space="preserve">Validate embedding: confirm compounds with known similar mechanisms (e.g., SSRIs, SNRIs) cluster together; confirm mechanistically distinct compounds (e.g., GABA agonists vs SSRIs) separate.</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High-dimensional Quiver embedding (50-100D) capturing combined EP and chemical similarity</w:t>
      </w:r>
    </w:p>
    <w:p>
      <w:pPr>
        <w:pStyle w:val="ListParagraph"/>
        <w:numPr>
          <w:ilvl w:val="0"/>
          <w:numId w:val="1"/>
        </w:numPr>
        <w:spacing w:after="100" w:line="360"/>
      </w:pPr>
      <w:r>
        <w:t xml:space="preserve">2D/3D visualization of embedding space with compound/perturbation annotations</w:t>
      </w:r>
    </w:p>
    <w:p>
      <w:pPr>
        <w:pStyle w:val="ListParagraph"/>
        <w:numPr>
          <w:ilvl w:val="0"/>
          <w:numId w:val="1"/>
        </w:numPr>
        <w:spacing w:after="100" w:line="360"/>
      </w:pPr>
      <w:r>
        <w:t xml:space="preserve">Cluster-based mechanism assignments: identify regions of embedding space associated with known compound mechanisms</w:t>
      </w:r>
    </w:p>
    <w:p>
      <w:pPr>
        <w:pStyle w:val="ListParagraph"/>
        <w:numPr>
          <w:ilvl w:val="0"/>
          <w:numId w:val="1"/>
        </w:numPr>
        <w:spacing w:after="100" w:line="360"/>
      </w:pPr>
      <w:r>
        <w:t xml:space="preserve">Embedding quality metrics: silhouette score, Davies-Bouldin index, cross-modal consistency assessment</w:t>
      </w:r>
    </w:p>
    <w:p>
      <w:pPr>
        <w:pStyle w:val="ListParagraph"/>
        <w:numPr>
          <w:ilvl w:val="0"/>
          <w:numId w:val="1"/>
        </w:numPr>
        <w:spacing w:after="100" w:line="360"/>
      </w:pPr>
      <w:r>
        <w:t xml:space="preserve">Known compound benchmark: verification that reference compounds (fluoxetine, bupropion, ketamine) occupy expected positions in embedding space</w:t>
      </w:r>
    </w:p>
    <w:p>
      <w:pPr>
        <w:spacing w:after="120"/>
      </w:pPr>
      <w:r>
        <w:t xml:space="preserve"/>
      </w:r>
    </w:p>
    <w:p>
      <w:pPr>
        <w:spacing w:after="240" w:line="360"/>
      </w:pPr>
      <w:r>
        <w:rPr>
          <w:b/>
          <w:bCs/>
        </w:rPr>
        <w:t xml:space="preserve">Format: </w:t>
      </w:r>
      <w:r>
        <w:t xml:space="preserve">Embedding specification (Python pickle or HDF5 format), 2D visualization plots (HTML/PDF), cluster analysis table (CSV) mapping embedding regions to known mechanisms, validation metrics table.</w:t>
      </w:r>
    </w:p>
    <w:p>
      <w:pPr>
        <w:pStyle w:val="Heading2"/>
        <w:spacing w:after="200" w:before="200"/>
      </w:pPr>
      <w:r>
        <w:t xml:space="preserve">Stage 2: TRD-Relevant Mechanism Identification in Embedding Space</w:t>
      </w:r>
    </w:p>
    <w:p>
      <w:pPr>
        <w:spacing w:after="200" w:line="360"/>
      </w:pPr>
      <w:r>
        <w:rPr>
          <w:b/>
          <w:bCs/>
        </w:rPr>
        <w:t xml:space="preserve">Purpose: </w:t>
      </w:r>
      <w:r>
        <w:t xml:space="preserve">Identify compounds and compound clusters in the Quiver embedding space that address key pathophysiological mechanisms contributing to treatment resistance in depression.</w:t>
      </w:r>
    </w:p>
    <w:p>
      <w:pPr>
        <w:spacing w:after="120"/>
      </w:pPr>
      <w:r>
        <w:rPr>
          <w:b/>
          <w:bCs/>
        </w:rPr>
        <w:t xml:space="preserve">Inputs:</w:t>
      </w:r>
    </w:p>
    <w:p>
      <w:pPr>
        <w:pStyle w:val="ListParagraph"/>
        <w:numPr>
          <w:ilvl w:val="0"/>
          <w:numId w:val="1"/>
        </w:numPr>
        <w:spacing w:after="100" w:line="360"/>
      </w:pPr>
      <w:r>
        <w:t xml:space="preserve">High-dimensional Quiver embedding from Stage 1</w:t>
      </w:r>
    </w:p>
    <w:p>
      <w:pPr>
        <w:pStyle w:val="ListParagraph"/>
        <w:numPr>
          <w:ilvl w:val="0"/>
          <w:numId w:val="1"/>
        </w:numPr>
        <w:spacing w:after="100" w:line="360"/>
      </w:pPr>
      <w:r>
        <w:t xml:space="preserve">Literature on TRD mechanisms: known contributors to treatment resistance (monoamine dysregulation, HPA axis hyperactivity, neuroinflammation, GABAergic insufficiency, glutamate dysregulation, intrinsic neuronal excitability abnormalities, synaptic dysfunction)</w:t>
      </w:r>
    </w:p>
    <w:p>
      <w:pPr>
        <w:pStyle w:val="ListParagraph"/>
        <w:numPr>
          <w:ilvl w:val="0"/>
          <w:numId w:val="1"/>
        </w:numPr>
        <w:spacing w:after="100" w:line="360"/>
      </w:pPr>
      <w:r>
        <w:t xml:space="preserve">EP phenotype correlates of each mechanism (e.g., GABAergic insufficiency ↔ reduced inhibitory postsynaptic potentials, elevated network firing rate)</w:t>
      </w:r>
    </w:p>
    <w:p>
      <w:pPr>
        <w:pStyle w:val="ListParagraph"/>
        <w:numPr>
          <w:ilvl w:val="0"/>
          <w:numId w:val="1"/>
        </w:numPr>
        <w:spacing w:after="100" w:line="360"/>
      </w:pPr>
      <w:r>
        <w:t xml:space="preserve">Clinical trial data on compound mechanisms shown effective in TRD (ketamine/esketamine, psilocybin, high-dose SSRIs, monoamine augmentation strategies)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TRD Mechanism-Phenotype Mapper</w:t>
      </w:r>
      <w:r>
        <w:t xml:space="preserve">: Translate each TRD pathophysiological mechanism into corresponding Quiver EP phenotypes; create mechanism-specific phenotype signatures (e.g., 'TRD monoamine dysregulation signature' = elevated resting firing, reduced IPSC strength, abnormal adaptation)</w:t>
      </w:r>
    </w:p>
    <w:p>
      <w:pPr>
        <w:pStyle w:val="ListParagraph"/>
        <w:numPr>
          <w:ilvl w:val="0"/>
          <w:numId w:val="1"/>
        </w:numPr>
        <w:spacing w:after="100" w:line="360"/>
      </w:pPr>
      <w:r>
        <w:rPr>
          <w:b/>
          <w:bCs/>
        </w:rPr>
        <w:t xml:space="preserve">Mechanism-Based Embedding Region Discoverer</w:t>
      </w:r>
      <w:r>
        <w:t xml:space="preserve">: Scan Quiver embedding space for regions enriched in compounds/perturbations showing mechanism-specific phenotypes; identify distinct clusters for each TRD mechanism</w:t>
      </w:r>
    </w:p>
    <w:p>
      <w:pPr>
        <w:pStyle w:val="ListParagraph"/>
        <w:numPr>
          <w:ilvl w:val="0"/>
          <w:numId w:val="1"/>
        </w:numPr>
        <w:spacing w:after="100" w:line="360"/>
      </w:pPr>
      <w:r>
        <w:rPr>
          <w:b/>
          <w:bCs/>
        </w:rPr>
        <w:t xml:space="preserve">Mechanism-Compound Association Ranker</w:t>
      </w:r>
      <w:r>
        <w:t xml:space="preserve">: For each TRD mechanism cluster, rank compounds by predicted efficacy in addressing that specific mechanism (using combined EP phenotype, mechanism annotation, and literature precedent)</w:t>
      </w:r>
    </w:p>
    <w:p>
      <w:pPr>
        <w:pStyle w:val="ListParagraph"/>
        <w:numPr>
          <w:ilvl w:val="0"/>
          <w:numId w:val="1"/>
        </w:numPr>
        <w:spacing w:after="100" w:line="360"/>
      </w:pPr>
      <w:r>
        <w:rPr>
          <w:b/>
          <w:bCs/>
        </w:rPr>
        <w:t xml:space="preserve">TRD-Specific Cluster Analyzer</w:t>
      </w:r>
      <w:r>
        <w:t xml:space="preserve">: Characterize the top mechanism-specific clusters: what are the canonical EP phenotypes? What are the typical gene targets or drug targets? How large is each cluster?</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known TRD mechanism (monoamine dysregulation, GABAergic insufficiency, neuroinflammation, HPA axis dysregulation), define corresponding electrophysiological phenotypes in Quiver data.</w:t>
      </w:r>
    </w:p>
    <w:p>
      <w:pPr>
        <w:pStyle w:val="ListParagraph"/>
        <w:numPr>
          <w:ilvl w:val="0"/>
          <w:numId w:val="1"/>
        </w:numPr>
        <w:spacing w:after="100" w:line="360"/>
      </w:pPr>
      <w:r>
        <w:t xml:space="preserve">Scan the Quiver embedding space for clusters enriched in compounds showing each mechanism-specific phenotype signature.</w:t>
      </w:r>
    </w:p>
    <w:p>
      <w:pPr>
        <w:pStyle w:val="ListParagraph"/>
        <w:numPr>
          <w:ilvl w:val="0"/>
          <w:numId w:val="1"/>
        </w:numPr>
        <w:spacing w:after="100" w:line="360"/>
      </w:pPr>
      <w:r>
        <w:t xml:space="preserve">For each mechanism cluster, identify the top 10-20 compounds most closely associated with that mechanism (by EP phenotype + literature mechanism annotation).</w:t>
      </w:r>
    </w:p>
    <w:p>
      <w:pPr>
        <w:pStyle w:val="ListParagraph"/>
        <w:numPr>
          <w:ilvl w:val="0"/>
          <w:numId w:val="1"/>
        </w:numPr>
        <w:spacing w:after="100" w:line="360"/>
      </w:pPr>
      <w:r>
        <w:t xml:space="preserve">Cross-validate mechanism identification: do compounds known clinically effective in TRD cluster in the identified mechanism regions?</w:t>
      </w:r>
    </w:p>
    <w:p>
      <w:pPr>
        <w:pStyle w:val="ListParagraph"/>
        <w:numPr>
          <w:ilvl w:val="0"/>
          <w:numId w:val="1"/>
        </w:numPr>
        <w:spacing w:after="100" w:line="360"/>
      </w:pPr>
      <w:r>
        <w:t xml:space="preserve">Characterize each mechanism cluster: describe canonical EP phenotype, typical drug targets, existing therapeutic examples, size and density.</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Annotated Quiver embedding map: identified clusters for each major TRD mechanism (monoamine, GABAergic, glutamate, inflammation, HPA, intrinsic excitability)</w:t>
      </w:r>
    </w:p>
    <w:p>
      <w:pPr>
        <w:pStyle w:val="ListParagraph"/>
        <w:numPr>
          <w:ilvl w:val="0"/>
          <w:numId w:val="1"/>
        </w:numPr>
        <w:spacing w:after="100" w:line="360"/>
      </w:pPr>
      <w:r>
        <w:t xml:space="preserve">For each TRD mechanism: ranked list of top 20-30 compounds predicted to address that mechanism, with supporting EP phenotype evidence</w:t>
      </w:r>
    </w:p>
    <w:p>
      <w:pPr>
        <w:pStyle w:val="ListParagraph"/>
        <w:numPr>
          <w:ilvl w:val="0"/>
          <w:numId w:val="1"/>
        </w:numPr>
        <w:spacing w:after="100" w:line="360"/>
      </w:pPr>
      <w:r>
        <w:t xml:space="preserve">Mechanism-specific phenotype signatures: detailed description of EP profile associated with each TRD mechanism address</w:t>
      </w:r>
    </w:p>
    <w:p>
      <w:pPr>
        <w:pStyle w:val="ListParagraph"/>
        <w:numPr>
          <w:ilvl w:val="0"/>
          <w:numId w:val="1"/>
        </w:numPr>
        <w:spacing w:after="100" w:line="360"/>
      </w:pPr>
      <w:r>
        <w:t xml:space="preserve">Clinical validation: confirmation that known TRD-effective compounds (ketamine, psilocybin, augmentation agents) map to appropriate mechanism clusters</w:t>
      </w:r>
    </w:p>
    <w:p>
      <w:pPr>
        <w:pStyle w:val="ListParagraph"/>
        <w:numPr>
          <w:ilvl w:val="0"/>
          <w:numId w:val="1"/>
        </w:numPr>
        <w:spacing w:after="100" w:line="360"/>
      </w:pPr>
      <w:r>
        <w:t xml:space="preserve">Cluster characteristics: size, density, typical targets, existing examples for each TRD mechanism cluster</w:t>
      </w:r>
    </w:p>
    <w:p>
      <w:pPr>
        <w:spacing w:after="120"/>
      </w:pPr>
      <w:r>
        <w:t xml:space="preserve"/>
      </w:r>
    </w:p>
    <w:p>
      <w:pPr>
        <w:spacing w:after="240" w:line="360"/>
      </w:pPr>
      <w:r>
        <w:rPr>
          <w:b/>
          <w:bCs/>
        </w:rPr>
        <w:t xml:space="preserve">Format: </w:t>
      </w:r>
      <w:r>
        <w:t xml:space="preserve">Annotated embedding visualization (colored by mechanism), ranked compound lists for each mechanism (CSV), mechanism-phenotype mapping tables, validation plots showing expected drug positions.</w:t>
      </w:r>
    </w:p>
    <w:p>
      <w:pPr>
        <w:pStyle w:val="Heading2"/>
        <w:spacing w:after="200" w:before="200"/>
      </w:pPr>
      <w:r>
        <w:t xml:space="preserve">Stage 3: Complementary Mechanism Pair Discovery in Embedding Space</w:t>
      </w:r>
    </w:p>
    <w:p>
      <w:pPr>
        <w:spacing w:after="200" w:line="360"/>
      </w:pPr>
      <w:r>
        <w:rPr>
          <w:b/>
          <w:bCs/>
        </w:rPr>
        <w:t xml:space="preserve">Purpose: </w:t>
      </w:r>
      <w:r>
        <w:t xml:space="preserve">Identify compound pairs occupying complementary positions in the Quiver embedding that address distinct, non-overlapping TRD mechanisms, predicting synergistic therapeutic action.</w:t>
      </w:r>
    </w:p>
    <w:p>
      <w:pPr>
        <w:spacing w:after="120"/>
      </w:pPr>
      <w:r>
        <w:rPr>
          <w:b/>
          <w:bCs/>
        </w:rPr>
        <w:t xml:space="preserve">Inputs:</w:t>
      </w:r>
    </w:p>
    <w:p>
      <w:pPr>
        <w:pStyle w:val="ListParagraph"/>
        <w:numPr>
          <w:ilvl w:val="0"/>
          <w:numId w:val="1"/>
        </w:numPr>
        <w:spacing w:after="100" w:line="360"/>
      </w:pPr>
      <w:r>
        <w:t xml:space="preserve">Annotated Quiver embedding with identified TRD mechanism clusters (from Stage 2)</w:t>
      </w:r>
    </w:p>
    <w:p>
      <w:pPr>
        <w:pStyle w:val="ListParagraph"/>
        <w:numPr>
          <w:ilvl w:val="0"/>
          <w:numId w:val="1"/>
        </w:numPr>
        <w:spacing w:after="100" w:line="360"/>
      </w:pPr>
      <w:r>
        <w:t xml:space="preserve">Ranked TRD-mechanism-specific compound lists (from Stage 2)</w:t>
      </w:r>
    </w:p>
    <w:p>
      <w:pPr>
        <w:pStyle w:val="ListParagraph"/>
        <w:numPr>
          <w:ilvl w:val="0"/>
          <w:numId w:val="1"/>
        </w:numPr>
        <w:spacing w:after="100" w:line="360"/>
      </w:pPr>
      <w:r>
        <w:t xml:space="preserve">Embeddings distances (Euclidean, cosine) between all compound pairs in the Quiver space</w:t>
      </w:r>
    </w:p>
    <w:p>
      <w:pPr>
        <w:pStyle w:val="ListParagraph"/>
        <w:numPr>
          <w:ilvl w:val="0"/>
          <w:numId w:val="1"/>
        </w:numPr>
        <w:spacing w:after="100" w:line="360"/>
      </w:pPr>
      <w:r>
        <w:t xml:space="preserve">Synergy data from literature: documented cases where combining compounds targeting different TRD mechanisms yields superior outcome</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Mechanism-Pair Complementarity Scorer</w:t>
      </w:r>
      <w:r>
        <w:t xml:space="preserve">: For each pair of TRD mechanism clusters, compute complementarity score: are mechanisms non-overlapping? Do they address distinct pathophysiological pathways? Would combination be predicted to have additive or synergistic benefit?</w:t>
      </w:r>
    </w:p>
    <w:p>
      <w:pPr>
        <w:pStyle w:val="ListParagraph"/>
        <w:numPr>
          <w:ilvl w:val="0"/>
          <w:numId w:val="1"/>
        </w:numPr>
        <w:spacing w:after="100" w:line="360"/>
      </w:pPr>
      <w:r>
        <w:rPr>
          <w:b/>
          <w:bCs/>
        </w:rPr>
        <w:t xml:space="preserve">Embedding-Based Pair Discoverer</w:t>
      </w:r>
      <w:r>
        <w:t xml:space="preserve">: Identify compound pairs where: (1) compounds are from different TRD mechanism clusters (mechanism distance in embedding), (2) compounds show chemical/EP dissimilarity (geometric distance in embedding), (3) pair occupies complementary space predicting synergy</w:t>
      </w:r>
    </w:p>
    <w:p>
      <w:pPr>
        <w:pStyle w:val="ListParagraph"/>
        <w:numPr>
          <w:ilvl w:val="0"/>
          <w:numId w:val="1"/>
        </w:numPr>
        <w:spacing w:after="100" w:line="360"/>
      </w:pPr>
      <w:r>
        <w:rPr>
          <w:b/>
          <w:bCs/>
        </w:rPr>
        <w:t xml:space="preserve">Synergy Predictor (Embedding-Based)</w:t>
      </w:r>
      <w:r>
        <w:t xml:space="preserve">: For each complementary pair, predict synergy using embedding distances, mechanism complementarity, and known synergy literature; score pair by expected synergistic benefit magnitude</w:t>
      </w:r>
    </w:p>
    <w:p>
      <w:pPr>
        <w:pStyle w:val="ListParagraph"/>
        <w:numPr>
          <w:ilvl w:val="0"/>
          <w:numId w:val="1"/>
        </w:numPr>
        <w:spacing w:after="100" w:line="360"/>
      </w:pPr>
      <w:r>
        <w:rPr>
          <w:b/>
          <w:bCs/>
        </w:rPr>
        <w:t xml:space="preserve">Pair Ranking Engine</w:t>
      </w:r>
      <w:r>
        <w:t xml:space="preserve">: Rank all complementary mechanism pairs by synergy prediction, clinical relevance (addressing key TRD pathways), literature precedent, and feasibility</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Identify all pairwise combinations of TRD mechanism clusters (e.g., monoamine + GABAergic, monoamine + glutamate, GABAergic + inflammation, etc.).</w:t>
      </w:r>
    </w:p>
    <w:p>
      <w:pPr>
        <w:pStyle w:val="ListParagraph"/>
        <w:numPr>
          <w:ilvl w:val="0"/>
          <w:numId w:val="1"/>
        </w:numPr>
        <w:spacing w:after="100" w:line="360"/>
      </w:pPr>
      <w:r>
        <w:t xml:space="preserve">For each mechanism pair combination, identify the top 5-10 compounds from each cluster that would form the most mechanistically rational dual-mechanism pair.</w:t>
      </w:r>
    </w:p>
    <w:p>
      <w:pPr>
        <w:pStyle w:val="ListParagraph"/>
        <w:numPr>
          <w:ilvl w:val="0"/>
          <w:numId w:val="1"/>
        </w:numPr>
        <w:spacing w:after="100" w:line="360"/>
      </w:pPr>
      <w:r>
        <w:t xml:space="preserve">Compute complementarity scores for each pair: are mechanisms non-overlapping? Do they synergize biologically?</w:t>
      </w:r>
    </w:p>
    <w:p>
      <w:pPr>
        <w:pStyle w:val="ListParagraph"/>
        <w:numPr>
          <w:ilvl w:val="0"/>
          <w:numId w:val="1"/>
        </w:numPr>
        <w:spacing w:after="100" w:line="360"/>
      </w:pPr>
      <w:r>
        <w:t xml:space="preserve">Score each dual-mechanism pair by predicted synergy likelihood using embedding distances, mechanism analysis, and literature precedent.</w:t>
      </w:r>
    </w:p>
    <w:p>
      <w:pPr>
        <w:pStyle w:val="ListParagraph"/>
        <w:numPr>
          <w:ilvl w:val="0"/>
          <w:numId w:val="1"/>
        </w:numPr>
        <w:spacing w:after="100" w:line="360"/>
      </w:pPr>
      <w:r>
        <w:t xml:space="preserve">Rank top 100-200 complementary mechanism pairs by synergy prediction and clinical relevance to TRD.</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Ranked list of top 100-200 dual-mechanism pairs addressing complementary TRD pathophysiologies, with synergy predictions</w:t>
      </w:r>
    </w:p>
    <w:p>
      <w:pPr>
        <w:pStyle w:val="ListParagraph"/>
        <w:numPr>
          <w:ilvl w:val="0"/>
          <w:numId w:val="1"/>
        </w:numPr>
        <w:spacing w:after="100" w:line="360"/>
      </w:pPr>
      <w:r>
        <w:t xml:space="preserve">For each top pair: mechanism combination (e.g., monoamine + GABAergic), compound IDs, complementarity/synergy score, supporting evidence</w:t>
      </w:r>
    </w:p>
    <w:p>
      <w:pPr>
        <w:pStyle w:val="ListParagraph"/>
        <w:numPr>
          <w:ilvl w:val="0"/>
          <w:numId w:val="1"/>
        </w:numPr>
        <w:spacing w:after="100" w:line="360"/>
      </w:pPr>
      <w:r>
        <w:t xml:space="preserve">Mechanism-pair combinations ranked by complementarity and clinical value for TRD</w:t>
      </w:r>
    </w:p>
    <w:p>
      <w:pPr>
        <w:pStyle w:val="ListParagraph"/>
        <w:numPr>
          <w:ilvl w:val="0"/>
          <w:numId w:val="1"/>
        </w:numPr>
        <w:spacing w:after="100" w:line="360"/>
      </w:pPr>
      <w:r>
        <w:t xml:space="preserve">Embedding visualization showing top dual-mechanism pairs in context of TRD mechanism clusters</w:t>
      </w:r>
    </w:p>
    <w:p>
      <w:pPr>
        <w:pStyle w:val="ListParagraph"/>
        <w:numPr>
          <w:ilvl w:val="0"/>
          <w:numId w:val="1"/>
        </w:numPr>
        <w:spacing w:after="100" w:line="360"/>
      </w:pPr>
      <w:r>
        <w:t xml:space="preserve">Synergy prediction justifications for top 50 pairs: why is this combination predicted to synergize in TRD context?</w:t>
      </w:r>
    </w:p>
    <w:p>
      <w:pPr>
        <w:spacing w:after="120"/>
      </w:pPr>
      <w:r>
        <w:t xml:space="preserve"/>
      </w:r>
    </w:p>
    <w:p>
      <w:pPr>
        <w:spacing w:after="240" w:line="360"/>
      </w:pPr>
      <w:r>
        <w:rPr>
          <w:b/>
          <w:bCs/>
        </w:rPr>
        <w:t xml:space="preserve">Format: </w:t>
      </w:r>
      <w:r>
        <w:t xml:space="preserve">Ranked pair discovery table (CSV/Excel), mechanism-pair complementarity matrix, embedding visualizations highlighting top pairs, synergy prediction justifications for top 50 pairs.</w:t>
      </w:r>
    </w:p>
    <w:p>
      <w:pPr>
        <w:pStyle w:val="Heading2"/>
        <w:spacing w:after="200" w:before="200"/>
      </w:pPr>
      <w:r>
        <w:t xml:space="preserve">Stage 4: Clinical Biomarker Mapping &amp; TRD-Specific Validation</w:t>
      </w:r>
    </w:p>
    <w:p>
      <w:pPr>
        <w:spacing w:after="200" w:line="360"/>
      </w:pPr>
      <w:r>
        <w:rPr>
          <w:b/>
          <w:bCs/>
        </w:rPr>
        <w:t xml:space="preserve">Purpose: </w:t>
      </w:r>
      <w:r>
        <w:t xml:space="preserve">Map identified dual-mechanism pairs to clinical biomarkers and neurobiological signatures of TRD, predicting specific ERP/fMRI/neuroinflammatory improvements for each recommended combination.</w:t>
      </w:r>
    </w:p>
    <w:p>
      <w:pPr>
        <w:spacing w:after="120"/>
      </w:pPr>
      <w:r>
        <w:rPr>
          <w:b/>
          <w:bCs/>
        </w:rPr>
        <w:t xml:space="preserve">Inputs:</w:t>
      </w:r>
    </w:p>
    <w:p>
      <w:pPr>
        <w:pStyle w:val="ListParagraph"/>
        <w:numPr>
          <w:ilvl w:val="0"/>
          <w:numId w:val="1"/>
        </w:numPr>
        <w:spacing w:after="100" w:line="360"/>
      </w:pPr>
      <w:r>
        <w:t xml:space="preserve">Top 50-100 dual-mechanism pairs from Stage 3</w:t>
      </w:r>
    </w:p>
    <w:p>
      <w:pPr>
        <w:pStyle w:val="ListParagraph"/>
        <w:numPr>
          <w:ilvl w:val="0"/>
          <w:numId w:val="1"/>
        </w:numPr>
        <w:spacing w:after="100" w:line="360"/>
      </w:pPr>
      <w:r>
        <w:t xml:space="preserve">Clinical biomarker literature for TRD: ERP abnormalities (reduced P300, delayed error-related negativity), fMRI connectivity changes (reduced prefrontal-limbic coupling, increased default mode network activity), inflammatory markers (elevated CRP, IL-6, TNF-α)</w:t>
      </w:r>
    </w:p>
    <w:p>
      <w:pPr>
        <w:pStyle w:val="ListParagraph"/>
        <w:numPr>
          <w:ilvl w:val="0"/>
          <w:numId w:val="1"/>
        </w:numPr>
        <w:spacing w:after="100" w:line="360"/>
      </w:pPr>
      <w:r>
        <w:t xml:space="preserve">Neurobiology of tested TRD compounds: known effects on ERP components, fMRI connectivity, inflammatory markers</w:t>
      </w:r>
    </w:p>
    <w:p>
      <w:pPr>
        <w:pStyle w:val="ListParagraph"/>
        <w:numPr>
          <w:ilvl w:val="0"/>
          <w:numId w:val="1"/>
        </w:numPr>
        <w:spacing w:after="100" w:line="360"/>
      </w:pPr>
      <w:r>
        <w:t xml:space="preserve">Quiver recording conditions and comparability to clinical populations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TRD Biomarker-Mechanism Mapper</w:t>
      </w:r>
      <w:r>
        <w:t xml:space="preserve">: For each identified TRD mechanism (monoamine, GABAergic, etc.), map to clinical biomarkers expected to normalize with treatment (e.g., monoamine enhancement → increased P300, reduced default mode activity)</w:t>
      </w:r>
    </w:p>
    <w:p>
      <w:pPr>
        <w:pStyle w:val="ListParagraph"/>
        <w:numPr>
          <w:ilvl w:val="0"/>
          <w:numId w:val="1"/>
        </w:numPr>
        <w:spacing w:after="100" w:line="360"/>
      </w:pPr>
      <w:r>
        <w:rPr>
          <w:b/>
          <w:bCs/>
        </w:rPr>
        <w:t xml:space="preserve">Dual-Mechanism Biomarker Predictor</w:t>
      </w:r>
      <w:r>
        <w:t xml:space="preserve">: For each dual-mechanism pair, predict multivariate biomarker improvement: which ERP components, fMRI networks, and inflammatory markers would improve with this specific combination?</w:t>
      </w:r>
    </w:p>
    <w:p>
      <w:pPr>
        <w:pStyle w:val="ListParagraph"/>
        <w:numPr>
          <w:ilvl w:val="0"/>
          <w:numId w:val="1"/>
        </w:numPr>
        <w:spacing w:after="100" w:line="360"/>
      </w:pPr>
      <w:r>
        <w:rPr>
          <w:b/>
          <w:bCs/>
        </w:rPr>
        <w:t xml:space="preserve">Clinical Literature Validator</w:t>
      </w:r>
      <w:r>
        <w:t xml:space="preserve">: Cross-reference predicted biomarker improvements against clinical literature: are there prior studies of similar mechanism pairs showing expected improvements?</w:t>
      </w:r>
    </w:p>
    <w:p>
      <w:pPr>
        <w:pStyle w:val="ListParagraph"/>
        <w:numPr>
          <w:ilvl w:val="0"/>
          <w:numId w:val="1"/>
        </w:numPr>
        <w:spacing w:after="100" w:line="360"/>
      </w:pPr>
      <w:r>
        <w:rPr>
          <w:b/>
          <w:bCs/>
        </w:rPr>
        <w:t xml:space="preserve">TRD Population Alignment Tool</w:t>
      </w:r>
      <w:r>
        <w:t xml:space="preserve">: Assess whether predicted biomarker improvements align with clinical TRD phenotypes; ensure recommendations are grounded in real TRD pathophysiology rather than general depression mechanisms</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TRD mechanism cluster (monoamine, GABAergic, glutamate, inflammation), identify clinical biomarkers known to normalize with compounds addressing that mechanism.</w:t>
      </w:r>
    </w:p>
    <w:p>
      <w:pPr>
        <w:pStyle w:val="ListParagraph"/>
        <w:numPr>
          <w:ilvl w:val="0"/>
          <w:numId w:val="1"/>
        </w:numPr>
        <w:spacing w:after="100" w:line="360"/>
      </w:pPr>
      <w:r>
        <w:t xml:space="preserve">Map each identified mechanism to expected changes in: (1) ERP components (P300, N1, ERN), (2) fMRI connectivity (prefrontal-limbic, default mode network), (3) inflammatory markers.</w:t>
      </w:r>
    </w:p>
    <w:p>
      <w:pPr>
        <w:pStyle w:val="ListParagraph"/>
        <w:numPr>
          <w:ilvl w:val="0"/>
          <w:numId w:val="1"/>
        </w:numPr>
        <w:spacing w:after="100" w:line="360"/>
      </w:pPr>
      <w:r>
        <w:t xml:space="preserve">For each dual-mechanism pair, integrate predictions: what is the combined expected biomarker improvement if addressing both mechanisms simultaneously?</w:t>
      </w:r>
    </w:p>
    <w:p>
      <w:pPr>
        <w:pStyle w:val="ListParagraph"/>
        <w:numPr>
          <w:ilvl w:val="0"/>
          <w:numId w:val="1"/>
        </w:numPr>
        <w:spacing w:after="100" w:line="360"/>
      </w:pPr>
      <w:r>
        <w:t xml:space="preserve">Validate predictions against literature: have similar mechanism pairs been tested? Do observed biomarker changes align with mechanistic predictions?</w:t>
      </w:r>
    </w:p>
    <w:p>
      <w:pPr>
        <w:pStyle w:val="ListParagraph"/>
        <w:numPr>
          <w:ilvl w:val="0"/>
          <w:numId w:val="1"/>
        </w:numPr>
        <w:spacing w:after="100" w:line="360"/>
      </w:pPr>
      <w:r>
        <w:t xml:space="preserve">Highlight top 20 dual-mechanism pairs with strongest predicted biomarker improvements and best clinical literature support.</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For each top 20-30 dual-mechanism pair: predicted clinical biomarker improvements (ERP, fMRI, inflammatory markers) with mechanistic justification</w:t>
      </w:r>
    </w:p>
    <w:p>
      <w:pPr>
        <w:pStyle w:val="ListParagraph"/>
        <w:numPr>
          <w:ilvl w:val="0"/>
          <w:numId w:val="1"/>
        </w:numPr>
        <w:spacing w:after="100" w:line="360"/>
      </w:pPr>
      <w:r>
        <w:t xml:space="preserve">Biomarker prediction profiles: specific changes in P300 latency/amplitude, prefrontal-limbic connectivity, default mode network activity, inflammatory marker normalization</w:t>
      </w:r>
    </w:p>
    <w:p>
      <w:pPr>
        <w:pStyle w:val="ListParagraph"/>
        <w:numPr>
          <w:ilvl w:val="0"/>
          <w:numId w:val="1"/>
        </w:numPr>
        <w:spacing w:after="100" w:line="360"/>
      </w:pPr>
      <w:r>
        <w:t xml:space="preserve">Clinical trial design template: which biomarkers would be primary/secondary endpoints for testing each combination in TRD population?</w:t>
      </w:r>
    </w:p>
    <w:p>
      <w:pPr>
        <w:pStyle w:val="ListParagraph"/>
        <w:numPr>
          <w:ilvl w:val="0"/>
          <w:numId w:val="1"/>
        </w:numPr>
        <w:spacing w:after="100" w:line="360"/>
      </w:pPr>
      <w:r>
        <w:t xml:space="preserve">Literature validation table: for each top pair, documented prior studies of similar mechanisms and their biomarker effects</w:t>
      </w:r>
    </w:p>
    <w:p>
      <w:pPr>
        <w:pStyle w:val="ListParagraph"/>
        <w:numPr>
          <w:ilvl w:val="0"/>
          <w:numId w:val="1"/>
        </w:numPr>
        <w:spacing w:after="100" w:line="360"/>
      </w:pPr>
      <w:r>
        <w:t xml:space="preserve">TRD population fit assessment: for each recommended pair, how well does predicted mechanism address documented TRD biomarker abnormalities?</w:t>
      </w:r>
    </w:p>
    <w:p>
      <w:pPr>
        <w:spacing w:after="120"/>
      </w:pPr>
      <w:r>
        <w:t xml:space="preserve"/>
      </w:r>
    </w:p>
    <w:p>
      <w:pPr>
        <w:spacing w:after="240" w:line="360"/>
      </w:pPr>
      <w:r>
        <w:rPr>
          <w:b/>
          <w:bCs/>
        </w:rPr>
        <w:t xml:space="preserve">Format: </w:t>
      </w:r>
      <w:r>
        <w:t xml:space="preserve">Biomarker prediction table (Excel) with rows = top dual-mechanism pairs, columns = mechanism combination, predicted P300 change, predicted connectivity changes, predicted inflammatory marker changes, supporting evidence, clinical trial design suggestions. Supplementary literature validation and mechanistic justification narratives.</w:t>
      </w:r>
    </w:p>
    <w:p>
      <w:pPr>
        <w:pStyle w:val="Heading2"/>
        <w:spacing w:after="200" w:before="200"/>
      </w:pPr>
      <w:r>
        <w:t xml:space="preserve">Stage 5: Dosing Strategy &amp; Mechanism Sequencing Optimization</w:t>
      </w:r>
    </w:p>
    <w:p>
      <w:pPr>
        <w:spacing w:after="200" w:line="360"/>
      </w:pPr>
      <w:r>
        <w:rPr>
          <w:b/>
          <w:bCs/>
        </w:rPr>
        <w:t xml:space="preserve">Purpose: </w:t>
      </w:r>
      <w:r>
        <w:t xml:space="preserve">Optimize dosing strategies and administration sequencing for identified dual-mechanism pairs, accounting for TRD-specific pharmacodynamics, potential washout requirements, and mechanism sequencing effects.</w:t>
      </w:r>
    </w:p>
    <w:p>
      <w:pPr>
        <w:spacing w:after="120"/>
      </w:pPr>
      <w:r>
        <w:rPr>
          <w:b/>
          <w:bCs/>
        </w:rPr>
        <w:t xml:space="preserve">Inputs:</w:t>
      </w:r>
    </w:p>
    <w:p>
      <w:pPr>
        <w:pStyle w:val="ListParagraph"/>
        <w:numPr>
          <w:ilvl w:val="0"/>
          <w:numId w:val="1"/>
        </w:numPr>
        <w:spacing w:after="100" w:line="360"/>
      </w:pPr>
      <w:r>
        <w:t xml:space="preserve">Top 20-30 clinically validated dual-mechanism pairs from Stage 4</w:t>
      </w:r>
    </w:p>
    <w:p>
      <w:pPr>
        <w:pStyle w:val="ListParagraph"/>
        <w:numPr>
          <w:ilvl w:val="0"/>
          <w:numId w:val="1"/>
        </w:numPr>
        <w:spacing w:after="100" w:line="360"/>
      </w:pPr>
      <w:r>
        <w:t xml:space="preserve">Quiver dose-response curves for each compound in mechanisms relevant to TRD</w:t>
      </w:r>
    </w:p>
    <w:p>
      <w:pPr>
        <w:pStyle w:val="ListParagraph"/>
        <w:numPr>
          <w:ilvl w:val="0"/>
          <w:numId w:val="1"/>
        </w:numPr>
        <w:spacing w:after="100" w:line="360"/>
      </w:pPr>
      <w:r>
        <w:t xml:space="preserve">Pharmacokinetics and brain penetration data for each compound</w:t>
      </w:r>
    </w:p>
    <w:p>
      <w:pPr>
        <w:pStyle w:val="ListParagraph"/>
        <w:numPr>
          <w:ilvl w:val="0"/>
          <w:numId w:val="1"/>
        </w:numPr>
        <w:spacing w:after="100" w:line="360"/>
      </w:pPr>
      <w:r>
        <w:t xml:space="preserve">TRD-specific timing considerations: optimal time window for mechanism activation (neuroinflammation may require weeks; monoamine effects faster)</w:t>
      </w:r>
    </w:p>
    <w:p>
      <w:pPr>
        <w:pStyle w:val="ListParagraph"/>
        <w:numPr>
          <w:ilvl w:val="0"/>
          <w:numId w:val="1"/>
        </w:numPr>
        <w:spacing w:after="100" w:line="360"/>
      </w:pPr>
      <w:r>
        <w:t xml:space="preserve">Literature on optimal sequencing of combination therapies in psychiatric conditions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TRD-Specific Dose-Response Analyzer</w:t>
      </w:r>
      <w:r>
        <w:t xml:space="preserve">: Extract dose-response curves relevant to TRD mechanisms (monoamine effects, GABAergic potentiation, glutamate modulation); identify doses achieving optimal TRD-mechanism engagement</w:t>
      </w:r>
    </w:p>
    <w:p>
      <w:pPr>
        <w:pStyle w:val="ListParagraph"/>
        <w:numPr>
          <w:ilvl w:val="0"/>
          <w:numId w:val="1"/>
        </w:numPr>
        <w:spacing w:after="100" w:line="360"/>
      </w:pPr>
      <w:r>
        <w:rPr>
          <w:b/>
          <w:bCs/>
        </w:rPr>
        <w:t xml:space="preserve">Mechanism Sequencing Simulator</w:t>
      </w:r>
      <w:r>
        <w:t xml:space="preserve">: Simulate temporal dynamics of dual-mechanism pair: if compounds are given simultaneously vs sequentially, how does mechanism timing affect clinical outcome? Model based on literature TRD response timecourses.</w:t>
      </w:r>
    </w:p>
    <w:p>
      <w:pPr>
        <w:pStyle w:val="ListParagraph"/>
        <w:numPr>
          <w:ilvl w:val="0"/>
          <w:numId w:val="1"/>
        </w:numPr>
        <w:spacing w:after="100" w:line="360"/>
      </w:pPr>
      <w:r>
        <w:rPr>
          <w:b/>
          <w:bCs/>
        </w:rPr>
        <w:t xml:space="preserve">TRD-Optimized Dosing Algorithm</w:t>
      </w:r>
      <w:r>
        <w:t xml:space="preserve">: Develop dosing recommendations balancing: (1) rapid symptom onset (monoamine mechanism), (2) sustained neuroprotection (GABAergic/glutamate), (3) inflammatory resolution (if included), (4) minimal side effects</w:t>
      </w:r>
    </w:p>
    <w:p>
      <w:pPr>
        <w:pStyle w:val="ListParagraph"/>
        <w:numPr>
          <w:ilvl w:val="0"/>
          <w:numId w:val="1"/>
        </w:numPr>
        <w:spacing w:after="100" w:line="360"/>
      </w:pPr>
      <w:r>
        <w:rPr>
          <w:b/>
          <w:bCs/>
        </w:rPr>
        <w:t xml:space="preserve">Combination Pharmacodynamics Modeler</w:t>
      </w:r>
      <w:r>
        <w:t xml:space="preserve">: Simulate CNS penetration and target occupancy for both compounds over 24h at recommended dosing; ensure sustained therapeutic target engagement</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top 20 dual-mechanism pair, extract dose-response curves from Quiver for TRD-relevant mechanisms (monoamine signaling, GABA potentiation, glutamate modulation).</w:t>
      </w:r>
    </w:p>
    <w:p>
      <w:pPr>
        <w:pStyle w:val="ListParagraph"/>
        <w:numPr>
          <w:ilvl w:val="0"/>
          <w:numId w:val="1"/>
        </w:numPr>
        <w:spacing w:after="100" w:line="360"/>
      </w:pPr>
      <w:r>
        <w:t xml:space="preserve">Identify optimal doses for each compound achieving mechanism target engagement without excessive side effects.</w:t>
      </w:r>
    </w:p>
    <w:p>
      <w:pPr>
        <w:pStyle w:val="ListParagraph"/>
        <w:numPr>
          <w:ilvl w:val="0"/>
          <w:numId w:val="1"/>
        </w:numPr>
        <w:spacing w:after="100" w:line="360"/>
      </w:pPr>
      <w:r>
        <w:t xml:space="preserve">Simulate mechanism sequencing: if monoamine compound is loaded first (faster onset of symptom improvement), then GABAergic/neuroprotective compound added, does this improve patient engagement vs simultaneous dosing?</w:t>
      </w:r>
    </w:p>
    <w:p>
      <w:pPr>
        <w:pStyle w:val="ListParagraph"/>
        <w:numPr>
          <w:ilvl w:val="0"/>
          <w:numId w:val="1"/>
        </w:numPr>
        <w:spacing w:after="100" w:line="360"/>
      </w:pPr>
      <w:r>
        <w:t xml:space="preserve">Predict optimal administration: simultaneous or staggered? If staggered, what is optimal timing delay?</w:t>
      </w:r>
    </w:p>
    <w:p>
      <w:pPr>
        <w:pStyle w:val="ListParagraph"/>
        <w:numPr>
          <w:ilvl w:val="0"/>
          <w:numId w:val="1"/>
        </w:numPr>
        <w:spacing w:after="100" w:line="360"/>
      </w:pPr>
      <w:r>
        <w:t xml:space="preserve">Recommend dosing schedule (frequency, timing relative to meals, formulation) optimized for TRD clinical context.</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Optimized dosing recommendations for top 15-20 dual-mechanism pairs, with TRD-specific rationale</w:t>
      </w:r>
    </w:p>
    <w:p>
      <w:pPr>
        <w:pStyle w:val="ListParagraph"/>
        <w:numPr>
          <w:ilvl w:val="0"/>
          <w:numId w:val="1"/>
        </w:numPr>
        <w:spacing w:after="100" w:line="360"/>
      </w:pPr>
      <w:r>
        <w:t xml:space="preserve">For each recommended combination: (1) compound A dose + timing, (2) compound B dose + timing, (3) sequencing strategy if applicable, (4) predicted time to symptom onset, (5) predicted sustained improvement trajectory</w:t>
      </w:r>
    </w:p>
    <w:p>
      <w:pPr>
        <w:pStyle w:val="ListParagraph"/>
        <w:numPr>
          <w:ilvl w:val="0"/>
          <w:numId w:val="1"/>
        </w:numPr>
        <w:spacing w:after="100" w:line="360"/>
      </w:pPr>
      <w:r>
        <w:t xml:space="preserve">Mechanism sequencing justification: why this particular timing/sequencing strategy is optimal for TRD</w:t>
      </w:r>
    </w:p>
    <w:p>
      <w:pPr>
        <w:pStyle w:val="ListParagraph"/>
        <w:numPr>
          <w:ilvl w:val="0"/>
          <w:numId w:val="1"/>
        </w:numPr>
        <w:spacing w:after="100" w:line="360"/>
      </w:pPr>
      <w:r>
        <w:t xml:space="preserve">Predicted pharmacodynamic profiles: target occupancy and CNS penetration for both compounds over weeks/months of treatment</w:t>
      </w:r>
    </w:p>
    <w:p>
      <w:pPr>
        <w:pStyle w:val="ListParagraph"/>
        <w:numPr>
          <w:ilvl w:val="0"/>
          <w:numId w:val="1"/>
        </w:numPr>
        <w:spacing w:after="100" w:line="360"/>
      </w:pPr>
      <w:r>
        <w:t xml:space="preserve">Adverse effect monitoring protocol: which side effects most likely with this combination? What monitoring strategy optimal?</w:t>
      </w:r>
    </w:p>
    <w:p>
      <w:pPr>
        <w:spacing w:after="120"/>
      </w:pPr>
      <w:r>
        <w:t xml:space="preserve"/>
      </w:r>
    </w:p>
    <w:p>
      <w:pPr>
        <w:spacing w:after="240" w:line="360"/>
      </w:pPr>
      <w:r>
        <w:rPr>
          <w:b/>
          <w:bCs/>
        </w:rPr>
        <w:t xml:space="preserve">Format: </w:t>
      </w:r>
      <w:r>
        <w:t xml:space="preserve">Dosing optimization table (Excel) with rows = top combinations, columns = compound A dose/timing, compound B dose/timing, sequencing strategy, rationale, predicted symptom onset time, adverse effect monitoring. Supplementary pharmacodynamic simulation plots.</w:t>
      </w:r>
    </w:p>
    <w:p>
      <w:pPr>
        <w:pStyle w:val="Heading2"/>
        <w:spacing w:after="200" w:before="200"/>
      </w:pPr>
      <w:r>
        <w:t xml:space="preserve">Stage 6: Clinical Development Pathway &amp; Regulatory Strategy</w:t>
      </w:r>
    </w:p>
    <w:p>
      <w:pPr>
        <w:spacing w:after="200" w:line="360"/>
      </w:pPr>
      <w:r>
        <w:rPr>
          <w:b/>
          <w:bCs/>
        </w:rPr>
        <w:t xml:space="preserve">Purpose: </w:t>
      </w:r>
      <w:r>
        <w:t xml:space="preserve">Define comprehensive clinical development pathway and regulatory strategy for advancing top TRD dual-mechanism combinations, accounting for complex TRD population and need for biomarker-driven trial design.</w:t>
      </w:r>
    </w:p>
    <w:p>
      <w:pPr>
        <w:spacing w:after="120"/>
      </w:pPr>
      <w:r>
        <w:rPr>
          <w:b/>
          <w:bCs/>
        </w:rPr>
        <w:t xml:space="preserve">Inputs:</w:t>
      </w:r>
    </w:p>
    <w:p>
      <w:pPr>
        <w:pStyle w:val="ListParagraph"/>
        <w:numPr>
          <w:ilvl w:val="0"/>
          <w:numId w:val="1"/>
        </w:numPr>
        <w:spacing w:after="100" w:line="360"/>
      </w:pPr>
      <w:r>
        <w:t xml:space="preserve">Top 15-20 optimized dual-mechanism combinations from Stage 5</w:t>
      </w:r>
    </w:p>
    <w:p>
      <w:pPr>
        <w:pStyle w:val="ListParagraph"/>
        <w:numPr>
          <w:ilvl w:val="0"/>
          <w:numId w:val="1"/>
        </w:numPr>
        <w:spacing w:after="100" w:line="360"/>
      </w:pPr>
      <w:r>
        <w:t xml:space="preserve">Current regulatory guidance on TRD trials (FDA, EMA perspective on required evidence)</w:t>
      </w:r>
    </w:p>
    <w:p>
      <w:pPr>
        <w:pStyle w:val="ListParagraph"/>
        <w:numPr>
          <w:ilvl w:val="0"/>
          <w:numId w:val="1"/>
        </w:numPr>
        <w:spacing w:after="100" w:line="360"/>
      </w:pPr>
      <w:r>
        <w:t xml:space="preserve">Clinical trial landscape for TRD: ongoing trials, recent approvals, unmet needs</w:t>
      </w:r>
    </w:p>
    <w:p>
      <w:pPr>
        <w:pStyle w:val="ListParagraph"/>
        <w:numPr>
          <w:ilvl w:val="0"/>
          <w:numId w:val="1"/>
        </w:numPr>
        <w:spacing w:after="100" w:line="360"/>
      </w:pPr>
      <w:r>
        <w:t xml:space="preserve">Patient population considerations: TRD prevalence, treatment-resistance definitions, comorbidity patterns</w:t>
      </w:r>
    </w:p>
    <w:p>
      <w:pPr>
        <w:pStyle w:val="ListParagraph"/>
        <w:numPr>
          <w:ilvl w:val="0"/>
          <w:numId w:val="1"/>
        </w:numPr>
        <w:spacing w:after="100" w:line="360"/>
      </w:pPr>
      <w:r>
        <w:t xml:space="preserve">Budget and feasibility constraints for clinical development</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TRD Trial Design Architect</w:t>
      </w:r>
      <w:r>
        <w:t xml:space="preserve">: Design optimal clinical trial protocol for each combination: Phase IIa biomarker-enriched trial vs Phase IIb efficacy trial vs adaptive trial? Sample size, primary/secondary endpoints, biomarker inclusion criteria?</w:t>
      </w:r>
    </w:p>
    <w:p>
      <w:pPr>
        <w:pStyle w:val="ListParagraph"/>
        <w:numPr>
          <w:ilvl w:val="0"/>
          <w:numId w:val="1"/>
        </w:numPr>
        <w:spacing w:after="100" w:line="360"/>
      </w:pPr>
      <w:r>
        <w:rPr>
          <w:b/>
          <w:bCs/>
        </w:rPr>
        <w:t xml:space="preserve">TRD Population Definition Mapper</w:t>
      </w:r>
      <w:r>
        <w:t xml:space="preserve">: Define precise TRD population for each combination (number of prior failed treatment trials, duration of resistance, comorbidity profiles); estimate patient availability for recruitment</w:t>
      </w:r>
    </w:p>
    <w:p>
      <w:pPr>
        <w:pStyle w:val="ListParagraph"/>
        <w:numPr>
          <w:ilvl w:val="0"/>
          <w:numId w:val="1"/>
        </w:numPr>
        <w:spacing w:after="100" w:line="360"/>
      </w:pPr>
      <w:r>
        <w:rPr>
          <w:b/>
          <w:bCs/>
        </w:rPr>
        <w:t xml:space="preserve">Regulatory Pathway Optimizer</w:t>
      </w:r>
      <w:r>
        <w:t xml:space="preserve">: For each combination, identify optimal regulatory pathway: breakthrough therapy potential, accelerated approval eligibility (if precedent exists), priority review eligibility</w:t>
      </w:r>
    </w:p>
    <w:p>
      <w:pPr>
        <w:pStyle w:val="ListParagraph"/>
        <w:numPr>
          <w:ilvl w:val="0"/>
          <w:numId w:val="1"/>
        </w:numPr>
        <w:spacing w:after="100" w:line="360"/>
      </w:pPr>
      <w:r>
        <w:rPr>
          <w:b/>
          <w:bCs/>
        </w:rPr>
        <w:t xml:space="preserve">Comparative Effectiveness Planner</w:t>
      </w:r>
      <w:r>
        <w:t xml:space="preserve">: Define comparators and control arms for Phase II/III: active comparator (high-dose SSRI, augmentation strategies) vs placebo? Adaptive trial designs for efficiency?</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top 15 dual-mechanism pair, design proposed Phase IIa trial: population definition, sample size, primary biomarker endpoint, secondary clinical endpoints, duration.</w:t>
      </w:r>
    </w:p>
    <w:p>
      <w:pPr>
        <w:pStyle w:val="ListParagraph"/>
        <w:numPr>
          <w:ilvl w:val="0"/>
          <w:numId w:val="1"/>
        </w:numPr>
        <w:spacing w:after="100" w:line="360"/>
      </w:pPr>
      <w:r>
        <w:t xml:space="preserve">Assess TRD population characteristics: what fraction of depressed patients meet TRD criteria? Are sufficient numbers available for trial recruitment?</w:t>
      </w:r>
    </w:p>
    <w:p>
      <w:pPr>
        <w:pStyle w:val="ListParagraph"/>
        <w:numPr>
          <w:ilvl w:val="0"/>
          <w:numId w:val="1"/>
        </w:numPr>
        <w:spacing w:after="100" w:line="360"/>
      </w:pPr>
      <w:r>
        <w:t xml:space="preserve">Identify regulatory pathway: does either compound already have TRD indication? Is combination eligible for breakthrough therapy designation?</w:t>
      </w:r>
    </w:p>
    <w:p>
      <w:pPr>
        <w:pStyle w:val="ListParagraph"/>
        <w:numPr>
          <w:ilvl w:val="0"/>
          <w:numId w:val="1"/>
        </w:numPr>
        <w:spacing w:after="100" w:line="360"/>
      </w:pPr>
      <w:r>
        <w:t xml:space="preserve">Propose primary and secondary endpoints: primary = biomarker change (ERP, fMRI, inflammatory markers) or symptom improvement? How are they combined in success criteria?</w:t>
      </w:r>
    </w:p>
    <w:p>
      <w:pPr>
        <w:pStyle w:val="ListParagraph"/>
        <w:numPr>
          <w:ilvl w:val="0"/>
          <w:numId w:val="1"/>
        </w:numPr>
        <w:spacing w:after="100" w:line="360"/>
      </w:pPr>
      <w:r>
        <w:t xml:space="preserve">Design adaptive elements: if biomarker improvements occur without symptom improvement (or vice versa), how is trial adapted?</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Clinical development roadmap for top 10-15 dual-mechanism pairs: Phase IIa → Phase IIb → Phase III timelines and designs</w:t>
      </w:r>
    </w:p>
    <w:p>
      <w:pPr>
        <w:pStyle w:val="ListParagraph"/>
        <w:numPr>
          <w:ilvl w:val="0"/>
          <w:numId w:val="1"/>
        </w:numPr>
        <w:spacing w:after="100" w:line="360"/>
      </w:pPr>
      <w:r>
        <w:t xml:space="preserve">For each top combination: (1) proposed trial protocol outline, (2) TRD population definition and recruitment strategy, (3) primary/secondary endpoints, (4) biomarker measurement plan, (5) proposed adaptive design elements</w:t>
      </w:r>
    </w:p>
    <w:p>
      <w:pPr>
        <w:pStyle w:val="ListParagraph"/>
        <w:numPr>
          <w:ilvl w:val="0"/>
          <w:numId w:val="1"/>
        </w:numPr>
        <w:spacing w:after="100" w:line="360"/>
      </w:pPr>
      <w:r>
        <w:t xml:space="preserve">Regulatory strategy: breakthrough therapy/priority review eligibility, comparator selection, approval pathway timeline</w:t>
      </w:r>
    </w:p>
    <w:p>
      <w:pPr>
        <w:pStyle w:val="ListParagraph"/>
        <w:numPr>
          <w:ilvl w:val="0"/>
          <w:numId w:val="1"/>
        </w:numPr>
        <w:spacing w:after="100" w:line="360"/>
      </w:pPr>
      <w:r>
        <w:t xml:space="preserve">Budget and feasibility assessment: estimated cost, timeline to proof-of-concept, key risks and mitigation strategies</w:t>
      </w:r>
    </w:p>
    <w:p>
      <w:pPr>
        <w:pStyle w:val="ListParagraph"/>
        <w:numPr>
          <w:ilvl w:val="0"/>
          <w:numId w:val="1"/>
        </w:numPr>
        <w:spacing w:after="100" w:line="360"/>
      </w:pPr>
      <w:r>
        <w:t xml:space="preserve">Go/no-go recommendation: overall recommendation for clinical advancement, key decision points before proceeding</w:t>
      </w:r>
    </w:p>
    <w:p>
      <w:pPr>
        <w:spacing w:after="120"/>
      </w:pPr>
      <w:r>
        <w:t xml:space="preserve"/>
      </w:r>
    </w:p>
    <w:p>
      <w:pPr>
        <w:spacing w:after="240" w:line="360"/>
      </w:pPr>
      <w:r>
        <w:rPr>
          <w:b/>
          <w:bCs/>
        </w:rPr>
        <w:t xml:space="preserve">Format: </w:t>
      </w:r>
      <w:r>
        <w:t xml:space="preserve">Clinical development roadmap document (Word/PDF) with trial protocol outlines for top 5 combinations, regulatory strategy summaries, population definitions, biomarker plans, timeline projections, budget estimates, and final go/no-go recommendations.</w:t>
      </w:r>
    </w:p>
    <w:p>
      <w:pPr>
        <w:pStyle w:val="Heading2"/>
        <w:spacing w:after="200" w:before="200"/>
      </w:pPr>
      <w:r>
        <w:t xml:space="preserve">Tools &amp; Databases Summary</w:t>
      </w:r>
    </w:p>
    <w:p>
      <w:pPr>
        <w:pStyle w:val="ListParagraph"/>
        <w:numPr>
          <w:ilvl w:val="0"/>
          <w:numId w:val="1"/>
        </w:numPr>
        <w:spacing w:after="100" w:line="360"/>
      </w:pPr>
      <w:r>
        <w:t xml:space="preserve">EP-Based Embedding Constructor (UMAP/t-SNE/PCA): Dimensionality reduction from Quiver EP phenotypes</w:t>
      </w:r>
    </w:p>
    <w:p>
      <w:pPr>
        <w:pStyle w:val="ListParagraph"/>
        <w:numPr>
          <w:ilvl w:val="0"/>
          <w:numId w:val="1"/>
        </w:numPr>
        <w:spacing w:after="100" w:line="360"/>
      </w:pPr>
      <w:r>
        <w:t xml:space="preserve">Chemical Structure Similarity Mapper: Tanimoto and molecular descriptor-based chemical similarity</w:t>
      </w:r>
    </w:p>
    <w:p>
      <w:pPr>
        <w:pStyle w:val="ListParagraph"/>
        <w:numPr>
          <w:ilvl w:val="0"/>
          <w:numId w:val="1"/>
        </w:numPr>
        <w:spacing w:after="100" w:line="360"/>
      </w:pPr>
      <w:r>
        <w:t xml:space="preserve">Mechanism-Aware Embedding Integrator: Multi-modal fusion of EP and chemical embeddings</w:t>
      </w:r>
    </w:p>
    <w:p>
      <w:pPr>
        <w:pStyle w:val="ListParagraph"/>
        <w:numPr>
          <w:ilvl w:val="0"/>
          <w:numId w:val="1"/>
        </w:numPr>
        <w:spacing w:after="100" w:line="360"/>
      </w:pPr>
      <w:r>
        <w:t xml:space="preserve">Embedding Quality Validator: Silhouette score, Davies-Bouldin index, mechanism clustering validation</w:t>
      </w:r>
    </w:p>
    <w:p>
      <w:pPr>
        <w:pStyle w:val="ListParagraph"/>
        <w:numPr>
          <w:ilvl w:val="0"/>
          <w:numId w:val="1"/>
        </w:numPr>
        <w:spacing w:after="100" w:line="360"/>
      </w:pPr>
      <w:r>
        <w:t xml:space="preserve">TRD Mechanism-Phenotype Mapper: Translation of TRD pathophysiology to Quiver EP signatures</w:t>
      </w:r>
    </w:p>
    <w:p>
      <w:pPr>
        <w:pStyle w:val="ListParagraph"/>
        <w:numPr>
          <w:ilvl w:val="0"/>
          <w:numId w:val="1"/>
        </w:numPr>
        <w:spacing w:after="100" w:line="360"/>
      </w:pPr>
      <w:r>
        <w:t xml:space="preserve">Mechanism-Based Embedding Region Discoverer: Cluster identification in embedding space</w:t>
      </w:r>
    </w:p>
    <w:p>
      <w:pPr>
        <w:pStyle w:val="ListParagraph"/>
        <w:numPr>
          <w:ilvl w:val="0"/>
          <w:numId w:val="1"/>
        </w:numPr>
        <w:spacing w:after="100" w:line="360"/>
      </w:pPr>
      <w:r>
        <w:t xml:space="preserve">Mechanism-Compound Association Ranker: Ranking compounds by mechanism-specific relevance</w:t>
      </w:r>
    </w:p>
    <w:p>
      <w:pPr>
        <w:pStyle w:val="ListParagraph"/>
        <w:numPr>
          <w:ilvl w:val="0"/>
          <w:numId w:val="1"/>
        </w:numPr>
        <w:spacing w:after="100" w:line="360"/>
      </w:pPr>
      <w:r>
        <w:t xml:space="preserve">TRD-Specific Cluster Analyzer: Characterization of mechanism-specific compound clusters</w:t>
      </w:r>
    </w:p>
    <w:p>
      <w:pPr>
        <w:pStyle w:val="ListParagraph"/>
        <w:numPr>
          <w:ilvl w:val="0"/>
          <w:numId w:val="1"/>
        </w:numPr>
        <w:spacing w:after="100" w:line="360"/>
      </w:pPr>
      <w:r>
        <w:t xml:space="preserve">Mechanism-Pair Complementarity Scorer: Assessment of mechanism non-overlap and synergy</w:t>
      </w:r>
    </w:p>
    <w:p>
      <w:pPr>
        <w:pStyle w:val="ListParagraph"/>
        <w:numPr>
          <w:ilvl w:val="0"/>
          <w:numId w:val="1"/>
        </w:numPr>
        <w:spacing w:after="100" w:line="360"/>
      </w:pPr>
      <w:r>
        <w:t xml:space="preserve">Embedding-Based Pair Discoverer: Identification of complementary mechanism compound pairs</w:t>
      </w:r>
    </w:p>
    <w:p>
      <w:pPr>
        <w:pStyle w:val="ListParagraph"/>
        <w:numPr>
          <w:ilvl w:val="0"/>
          <w:numId w:val="1"/>
        </w:numPr>
        <w:spacing w:after="100" w:line="360"/>
      </w:pPr>
      <w:r>
        <w:t xml:space="preserve">Synergy Predictor (Embedding-Based): Prediction of synergistic benefit from mechanism complementarity</w:t>
      </w:r>
    </w:p>
    <w:p>
      <w:pPr>
        <w:pStyle w:val="ListParagraph"/>
        <w:numPr>
          <w:ilvl w:val="0"/>
          <w:numId w:val="1"/>
        </w:numPr>
        <w:spacing w:after="100" w:line="360"/>
      </w:pPr>
      <w:r>
        <w:t xml:space="preserve">Pair Ranking Engine: Ranking dual-mechanism pairs by synergy and clinical relevance</w:t>
      </w:r>
    </w:p>
    <w:p>
      <w:pPr>
        <w:pStyle w:val="ListParagraph"/>
        <w:numPr>
          <w:ilvl w:val="0"/>
          <w:numId w:val="1"/>
        </w:numPr>
        <w:spacing w:after="100" w:line="360"/>
      </w:pPr>
      <w:r>
        <w:t xml:space="preserve">TRD Biomarker-Mechanism Mapper: Mapping mechanisms to clinical biomarkers (ERP, fMRI, inflammatory)</w:t>
      </w:r>
    </w:p>
    <w:p>
      <w:pPr>
        <w:pStyle w:val="ListParagraph"/>
        <w:numPr>
          <w:ilvl w:val="0"/>
          <w:numId w:val="1"/>
        </w:numPr>
        <w:spacing w:after="100" w:line="360"/>
      </w:pPr>
      <w:r>
        <w:t xml:space="preserve">Dual-Mechanism Biomarker Predictor: Multivariate biomarker improvement prediction for compound pairs</w:t>
      </w:r>
    </w:p>
    <w:p>
      <w:pPr>
        <w:pStyle w:val="ListParagraph"/>
        <w:numPr>
          <w:ilvl w:val="0"/>
          <w:numId w:val="1"/>
        </w:numPr>
        <w:spacing w:after="100" w:line="360"/>
      </w:pPr>
      <w:r>
        <w:t xml:space="preserve">Clinical Literature Validator: Cross-validation of predicted biomarker improvements against literature</w:t>
      </w:r>
    </w:p>
    <w:p>
      <w:pPr>
        <w:pStyle w:val="ListParagraph"/>
        <w:numPr>
          <w:ilvl w:val="0"/>
          <w:numId w:val="1"/>
        </w:numPr>
        <w:spacing w:after="100" w:line="360"/>
      </w:pPr>
      <w:r>
        <w:t xml:space="preserve">TRD Population Alignment Tool: Assessment of recommendation fit to TRD pathophysiology</w:t>
      </w:r>
    </w:p>
    <w:p>
      <w:pPr>
        <w:pStyle w:val="ListParagraph"/>
        <w:numPr>
          <w:ilvl w:val="0"/>
          <w:numId w:val="1"/>
        </w:numPr>
        <w:spacing w:after="100" w:line="360"/>
      </w:pPr>
      <w:r>
        <w:t xml:space="preserve">TRD-Specific Dose-Response Analyzer: Mechanism-specific dose-response curve extraction</w:t>
      </w:r>
    </w:p>
    <w:p>
      <w:pPr>
        <w:pStyle w:val="ListParagraph"/>
        <w:numPr>
          <w:ilvl w:val="0"/>
          <w:numId w:val="1"/>
        </w:numPr>
        <w:spacing w:after="100" w:line="360"/>
      </w:pPr>
      <w:r>
        <w:t xml:space="preserve">Mechanism Sequencing Simulator: Temporal dynamics simulation for sequential vs simultaneous dosing</w:t>
      </w:r>
    </w:p>
    <w:p>
      <w:pPr>
        <w:pStyle w:val="ListParagraph"/>
        <w:numPr>
          <w:ilvl w:val="0"/>
          <w:numId w:val="1"/>
        </w:numPr>
        <w:spacing w:after="100" w:line="360"/>
      </w:pPr>
      <w:r>
        <w:t xml:space="preserve">TRD-Optimized Dosing Algorithm: Dosing optimization balancing rapid and sustained mechanism engagement</w:t>
      </w:r>
    </w:p>
    <w:p>
      <w:pPr>
        <w:pStyle w:val="ListParagraph"/>
        <w:numPr>
          <w:ilvl w:val="0"/>
          <w:numId w:val="1"/>
        </w:numPr>
        <w:spacing w:after="100" w:line="360"/>
      </w:pPr>
      <w:r>
        <w:t xml:space="preserve">Combination Pharmacodynamics Modeler: CNS penetration and target occupancy simulation</w:t>
      </w:r>
    </w:p>
    <w:p>
      <w:pPr>
        <w:pStyle w:val="ListParagraph"/>
        <w:numPr>
          <w:ilvl w:val="0"/>
          <w:numId w:val="1"/>
        </w:numPr>
        <w:spacing w:after="100" w:line="360"/>
      </w:pPr>
      <w:r>
        <w:t xml:space="preserve">TRD Trial Design Architect: Clinical trial protocol design for TRD populations</w:t>
      </w:r>
    </w:p>
    <w:p>
      <w:pPr>
        <w:pStyle w:val="ListParagraph"/>
        <w:numPr>
          <w:ilvl w:val="0"/>
          <w:numId w:val="1"/>
        </w:numPr>
        <w:spacing w:after="100" w:line="360"/>
      </w:pPr>
      <w:r>
        <w:t xml:space="preserve">TRD Population Definition Mapper: TRD subpopulation characterization and recruitment planning</w:t>
      </w:r>
    </w:p>
    <w:p>
      <w:pPr>
        <w:pStyle w:val="ListParagraph"/>
        <w:numPr>
          <w:ilvl w:val="0"/>
          <w:numId w:val="1"/>
        </w:numPr>
        <w:spacing w:after="100" w:line="360"/>
      </w:pPr>
      <w:r>
        <w:t xml:space="preserve">Regulatory Pathway Optimizer: Breakthrough therapy and accelerated approval pathway identification</w:t>
      </w:r>
    </w:p>
    <w:p>
      <w:pPr>
        <w:pStyle w:val="ListParagraph"/>
        <w:numPr>
          <w:ilvl w:val="0"/>
          <w:numId w:val="1"/>
        </w:numPr>
        <w:spacing w:after="100" w:line="360"/>
      </w:pPr>
      <w:r>
        <w:t xml:space="preserve">Comparative Effectiveness Planner: Control arm selection and adaptive trial design planning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2026-02-27T17:23:14.367Z</dcterms:created>
  <dcterms:modified xsi:type="dcterms:W3CDTF">2026-02-27T17:23:14.367Z</dcterms:modified>
</cp:coreProperties>
</file>

<file path=docProps/custom.xml><?xml version="1.0" encoding="utf-8"?>
<Properties xmlns="http://schemas.openxmlformats.org/officeDocument/2006/custom-properties" xmlns:vt="http://schemas.openxmlformats.org/officeDocument/2006/docPropsVTypes"/>
</file>