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t xml:space="preserve">Sapphire Pipeline Workflow</w:t>
      </w:r>
    </w:p>
    <w:p>
      <w:pPr>
        <w:pStyle w:val="Heading2"/>
        <w:spacing w:after="240" w:before="0"/>
      </w:pPr>
      <w:r>
        <w:t xml:space="preserve">Prompt: "Rank top 10 CNS programs by probability-adjusted NPV using Quiver + external competitive landscape."</w:t>
      </w:r>
    </w:p>
    <w:p>
      <w:pPr>
        <w:spacing w:after="12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120"/>
      </w:pPr>
      <w:r>
        <w:t xml:space="preserve">This pipeline performs portfolio-level financial modeling for CNS drug programs by computing risk-adjusted net present value (rNPV). The workflow integrates Sapphire's functional validation data (EP phenotypes, target tractability, unmet efficacy signals) with external competitive intelligence, published clinical success rates, market sizing, regulatory timelines, and development cost estimates. The final output is an investment-grade ranking of programs stratified by probability-adjusted NPV, enabling portfolio optimization and capital allocation decisions.</w:t>
      </w:r>
    </w:p>
    <w:p>
      <w:pPr>
        <w:spacing w:after="120"/>
      </w:pPr>
      <w:r>
        <w:t xml:space="preserve">The workflow progresses from program definition and competitive mapping through cost estimation, clinical success rate incorporation, market valuation, and final NPV computation. By harmonizing internal Sapphire evidence with external biotech benchmarks, the pipeline produces transparent, defensible financial rankings suitable for board-level decision making and investment committee review.</w:t>
      </w:r>
    </w:p>
    <w:p>
      <w:pPr>
        <w:pStyle w:val="Heading2"/>
        <w:spacing w:after="200" w:before="200"/>
      </w:pPr>
      <w:r>
        <w:t xml:space="preserve">Stage 1: CNS Program Portfolio Definition &amp; Competitive Intelligence</w:t>
      </w:r>
    </w:p>
    <w:p>
      <w:pPr>
        <w:spacing w:after="120"/>
      </w:pPr>
      <w:r>
        <w:rPr>
          <w:b/>
          <w:bCs/>
        </w:rPr>
        <w:t xml:space="preserve">Purpose: </w:t>
      </w:r>
      <w:r>
        <w:t xml:space="preserve">Define target list of CNS programs and establish competitive landscape, including target mechanism, disease indication, development stage, and competitive set.</w:t>
      </w:r>
    </w:p>
    <w:p>
      <w:pPr>
        <w:spacing w:after="80"/>
      </w:pPr>
      <w:r>
        <w:rPr>
          <w:b/>
          <w:bCs/>
        </w:rPr>
        <w:t xml:space="preserve">Inputs:</w:t>
      </w:r>
    </w:p>
    <w:p>
      <w:pPr>
        <w:pStyle w:val="ListParagraph"/>
        <w:numPr>
          <w:ilvl w:val="0"/>
          <w:numId w:val="2"/>
        </w:numPr>
        <w:spacing w:after="40"/>
      </w:pPr>
      <w:r>
        <w:t xml:space="preserve">CNS program candidate list (e.g., top 20–50 targets from Sapphire CRISPR database)</w:t>
      </w:r>
    </w:p>
    <w:p>
      <w:pPr>
        <w:pStyle w:val="ListParagraph"/>
        <w:numPr>
          <w:ilvl w:val="0"/>
          <w:numId w:val="2"/>
        </w:numPr>
        <w:spacing w:after="40"/>
      </w:pPr>
      <w:r>
        <w:t xml:space="preserve">Target-disease-compound mapping (internal portfolio definitions)</w:t>
      </w:r>
    </w:p>
    <w:p>
      <w:pPr>
        <w:pStyle w:val="ListParagraph"/>
        <w:numPr>
          <w:ilvl w:val="0"/>
          <w:numId w:val="2"/>
        </w:numPr>
        <w:spacing w:after="40"/>
      </w:pPr>
      <w:r>
        <w:t xml:space="preserve">Regulatory/patent database access (USPTO, EMA, FDA)</w:t>
      </w:r>
    </w:p>
    <w:p>
      <w:pPr>
        <w:pStyle w:val="ListParagraph"/>
        <w:numPr>
          <w:ilvl w:val="0"/>
          <w:numId w:val="2"/>
        </w:numPr>
        <w:spacing w:after="40"/>
      </w:pPr>
      <w:r>
        <w:t xml:space="preserve">Competitive intelligence sources (investor reports, clinical trial databases, press releases)</w:t>
      </w:r>
    </w:p>
    <w:p>
      <w:pPr>
        <w:spacing w:after="80" w:before="120"/>
      </w:pPr>
      <w:r>
        <w:rPr>
          <w:b/>
          <w:bCs/>
        </w:rPr>
        <w:t xml:space="preserve">Tools &amp; Databases Called:</w:t>
      </w:r>
    </w:p>
    <w:p>
      <w:pPr>
        <w:pStyle w:val="ListParagraph"/>
        <w:numPr>
          <w:ilvl w:val="0"/>
          <w:numId w:val="2"/>
        </w:numPr>
        <w:spacing w:after="40"/>
      </w:pPr>
      <w:r>
        <w:rPr>
          <w:b/>
          <w:bCs/>
        </w:rPr>
        <w:t xml:space="preserve">Sapphire PortfolioManager — </w:t>
      </w:r>
      <w:r>
        <w:t xml:space="preserve">Retrieve internal CNS program definitions and stage classifications</w:t>
      </w:r>
    </w:p>
    <w:p>
      <w:pPr>
        <w:pStyle w:val="ListParagraph"/>
        <w:numPr>
          <w:ilvl w:val="0"/>
          <w:numId w:val="2"/>
        </w:numPr>
        <w:spacing w:after="40"/>
      </w:pPr>
      <w:r>
        <w:rPr>
          <w:b/>
          <w:bCs/>
        </w:rPr>
        <w:t xml:space="preserve">Competitive Intelligence Platform (e.g., Cortellis, Elsevier, in-house database) — </w:t>
      </w:r>
      <w:r>
        <w:t xml:space="preserve">Map competitive programs by target/indication</w:t>
      </w:r>
    </w:p>
    <w:p>
      <w:pPr>
        <w:pStyle w:val="ListParagraph"/>
        <w:numPr>
          <w:ilvl w:val="0"/>
          <w:numId w:val="2"/>
        </w:numPr>
        <w:spacing w:after="40"/>
      </w:pPr>
      <w:r>
        <w:rPr>
          <w:b/>
          <w:bCs/>
        </w:rPr>
        <w:t xml:space="preserve">ClinicalTrials.gov API — </w:t>
      </w:r>
      <w:r>
        <w:t xml:space="preserve">Query active trials for competing programs</w:t>
      </w:r>
    </w:p>
    <w:p>
      <w:pPr>
        <w:pStyle w:val="ListParagraph"/>
        <w:numPr>
          <w:ilvl w:val="0"/>
          <w:numId w:val="2"/>
        </w:numPr>
        <w:spacing w:after="40"/>
      </w:pPr>
      <w:r>
        <w:rPr>
          <w:b/>
          <w:bCs/>
        </w:rPr>
        <w:t xml:space="preserve">Patent databases (USPTO, EMA) — </w:t>
      </w:r>
      <w:r>
        <w:t xml:space="preserve">Identify patent landscapes and freedom-to-operate</w:t>
      </w:r>
    </w:p>
    <w:p>
      <w:pPr>
        <w:pStyle w:val="ListParagraph"/>
        <w:numPr>
          <w:ilvl w:val="0"/>
          <w:numId w:val="2"/>
        </w:numPr>
        <w:spacing w:after="40"/>
      </w:pPr>
      <w:r>
        <w:rPr>
          <w:b/>
          <w:bCs/>
        </w:rPr>
        <w:t xml:space="preserve">News/press release aggregators — </w:t>
      </w:r>
      <w:r>
        <w:t xml:space="preserve">Track competitive announcements and clinical milestones</w:t>
      </w:r>
    </w:p>
    <w:p>
      <w:pPr>
        <w:spacing w:after="80" w:before="120"/>
      </w:pPr>
      <w:r>
        <w:rPr>
          <w:b/>
          <w:bCs/>
        </w:rPr>
        <w:t xml:space="preserve">Exemplary Sub-Prompts:</w:t>
      </w:r>
    </w:p>
    <w:p>
      <w:pPr>
        <w:pStyle w:val="ListParagraph"/>
        <w:numPr>
          <w:ilvl w:val="0"/>
          <w:numId w:val="2"/>
        </w:numPr>
        <w:spacing w:after="40"/>
      </w:pPr>
      <w:r>
        <w:t xml:space="preserve">What are the top 5 competitors for target X in indication Y?</w:t>
      </w:r>
    </w:p>
    <w:p>
      <w:pPr>
        <w:pStyle w:val="ListParagraph"/>
        <w:numPr>
          <w:ilvl w:val="0"/>
          <w:numId w:val="2"/>
        </w:numPr>
        <w:spacing w:after="40"/>
      </w:pPr>
      <w:r>
        <w:t xml:space="preserve">What is the development stage distribution across competitors (discovery, preclinical, IND, Phase 1, Phase 2, etc.)?</w:t>
      </w:r>
    </w:p>
    <w:p>
      <w:pPr>
        <w:pStyle w:val="ListParagraph"/>
        <w:numPr>
          <w:ilvl w:val="0"/>
          <w:numId w:val="2"/>
        </w:numPr>
        <w:spacing w:after="40"/>
      </w:pPr>
      <w:r>
        <w:t xml:space="preserve">Are there patent cliffs or freedom-to-operate risks for leading competitive programs?</w:t>
      </w:r>
    </w:p>
    <w:p>
      <w:pPr>
        <w:pStyle w:val="ListParagraph"/>
        <w:numPr>
          <w:ilvl w:val="0"/>
          <w:numId w:val="2"/>
        </w:numPr>
        <w:spacing w:after="40"/>
      </w:pPr>
      <w:r>
        <w:t xml:space="preserve">What clinical efficacy signals have competitors disclosed for this indication?</w:t>
      </w:r>
    </w:p>
    <w:p>
      <w:pPr>
        <w:spacing w:after="80" w:before="120"/>
      </w:pPr>
      <w:r>
        <w:rPr>
          <w:b/>
          <w:bCs/>
        </w:rPr>
        <w:t xml:space="preserve">Expected Outputs:</w:t>
      </w:r>
    </w:p>
    <w:p>
      <w:pPr>
        <w:pStyle w:val="ListParagraph"/>
        <w:numPr>
          <w:ilvl w:val="0"/>
          <w:numId w:val="2"/>
        </w:numPr>
        <w:spacing w:after="40"/>
      </w:pPr>
      <w:r>
        <w:t xml:space="preserve">Program portfolio table: [Program ID, Target, Indication, Mechanism, Internal stage, Sapphire validation status]</w:t>
      </w:r>
    </w:p>
    <w:p>
      <w:pPr>
        <w:pStyle w:val="ListParagraph"/>
        <w:numPr>
          <w:ilvl w:val="0"/>
          <w:numId w:val="2"/>
        </w:numPr>
        <w:spacing w:after="40"/>
      </w:pPr>
      <w:r>
        <w:t xml:space="preserve">Competitive map: [Target, Indication, Competitor Programs (stage, clinical data, patent status), Market timing estimates]</w:t>
      </w:r>
    </w:p>
    <w:p>
      <w:pPr>
        <w:pStyle w:val="ListParagraph"/>
        <w:numPr>
          <w:ilvl w:val="0"/>
          <w:numId w:val="2"/>
        </w:numPr>
        <w:spacing w:after="40"/>
      </w:pPr>
      <w:r>
        <w:t xml:space="preserve">Freedom-to-operate assessment: [Program, Patent landscape (clear/moderate risk/high risk), Designed-around options]</w:t>
      </w:r>
    </w:p>
    <w:p>
      <w:pPr>
        <w:spacing w:after="120" w:before="120"/>
      </w:pPr>
      <w:r>
        <w:rPr>
          <w:b/>
          <w:bCs/>
        </w:rPr>
        <w:t xml:space="preserve">Format: </w:t>
      </w:r>
      <w:r>
        <w:t xml:space="preserve">Structured JSON or CSV with standardized field names.</w:t>
      </w:r>
    </w:p>
    <w:p>
      <w:pPr>
        <w:pStyle w:val="Heading2"/>
        <w:spacing w:after="200" w:before="200"/>
      </w:pPr>
      <w:r>
        <w:t xml:space="preserve">Stage 2: Sapphire Functional Validation Scoring</w:t>
      </w:r>
    </w:p>
    <w:p>
      <w:pPr>
        <w:spacing w:after="120"/>
      </w:pPr>
      <w:r>
        <w:rPr>
          <w:b/>
          <w:bCs/>
        </w:rPr>
        <w:t xml:space="preserve">Purpose: </w:t>
      </w:r>
      <w:r>
        <w:t xml:space="preserve">Extract and synthesize Sapphire EP phenotype and target tractability evidence; score each program on functional efficacy potential, off-target liability, and druggability.</w:t>
      </w:r>
    </w:p>
    <w:p>
      <w:pPr>
        <w:spacing w:after="80"/>
      </w:pPr>
      <w:r>
        <w:rPr>
          <w:b/>
          <w:bCs/>
        </w:rPr>
        <w:t xml:space="preserve">Inputs:</w:t>
      </w:r>
    </w:p>
    <w:p>
      <w:pPr>
        <w:pStyle w:val="ListParagraph"/>
        <w:numPr>
          <w:ilvl w:val="0"/>
          <w:numId w:val="2"/>
        </w:numPr>
        <w:spacing w:after="40"/>
      </w:pPr>
      <w:r>
        <w:t xml:space="preserve">Sapphire CRISPR-EP database for each target gene</w:t>
      </w:r>
    </w:p>
    <w:p>
      <w:pPr>
        <w:pStyle w:val="ListParagraph"/>
        <w:numPr>
          <w:ilvl w:val="0"/>
          <w:numId w:val="2"/>
        </w:numPr>
        <w:spacing w:after="40"/>
      </w:pPr>
      <w:r>
        <w:t xml:space="preserve">Sapphire target validation scoring system (e.g., EP signature strength, pathway relevance, disease association)</w:t>
      </w:r>
    </w:p>
    <w:p>
      <w:pPr>
        <w:pStyle w:val="ListParagraph"/>
        <w:numPr>
          <w:ilvl w:val="0"/>
          <w:numId w:val="2"/>
        </w:numPr>
        <w:spacing w:after="40"/>
      </w:pPr>
      <w:r>
        <w:t xml:space="preserve">Off-target analysis (homology, expression patterns, safety liabilities)</w:t>
      </w:r>
    </w:p>
    <w:p>
      <w:pPr>
        <w:pStyle w:val="ListParagraph"/>
        <w:numPr>
          <w:ilvl w:val="0"/>
          <w:numId w:val="2"/>
        </w:numPr>
        <w:spacing w:after="40"/>
      </w:pPr>
      <w:r>
        <w:t xml:space="preserve">Compound atlas data for molecules matching target profiles</w:t>
      </w:r>
    </w:p>
    <w:p>
      <w:pPr>
        <w:spacing w:after="80" w:before="120"/>
      </w:pPr>
      <w:r>
        <w:rPr>
          <w:b/>
          <w:bCs/>
        </w:rPr>
        <w:t xml:space="preserve">Tools &amp; Databases Called:</w:t>
      </w:r>
    </w:p>
    <w:p>
      <w:pPr>
        <w:pStyle w:val="ListParagraph"/>
        <w:numPr>
          <w:ilvl w:val="0"/>
          <w:numId w:val="2"/>
        </w:numPr>
        <w:spacing w:after="40"/>
      </w:pPr>
      <w:r>
        <w:rPr>
          <w:b/>
          <w:bCs/>
        </w:rPr>
        <w:t xml:space="preserve">Sapphire ValidationScorer — </w:t>
      </w:r>
      <w:r>
        <w:t xml:space="preserve">Aggregate EP phenotype data and assign functional efficacy score</w:t>
      </w:r>
    </w:p>
    <w:p>
      <w:pPr>
        <w:pStyle w:val="ListParagraph"/>
        <w:numPr>
          <w:ilvl w:val="0"/>
          <w:numId w:val="2"/>
        </w:numPr>
        <w:spacing w:after="40"/>
      </w:pPr>
      <w:r>
        <w:rPr>
          <w:b/>
          <w:bCs/>
        </w:rPr>
        <w:t xml:space="preserve">EphysAnalysis — </w:t>
      </w:r>
      <w:r>
        <w:t xml:space="preserve">Compute target selectivity and phenotype specificity metrics</w:t>
      </w:r>
    </w:p>
    <w:p>
      <w:pPr>
        <w:pStyle w:val="ListParagraph"/>
        <w:numPr>
          <w:ilvl w:val="0"/>
          <w:numId w:val="2"/>
        </w:numPr>
        <w:spacing w:after="40"/>
      </w:pPr>
      <w:r>
        <w:rPr>
          <w:b/>
          <w:bCs/>
        </w:rPr>
        <w:t xml:space="preserve">Off-target prediction tools (Chembl, Papyrus) — </w:t>
      </w:r>
      <w:r>
        <w:t xml:space="preserve">Screen for off-target liabilities</w:t>
      </w:r>
    </w:p>
    <w:p>
      <w:pPr>
        <w:pStyle w:val="ListParagraph"/>
        <w:numPr>
          <w:ilvl w:val="0"/>
          <w:numId w:val="2"/>
        </w:numPr>
        <w:spacing w:after="40"/>
      </w:pPr>
      <w:r>
        <w:rPr>
          <w:b/>
          <w:bCs/>
        </w:rPr>
        <w:t xml:space="preserve">ADME prediction (pkCSM, SwissADME) — </w:t>
      </w:r>
      <w:r>
        <w:t xml:space="preserve">Assess drug-like properties and pharmacokinetics</w:t>
      </w:r>
    </w:p>
    <w:p>
      <w:pPr>
        <w:spacing w:after="80" w:before="120"/>
      </w:pPr>
      <w:r>
        <w:rPr>
          <w:b/>
          <w:bCs/>
        </w:rPr>
        <w:t xml:space="preserve">Exemplary Sub-Prompts:</w:t>
      </w:r>
    </w:p>
    <w:p>
      <w:pPr>
        <w:pStyle w:val="ListParagraph"/>
        <w:numPr>
          <w:ilvl w:val="0"/>
          <w:numId w:val="2"/>
        </w:numPr>
        <w:spacing w:after="40"/>
      </w:pPr>
      <w:r>
        <w:t xml:space="preserve">How strong is the Sapphire EP signature for target X (large effect size, robust across replicates)?</w:t>
      </w:r>
    </w:p>
    <w:p>
      <w:pPr>
        <w:pStyle w:val="ListParagraph"/>
        <w:numPr>
          <w:ilvl w:val="0"/>
          <w:numId w:val="2"/>
        </w:numPr>
        <w:spacing w:after="40"/>
      </w:pPr>
      <w:r>
        <w:t xml:space="preserve">What is the selectivity of proposed compounds for the intended target vs off-targets?</w:t>
      </w:r>
    </w:p>
    <w:p>
      <w:pPr>
        <w:pStyle w:val="ListParagraph"/>
        <w:numPr>
          <w:ilvl w:val="0"/>
          <w:numId w:val="2"/>
        </w:numPr>
        <w:spacing w:after="40"/>
      </w:pPr>
      <w:r>
        <w:t xml:space="preserve">Does the target have a clear, clean EP phenotype or ambiguous/confounded signals?</w:t>
      </w:r>
    </w:p>
    <w:p>
      <w:pPr>
        <w:pStyle w:val="ListParagraph"/>
        <w:numPr>
          <w:ilvl w:val="0"/>
          <w:numId w:val="2"/>
        </w:numPr>
        <w:spacing w:after="40"/>
      </w:pPr>
      <w:r>
        <w:t xml:space="preserve">Are predicted compounds drug-like and likely to engage target in vivo?</w:t>
      </w:r>
    </w:p>
    <w:p>
      <w:pPr>
        <w:spacing w:after="80" w:before="120"/>
      </w:pPr>
      <w:r>
        <w:rPr>
          <w:b/>
          <w:bCs/>
        </w:rPr>
        <w:t xml:space="preserve">Expected Outputs:</w:t>
      </w:r>
    </w:p>
    <w:p>
      <w:pPr>
        <w:pStyle w:val="ListParagraph"/>
        <w:numPr>
          <w:ilvl w:val="0"/>
          <w:numId w:val="2"/>
        </w:numPr>
        <w:spacing w:after="40"/>
      </w:pPr>
      <w:r>
        <w:t xml:space="preserve">Sapphire validation scorecard: [Target, EP efficacy score (0–100), Selectivity score, Tractability score, Key evidence citations]</w:t>
      </w:r>
    </w:p>
    <w:p>
      <w:pPr>
        <w:pStyle w:val="ListParagraph"/>
        <w:numPr>
          <w:ilvl w:val="0"/>
          <w:numId w:val="2"/>
        </w:numPr>
        <w:spacing w:after="40"/>
      </w:pPr>
      <w:r>
        <w:t xml:space="preserve">Off-target liability report: [Target, Primary indication, Off-target proteins (predicted binding affinity, tissue expression), Risk level]</w:t>
      </w:r>
    </w:p>
    <w:p>
      <w:pPr>
        <w:pStyle w:val="ListParagraph"/>
        <w:numPr>
          <w:ilvl w:val="0"/>
          <w:numId w:val="2"/>
        </w:numPr>
        <w:spacing w:after="40"/>
      </w:pPr>
      <w:r>
        <w:t xml:space="preserve">Compound suitability: [Lead compound, LogP, MW, cLogP, Predicted Cmax, PK properties, ADME class]</w:t>
      </w:r>
    </w:p>
    <w:p>
      <w:pPr>
        <w:spacing w:after="120" w:before="120"/>
      </w:pPr>
      <w:r>
        <w:rPr>
          <w:b/>
          <w:bCs/>
        </w:rPr>
        <w:t xml:space="preserve">Format: </w:t>
      </w:r>
      <w:r>
        <w:t xml:space="preserve">Structured JSON or CSV with standardized field names.</w:t>
      </w:r>
    </w:p>
    <w:p>
      <w:pPr>
        <w:pStyle w:val="Heading2"/>
        <w:spacing w:after="200" w:before="200"/>
      </w:pPr>
      <w:r>
        <w:t xml:space="preserve">Stage 3: Clinical Development Success Rate Attribution</w:t>
      </w:r>
    </w:p>
    <w:p>
      <w:pPr>
        <w:spacing w:after="120"/>
      </w:pPr>
      <w:r>
        <w:rPr>
          <w:b/>
          <w:bCs/>
        </w:rPr>
        <w:t xml:space="preserve">Purpose: </w:t>
      </w:r>
      <w:r>
        <w:t xml:space="preserve">Assign clinical success rate (PoS = probability of success) for each program based on mechanism class, indication, development stage, competitive comparisons, and published industry benchmarks.</w:t>
      </w:r>
    </w:p>
    <w:p>
      <w:pPr>
        <w:spacing w:after="80"/>
      </w:pPr>
      <w:r>
        <w:rPr>
          <w:b/>
          <w:bCs/>
        </w:rPr>
        <w:t xml:space="preserve">Inputs:</w:t>
      </w:r>
    </w:p>
    <w:p>
      <w:pPr>
        <w:pStyle w:val="ListParagraph"/>
        <w:numPr>
          <w:ilvl w:val="0"/>
          <w:numId w:val="2"/>
        </w:numPr>
        <w:spacing w:after="40"/>
      </w:pPr>
      <w:r>
        <w:t xml:space="preserve">Program stage classifications from Stage 1</w:t>
      </w:r>
    </w:p>
    <w:p>
      <w:pPr>
        <w:pStyle w:val="ListParagraph"/>
        <w:numPr>
          <w:ilvl w:val="0"/>
          <w:numId w:val="2"/>
        </w:numPr>
        <w:spacing w:after="40"/>
      </w:pPr>
      <w:r>
        <w:t xml:space="preserve">Sapphire validation scores from Stage 2</w:t>
      </w:r>
    </w:p>
    <w:p>
      <w:pPr>
        <w:pStyle w:val="ListParagraph"/>
        <w:numPr>
          <w:ilvl w:val="0"/>
          <w:numId w:val="2"/>
        </w:numPr>
        <w:spacing w:after="40"/>
      </w:pPr>
      <w:r>
        <w:t xml:space="preserve">Published clinical trial success rates (Tufts Center, BioPharma Dive, industry databases)</w:t>
      </w:r>
    </w:p>
    <w:p>
      <w:pPr>
        <w:pStyle w:val="ListParagraph"/>
        <w:numPr>
          <w:ilvl w:val="0"/>
          <w:numId w:val="2"/>
        </w:numPr>
        <w:spacing w:after="40"/>
      </w:pPr>
      <w:r>
        <w:t xml:space="preserve">Mechanism-class and indication-specific benchmarks (e.g., CNS vs non-CNS, small-molecule vs biologic)</w:t>
      </w:r>
    </w:p>
    <w:p>
      <w:pPr>
        <w:pStyle w:val="ListParagraph"/>
        <w:numPr>
          <w:ilvl w:val="0"/>
          <w:numId w:val="2"/>
        </w:numPr>
        <w:spacing w:after="40"/>
      </w:pPr>
      <w:r>
        <w:t xml:space="preserve">Competitive program clinical data (retreated from Stage 1)</w:t>
      </w:r>
    </w:p>
    <w:p>
      <w:pPr>
        <w:spacing w:after="80" w:before="120"/>
      </w:pPr>
      <w:r>
        <w:rPr>
          <w:b/>
          <w:bCs/>
        </w:rPr>
        <w:t xml:space="preserve">Tools &amp; Databases Called:</w:t>
      </w:r>
    </w:p>
    <w:p>
      <w:pPr>
        <w:pStyle w:val="ListParagraph"/>
        <w:numPr>
          <w:ilvl w:val="0"/>
          <w:numId w:val="2"/>
        </w:numPr>
        <w:spacing w:after="40"/>
      </w:pPr>
      <w:r>
        <w:rPr>
          <w:b/>
          <w:bCs/>
        </w:rPr>
        <w:t xml:space="preserve">PoS Attribution Engine — </w:t>
      </w:r>
      <w:r>
        <w:t xml:space="preserve">Assign success rates based on stage, mechanism, and indication class</w:t>
      </w:r>
    </w:p>
    <w:p>
      <w:pPr>
        <w:pStyle w:val="ListParagraph"/>
        <w:numPr>
          <w:ilvl w:val="0"/>
          <w:numId w:val="2"/>
        </w:numPr>
        <w:spacing w:after="40"/>
      </w:pPr>
      <w:r>
        <w:rPr>
          <w:b/>
          <w:bCs/>
        </w:rPr>
        <w:t xml:space="preserve">Bayesian updating — </w:t>
      </w:r>
      <w:r>
        <w:t xml:space="preserve">Adjust published benchmarks using internal Sapphire validation evidence</w:t>
      </w:r>
    </w:p>
    <w:p>
      <w:pPr>
        <w:pStyle w:val="ListParagraph"/>
        <w:numPr>
          <w:ilvl w:val="0"/>
          <w:numId w:val="2"/>
        </w:numPr>
        <w:spacing w:after="40"/>
      </w:pPr>
      <w:r>
        <w:rPr>
          <w:b/>
          <w:bCs/>
        </w:rPr>
        <w:t xml:space="preserve">Competitor benchmarking — </w:t>
      </w:r>
      <w:r>
        <w:t xml:space="preserve">Infer PoS by analogy to clinical data from competing programs</w:t>
      </w:r>
    </w:p>
    <w:p>
      <w:pPr>
        <w:pStyle w:val="ListParagraph"/>
        <w:numPr>
          <w:ilvl w:val="0"/>
          <w:numId w:val="2"/>
        </w:numPr>
        <w:spacing w:after="40"/>
      </w:pPr>
      <w:r>
        <w:rPr>
          <w:b/>
          <w:bCs/>
        </w:rPr>
        <w:t xml:space="preserve">Sensitivity analysis — </w:t>
      </w:r>
      <w:r>
        <w:t xml:space="preserve">Compute PoS confidence intervals and identify key assumptions</w:t>
      </w:r>
    </w:p>
    <w:p>
      <w:pPr>
        <w:spacing w:after="80" w:before="120"/>
      </w:pPr>
      <w:r>
        <w:rPr>
          <w:b/>
          <w:bCs/>
        </w:rPr>
        <w:t xml:space="preserve">Exemplary Sub-Prompts:</w:t>
      </w:r>
    </w:p>
    <w:p>
      <w:pPr>
        <w:pStyle w:val="ListParagraph"/>
        <w:numPr>
          <w:ilvl w:val="0"/>
          <w:numId w:val="2"/>
        </w:numPr>
        <w:spacing w:after="40"/>
      </w:pPr>
      <w:r>
        <w:t xml:space="preserve">What is the baseline Phase 1 → Phase 2 success rate for CNS small molecules?</w:t>
      </w:r>
    </w:p>
    <w:p>
      <w:pPr>
        <w:pStyle w:val="ListParagraph"/>
        <w:numPr>
          <w:ilvl w:val="0"/>
          <w:numId w:val="2"/>
        </w:numPr>
        <w:spacing w:after="40"/>
      </w:pPr>
      <w:r>
        <w:t xml:space="preserve">How much does a high Sapphire validation score improve PoS relative to discovery-stage programs?</w:t>
      </w:r>
    </w:p>
    <w:p>
      <w:pPr>
        <w:pStyle w:val="ListParagraph"/>
        <w:numPr>
          <w:ilvl w:val="0"/>
          <w:numId w:val="2"/>
        </w:numPr>
        <w:spacing w:after="40"/>
      </w:pPr>
      <w:r>
        <w:t xml:space="preserve">If a competing program reported positive Phase 2 efficacy for a similar target, what PoS should we assign?</w:t>
      </w:r>
    </w:p>
    <w:p>
      <w:pPr>
        <w:pStyle w:val="ListParagraph"/>
        <w:numPr>
          <w:ilvl w:val="0"/>
          <w:numId w:val="2"/>
        </w:numPr>
        <w:spacing w:after="40"/>
      </w:pPr>
      <w:r>
        <w:t xml:space="preserve">What is the cumulative PoS from current stage to regulatory approval?</w:t>
      </w:r>
    </w:p>
    <w:p>
      <w:pPr>
        <w:spacing w:after="80" w:before="120"/>
      </w:pPr>
      <w:r>
        <w:rPr>
          <w:b/>
          <w:bCs/>
        </w:rPr>
        <w:t xml:space="preserve">Expected Outputs:</w:t>
      </w:r>
    </w:p>
    <w:p>
      <w:pPr>
        <w:pStyle w:val="ListParagraph"/>
        <w:numPr>
          <w:ilvl w:val="0"/>
          <w:numId w:val="2"/>
        </w:numPr>
        <w:spacing w:after="40"/>
      </w:pPr>
      <w:r>
        <w:t xml:space="preserve">PoS attribution table: [Program, Stage, Base PoS (industry benchmark), Sapphire uplift/downside, Adjusted PoS, Confidence interval]</w:t>
      </w:r>
    </w:p>
    <w:p>
      <w:pPr>
        <w:pStyle w:val="ListParagraph"/>
        <w:numPr>
          <w:ilvl w:val="0"/>
          <w:numId w:val="2"/>
        </w:numPr>
        <w:spacing w:after="40"/>
      </w:pPr>
      <w:r>
        <w:t xml:space="preserve">Stage-transition PoS: [Program, Phase 1→2 PoS, Phase 2→3 PoS, Phase 3→NDA PoS, Total approval PoS]</w:t>
      </w:r>
    </w:p>
    <w:p>
      <w:pPr>
        <w:pStyle w:val="ListParagraph"/>
        <w:numPr>
          <w:ilvl w:val="0"/>
          <w:numId w:val="2"/>
        </w:numPr>
        <w:spacing w:after="40"/>
      </w:pPr>
      <w:r>
        <w:t xml:space="preserve">Sensitivity analysis: [Key assumptions, PoS if assumption optimistic/pessimistic (±10%, ±20%), Impact magnitude]</w:t>
      </w:r>
    </w:p>
    <w:p>
      <w:pPr>
        <w:spacing w:after="120" w:before="120"/>
      </w:pPr>
      <w:r>
        <w:rPr>
          <w:b/>
          <w:bCs/>
        </w:rPr>
        <w:t xml:space="preserve">Format: </w:t>
      </w:r>
      <w:r>
        <w:t xml:space="preserve">Structured JSON or CSV with standardized field names.</w:t>
      </w:r>
    </w:p>
    <w:p>
      <w:pPr>
        <w:pStyle w:val="Heading2"/>
        <w:spacing w:after="200" w:before="200"/>
      </w:pPr>
      <w:r>
        <w:t xml:space="preserve">Stage 4: Development Timeline &amp; Cost Estimation</w:t>
      </w:r>
    </w:p>
    <w:p>
      <w:pPr>
        <w:spacing w:after="120"/>
      </w:pPr>
      <w:r>
        <w:rPr>
          <w:b/>
          <w:bCs/>
        </w:rPr>
        <w:t xml:space="preserve">Purpose: </w:t>
      </w:r>
      <w:r>
        <w:t xml:space="preserve">Estimate program-specific development timelines (from current stage to NDA), clinical trial costs, manufacturing scale-up, and regulatory fees based on program characteristics and phase-specific benchmarks.</w:t>
      </w:r>
    </w:p>
    <w:p>
      <w:pPr>
        <w:spacing w:after="80"/>
      </w:pPr>
      <w:r>
        <w:rPr>
          <w:b/>
          <w:bCs/>
        </w:rPr>
        <w:t xml:space="preserve">Inputs:</w:t>
      </w:r>
    </w:p>
    <w:p>
      <w:pPr>
        <w:pStyle w:val="ListParagraph"/>
        <w:numPr>
          <w:ilvl w:val="0"/>
          <w:numId w:val="2"/>
        </w:numPr>
        <w:spacing w:after="40"/>
      </w:pPr>
      <w:r>
        <w:t xml:space="preserve">Program stage and indication from Stage 1</w:t>
      </w:r>
    </w:p>
    <w:p>
      <w:pPr>
        <w:pStyle w:val="ListParagraph"/>
        <w:numPr>
          <w:ilvl w:val="0"/>
          <w:numId w:val="2"/>
        </w:numPr>
        <w:spacing w:after="40"/>
      </w:pPr>
      <w:r>
        <w:t xml:space="preserve">Sapphire validation confidence from Stage 2 (may accelerate early development)</w:t>
      </w:r>
    </w:p>
    <w:p>
      <w:pPr>
        <w:pStyle w:val="ListParagraph"/>
        <w:numPr>
          <w:ilvl w:val="0"/>
          <w:numId w:val="2"/>
        </w:numPr>
        <w:spacing w:after="40"/>
      </w:pPr>
      <w:r>
        <w:t xml:space="preserve">Published development cost and timeline benchmarks (Tufts Center, BioPharma surveys)</w:t>
      </w:r>
    </w:p>
    <w:p>
      <w:pPr>
        <w:pStyle w:val="ListParagraph"/>
        <w:numPr>
          <w:ilvl w:val="0"/>
          <w:numId w:val="2"/>
        </w:numPr>
        <w:spacing w:after="40"/>
      </w:pPr>
      <w:r>
        <w:t xml:space="preserve">Mechanism and formulation complexity assessments</w:t>
      </w:r>
    </w:p>
    <w:p>
      <w:pPr>
        <w:spacing w:after="80" w:before="120"/>
      </w:pPr>
      <w:r>
        <w:rPr>
          <w:b/>
          <w:bCs/>
        </w:rPr>
        <w:t xml:space="preserve">Tools &amp; Databases Called:</w:t>
      </w:r>
    </w:p>
    <w:p>
      <w:pPr>
        <w:pStyle w:val="ListParagraph"/>
        <w:numPr>
          <w:ilvl w:val="0"/>
          <w:numId w:val="2"/>
        </w:numPr>
        <w:spacing w:after="40"/>
      </w:pPr>
      <w:r>
        <w:rPr>
          <w:b/>
          <w:bCs/>
        </w:rPr>
        <w:t xml:space="preserve">Development Cost Model — </w:t>
      </w:r>
      <w:r>
        <w:t xml:space="preserve">Estimate phase-specific costs (IND, Phase 1, 2, 3) based on stage and indication</w:t>
      </w:r>
    </w:p>
    <w:p>
      <w:pPr>
        <w:pStyle w:val="ListParagraph"/>
        <w:numPr>
          <w:ilvl w:val="0"/>
          <w:numId w:val="2"/>
        </w:numPr>
        <w:spacing w:after="40"/>
      </w:pPr>
      <w:r>
        <w:rPr>
          <w:b/>
          <w:bCs/>
        </w:rPr>
        <w:t xml:space="preserve">Timeline Estimator — </w:t>
      </w:r>
      <w:r>
        <w:t xml:space="preserve">Predict duration of each development phase with confidence intervals</w:t>
      </w:r>
    </w:p>
    <w:p>
      <w:pPr>
        <w:pStyle w:val="ListParagraph"/>
        <w:numPr>
          <w:ilvl w:val="0"/>
          <w:numId w:val="2"/>
        </w:numPr>
        <w:spacing w:after="40"/>
      </w:pPr>
      <w:r>
        <w:rPr>
          <w:b/>
          <w:bCs/>
        </w:rPr>
        <w:t xml:space="preserve">Sensitivity tools — </w:t>
      </w:r>
      <w:r>
        <w:t xml:space="preserve">Adjust costs/timelines for program complexity or Sapphire de-risking</w:t>
      </w:r>
    </w:p>
    <w:p>
      <w:pPr>
        <w:pStyle w:val="ListParagraph"/>
        <w:numPr>
          <w:ilvl w:val="0"/>
          <w:numId w:val="2"/>
        </w:numPr>
        <w:spacing w:after="40"/>
      </w:pPr>
      <w:r>
        <w:rPr>
          <w:b/>
          <w:bCs/>
        </w:rPr>
        <w:t xml:space="preserve">Comparative benchmarks — </w:t>
      </w:r>
      <w:r>
        <w:t xml:space="preserve">Cross-check estimates against analogous programs in public databases</w:t>
      </w:r>
    </w:p>
    <w:p>
      <w:pPr>
        <w:spacing w:after="80" w:before="120"/>
      </w:pPr>
      <w:r>
        <w:rPr>
          <w:b/>
          <w:bCs/>
        </w:rPr>
        <w:t xml:space="preserve">Exemplary Sub-Prompts:</w:t>
      </w:r>
    </w:p>
    <w:p>
      <w:pPr>
        <w:pStyle w:val="ListParagraph"/>
        <w:numPr>
          <w:ilvl w:val="0"/>
          <w:numId w:val="2"/>
        </w:numPr>
        <w:spacing w:after="40"/>
      </w:pPr>
      <w:r>
        <w:t xml:space="preserve">What is the baseline Phase 2 → Phase 3 cost for a CNS indication (patient count, visit frequency, biomarker requirements)?</w:t>
      </w:r>
    </w:p>
    <w:p>
      <w:pPr>
        <w:pStyle w:val="ListParagraph"/>
        <w:numPr>
          <w:ilvl w:val="0"/>
          <w:numId w:val="2"/>
        </w:numPr>
        <w:spacing w:after="40"/>
      </w:pPr>
      <w:r>
        <w:t xml:space="preserve">How much can Sapphire validation de-risk and accelerate early-phase timelines?</w:t>
      </w:r>
    </w:p>
    <w:p>
      <w:pPr>
        <w:pStyle w:val="ListParagraph"/>
        <w:numPr>
          <w:ilvl w:val="0"/>
          <w:numId w:val="2"/>
        </w:numPr>
        <w:spacing w:after="40"/>
      </w:pPr>
      <w:r>
        <w:t xml:space="preserve">What is the manufacturing and supply chain cost for scale-up post-Phase 2?</w:t>
      </w:r>
    </w:p>
    <w:p>
      <w:pPr>
        <w:pStyle w:val="ListParagraph"/>
        <w:numPr>
          <w:ilvl w:val="0"/>
          <w:numId w:val="2"/>
        </w:numPr>
        <w:spacing w:after="40"/>
      </w:pPr>
      <w:r>
        <w:t xml:space="preserve">Are there regulatory pathways (fast track, breakthrough designation) that shorten timeline?</w:t>
      </w:r>
    </w:p>
    <w:p>
      <w:pPr>
        <w:spacing w:after="80" w:before="120"/>
      </w:pPr>
      <w:r>
        <w:rPr>
          <w:b/>
          <w:bCs/>
        </w:rPr>
        <w:t xml:space="preserve">Expected Outputs:</w:t>
      </w:r>
    </w:p>
    <w:p>
      <w:pPr>
        <w:pStyle w:val="ListParagraph"/>
        <w:numPr>
          <w:ilvl w:val="0"/>
          <w:numId w:val="2"/>
        </w:numPr>
        <w:spacing w:after="40"/>
      </w:pPr>
      <w:r>
        <w:t xml:space="preserve">Timeline estimate: [Program, Current stage, IND→Phase 1 (months), Phase 1→2, Phase 2→3, Phase 3→NDA, Total to approval]</w:t>
      </w:r>
    </w:p>
    <w:p>
      <w:pPr>
        <w:pStyle w:val="ListParagraph"/>
        <w:numPr>
          <w:ilvl w:val="0"/>
          <w:numId w:val="2"/>
        </w:numPr>
        <w:spacing w:after="40"/>
      </w:pPr>
      <w:r>
        <w:t xml:space="preserve">Cost breakdown: [Program, IND costs, Phase 1–3 costs per phase, Manufacturing/supply, Regulatory/admin, Total R&amp;D cost]</w:t>
      </w:r>
    </w:p>
    <w:p>
      <w:pPr>
        <w:pStyle w:val="ListParagraph"/>
        <w:numPr>
          <w:ilvl w:val="0"/>
          <w:numId w:val="2"/>
        </w:numPr>
        <w:spacing w:after="40"/>
      </w:pPr>
      <w:r>
        <w:t xml:space="preserve">Scenario analysis: [Optimistic (faster trial, lower costs), Base case, Pessimistic (delays, cost overruns)]</w:t>
      </w:r>
    </w:p>
    <w:p>
      <w:pPr>
        <w:spacing w:after="120" w:before="120"/>
      </w:pPr>
      <w:r>
        <w:rPr>
          <w:b/>
          <w:bCs/>
        </w:rPr>
        <w:t xml:space="preserve">Format: </w:t>
      </w:r>
      <w:r>
        <w:t xml:space="preserve">Structured JSON or CSV with standardized field names.</w:t>
      </w:r>
    </w:p>
    <w:p>
      <w:pPr>
        <w:pStyle w:val="Heading2"/>
        <w:spacing w:after="200" w:before="200"/>
      </w:pPr>
      <w:r>
        <w:t xml:space="preserve">Stage 5: Market Sizing &amp; Revenue Projections</w:t>
      </w:r>
    </w:p>
    <w:p>
      <w:pPr>
        <w:spacing w:after="120"/>
      </w:pPr>
      <w:r>
        <w:rPr>
          <w:b/>
          <w:bCs/>
        </w:rPr>
        <w:t xml:space="preserve">Purpose: </w:t>
      </w:r>
      <w:r>
        <w:t xml:space="preserve">Estimate addressable patient population, market size, expected market share, and revenue projections for each indication and approved program.</w:t>
      </w:r>
    </w:p>
    <w:p>
      <w:pPr>
        <w:spacing w:after="80"/>
      </w:pPr>
      <w:r>
        <w:rPr>
          <w:b/>
          <w:bCs/>
        </w:rPr>
        <w:t xml:space="preserve">Inputs:</w:t>
      </w:r>
    </w:p>
    <w:p>
      <w:pPr>
        <w:pStyle w:val="ListParagraph"/>
        <w:numPr>
          <w:ilvl w:val="0"/>
          <w:numId w:val="2"/>
        </w:numPr>
        <w:spacing w:after="40"/>
      </w:pPr>
      <w:r>
        <w:t xml:space="preserve">Indication characteristics (prevalence, diagnosed prevalence, target patient populations)</w:t>
      </w:r>
    </w:p>
    <w:p>
      <w:pPr>
        <w:pStyle w:val="ListParagraph"/>
        <w:numPr>
          <w:ilvl w:val="0"/>
          <w:numId w:val="2"/>
        </w:numPr>
        <w:spacing w:after="40"/>
      </w:pPr>
      <w:r>
        <w:t xml:space="preserve">Competitive program market share estimates from Stage 1</w:t>
      </w:r>
    </w:p>
    <w:p>
      <w:pPr>
        <w:pStyle w:val="ListParagraph"/>
        <w:numPr>
          <w:ilvl w:val="0"/>
          <w:numId w:val="2"/>
        </w:numPr>
        <w:spacing w:after="40"/>
      </w:pPr>
      <w:r>
        <w:t xml:space="preserve">Pricing benchmarks for comparable CNS therapies</w:t>
      </w:r>
    </w:p>
    <w:p>
      <w:pPr>
        <w:pStyle w:val="ListParagraph"/>
        <w:numPr>
          <w:ilvl w:val="0"/>
          <w:numId w:val="2"/>
        </w:numPr>
        <w:spacing w:after="40"/>
      </w:pPr>
      <w:r>
        <w:t xml:space="preserve">Reimbursement and payer landscape assessments</w:t>
      </w:r>
    </w:p>
    <w:p>
      <w:pPr>
        <w:spacing w:after="80" w:before="120"/>
      </w:pPr>
      <w:r>
        <w:rPr>
          <w:b/>
          <w:bCs/>
        </w:rPr>
        <w:t xml:space="preserve">Tools &amp; Databases Called:</w:t>
      </w:r>
    </w:p>
    <w:p>
      <w:pPr>
        <w:pStyle w:val="ListParagraph"/>
        <w:numPr>
          <w:ilvl w:val="0"/>
          <w:numId w:val="2"/>
        </w:numPr>
        <w:spacing w:after="40"/>
      </w:pPr>
      <w:r>
        <w:rPr>
          <w:b/>
          <w:bCs/>
        </w:rPr>
        <w:t xml:space="preserve">Disease epidemiology databases (GBD, NIH, WHO) — </w:t>
      </w:r>
      <w:r>
        <w:t xml:space="preserve">Retrieve patient population estimates</w:t>
      </w:r>
    </w:p>
    <w:p>
      <w:pPr>
        <w:pStyle w:val="ListParagraph"/>
        <w:numPr>
          <w:ilvl w:val="0"/>
          <w:numId w:val="2"/>
        </w:numPr>
        <w:spacing w:after="40"/>
      </w:pPr>
      <w:r>
        <w:rPr>
          <w:b/>
          <w:bCs/>
        </w:rPr>
        <w:t xml:space="preserve">Pharmaceutical market sizing tools (IQVIA, Evaluate Pharma) — </w:t>
      </w:r>
      <w:r>
        <w:t xml:space="preserve">Benchmarks for indication market size</w:t>
      </w:r>
    </w:p>
    <w:p>
      <w:pPr>
        <w:pStyle w:val="ListParagraph"/>
        <w:numPr>
          <w:ilvl w:val="0"/>
          <w:numId w:val="2"/>
        </w:numPr>
        <w:spacing w:after="40"/>
      </w:pPr>
      <w:r>
        <w:rPr>
          <w:b/>
          <w:bCs/>
        </w:rPr>
        <w:t xml:space="preserve">Pricing models — </w:t>
      </w:r>
      <w:r>
        <w:t xml:space="preserve">Estimate therapy price based on mechanism, competitive positioning, and health economics data</w:t>
      </w:r>
    </w:p>
    <w:p>
      <w:pPr>
        <w:pStyle w:val="ListParagraph"/>
        <w:numPr>
          <w:ilvl w:val="0"/>
          <w:numId w:val="2"/>
        </w:numPr>
        <w:spacing w:after="40"/>
      </w:pPr>
      <w:r>
        <w:rPr>
          <w:b/>
          <w:bCs/>
        </w:rPr>
        <w:t xml:space="preserve">Market penetration models — </w:t>
      </w:r>
      <w:r>
        <w:t xml:space="preserve">Forecast uptake trajectory and market share over launch + 10 years</w:t>
      </w:r>
    </w:p>
    <w:p>
      <w:pPr>
        <w:spacing w:after="80" w:before="120"/>
      </w:pPr>
      <w:r>
        <w:rPr>
          <w:b/>
          <w:bCs/>
        </w:rPr>
        <w:t xml:space="preserve">Exemplary Sub-Prompts:</w:t>
      </w:r>
    </w:p>
    <w:p>
      <w:pPr>
        <w:pStyle w:val="ListParagraph"/>
        <w:numPr>
          <w:ilvl w:val="0"/>
          <w:numId w:val="2"/>
        </w:numPr>
        <w:spacing w:after="40"/>
      </w:pPr>
      <w:r>
        <w:t xml:space="preserve">What is the total addressable market (TAM) for indication X in US/EU/RoW?</w:t>
      </w:r>
    </w:p>
    <w:p>
      <w:pPr>
        <w:pStyle w:val="ListParagraph"/>
        <w:numPr>
          <w:ilvl w:val="0"/>
          <w:numId w:val="2"/>
        </w:numPr>
        <w:spacing w:after="40"/>
      </w:pPr>
      <w:r>
        <w:t xml:space="preserve">Given 5 competitors in the market, what is reasonable market share for an efficacious new entrant?</w:t>
      </w:r>
    </w:p>
    <w:p>
      <w:pPr>
        <w:pStyle w:val="ListParagraph"/>
        <w:numPr>
          <w:ilvl w:val="0"/>
          <w:numId w:val="2"/>
        </w:numPr>
        <w:spacing w:after="40"/>
      </w:pPr>
      <w:r>
        <w:t xml:space="preserve">What pricing is supportable by payers for a CNS indication based on health economics?</w:t>
      </w:r>
    </w:p>
    <w:p>
      <w:pPr>
        <w:pStyle w:val="ListParagraph"/>
        <w:numPr>
          <w:ilvl w:val="0"/>
          <w:numId w:val="2"/>
        </w:numPr>
        <w:spacing w:after="40"/>
      </w:pPr>
      <w:r>
        <w:t xml:space="preserve">What is the peak sales potential and time to peak (5, 10, 15 years)?</w:t>
      </w:r>
    </w:p>
    <w:p>
      <w:pPr>
        <w:spacing w:after="80" w:before="120"/>
      </w:pPr>
      <w:r>
        <w:rPr>
          <w:b/>
          <w:bCs/>
        </w:rPr>
        <w:t xml:space="preserve">Expected Outputs:</w:t>
      </w:r>
    </w:p>
    <w:p>
      <w:pPr>
        <w:pStyle w:val="ListParagraph"/>
        <w:numPr>
          <w:ilvl w:val="0"/>
          <w:numId w:val="2"/>
        </w:numPr>
        <w:spacing w:after="40"/>
      </w:pPr>
      <w:r>
        <w:t xml:space="preserve">Market sizing: [Indication, Target population (US/EU/RoW), TAM ($B), Estimated market share (%), Program peak sales ($M)]</w:t>
      </w:r>
    </w:p>
    <w:p>
      <w:pPr>
        <w:pStyle w:val="ListParagraph"/>
        <w:numPr>
          <w:ilvl w:val="0"/>
          <w:numId w:val="2"/>
        </w:numPr>
        <w:spacing w:after="40"/>
      </w:pPr>
      <w:r>
        <w:t xml:space="preserve">Revenue projection: [Year 1–3 (ramp-up), Year 4–10 (peak years), Year 11+ (decline), Present value of cash flows at discount rate]</w:t>
      </w:r>
    </w:p>
    <w:p>
      <w:pPr>
        <w:pStyle w:val="ListParagraph"/>
        <w:numPr>
          <w:ilvl w:val="0"/>
          <w:numId w:val="2"/>
        </w:numPr>
        <w:spacing w:after="40"/>
      </w:pPr>
      <w:r>
        <w:t xml:space="preserve">Sensitivity analysis: [Market share ±20%, Price ±10%, Adoption rate optimistic/pessimistic scenarios]</w:t>
      </w:r>
    </w:p>
    <w:p>
      <w:pPr>
        <w:spacing w:after="120" w:before="120"/>
      </w:pPr>
      <w:r>
        <w:rPr>
          <w:b/>
          <w:bCs/>
        </w:rPr>
        <w:t xml:space="preserve">Format: </w:t>
      </w:r>
      <w:r>
        <w:t xml:space="preserve">Structured JSON or CSV with standardized field names.</w:t>
      </w:r>
    </w:p>
    <w:p>
      <w:pPr>
        <w:pStyle w:val="Heading2"/>
        <w:spacing w:after="200" w:before="200"/>
      </w:pPr>
      <w:r>
        <w:t xml:space="preserve">Stage 6: Net Present Value (NPV) Calculation &amp; Portfolio Ranking</w:t>
      </w:r>
    </w:p>
    <w:p>
      <w:pPr>
        <w:spacing w:after="120"/>
      </w:pPr>
      <w:r>
        <w:rPr>
          <w:b/>
          <w:bCs/>
        </w:rPr>
        <w:t xml:space="preserve">Purpose: </w:t>
      </w:r>
      <w:r>
        <w:t xml:space="preserve">Integrate all cash flow components (R&amp;D costs, launch timing, peak sales, PoS at each phase) to compute probability-adjusted NPV (rNPV) for each program; rank and produce portfolio-level recommendations.</w:t>
      </w:r>
    </w:p>
    <w:p>
      <w:pPr>
        <w:spacing w:after="80"/>
      </w:pPr>
      <w:r>
        <w:rPr>
          <w:b/>
          <w:bCs/>
        </w:rPr>
        <w:t xml:space="preserve">Inputs:</w:t>
      </w:r>
    </w:p>
    <w:p>
      <w:pPr>
        <w:pStyle w:val="ListParagraph"/>
        <w:numPr>
          <w:ilvl w:val="0"/>
          <w:numId w:val="2"/>
        </w:numPr>
        <w:spacing w:after="40"/>
      </w:pPr>
      <w:r>
        <w:t xml:space="preserve">Development costs and timelines from Stage 4</w:t>
      </w:r>
    </w:p>
    <w:p>
      <w:pPr>
        <w:pStyle w:val="ListParagraph"/>
        <w:numPr>
          <w:ilvl w:val="0"/>
          <w:numId w:val="2"/>
        </w:numPr>
        <w:spacing w:after="40"/>
      </w:pPr>
      <w:r>
        <w:t xml:space="preserve">Peak sales and revenue projections from Stage 5</w:t>
      </w:r>
    </w:p>
    <w:p>
      <w:pPr>
        <w:pStyle w:val="ListParagraph"/>
        <w:numPr>
          <w:ilvl w:val="0"/>
          <w:numId w:val="2"/>
        </w:numPr>
        <w:spacing w:after="40"/>
      </w:pPr>
      <w:r>
        <w:t xml:space="preserve">Stage-specific PoS from Stage 3</w:t>
      </w:r>
    </w:p>
    <w:p>
      <w:pPr>
        <w:pStyle w:val="ListParagraph"/>
        <w:numPr>
          <w:ilvl w:val="0"/>
          <w:numId w:val="2"/>
        </w:numPr>
        <w:spacing w:after="40"/>
      </w:pPr>
      <w:r>
        <w:t xml:space="preserve">Company discount rate and capital allocation parameters</w:t>
      </w:r>
    </w:p>
    <w:p>
      <w:pPr>
        <w:pStyle w:val="ListParagraph"/>
        <w:numPr>
          <w:ilvl w:val="0"/>
          <w:numId w:val="2"/>
        </w:numPr>
        <w:spacing w:after="40"/>
      </w:pPr>
      <w:r>
        <w:t xml:space="preserve">Program interdependencies and portfolio constraints</w:t>
      </w:r>
    </w:p>
    <w:p>
      <w:pPr>
        <w:spacing w:after="80" w:before="120"/>
      </w:pPr>
      <w:r>
        <w:rPr>
          <w:b/>
          <w:bCs/>
        </w:rPr>
        <w:t xml:space="preserve">Tools &amp; Databases Called:</w:t>
      </w:r>
    </w:p>
    <w:p>
      <w:pPr>
        <w:pStyle w:val="ListParagraph"/>
        <w:numPr>
          <w:ilvl w:val="0"/>
          <w:numId w:val="2"/>
        </w:numPr>
        <w:spacing w:after="40"/>
      </w:pPr>
      <w:r>
        <w:rPr>
          <w:b/>
          <w:bCs/>
        </w:rPr>
        <w:t xml:space="preserve">NPV Calculator — </w:t>
      </w:r>
      <w:r>
        <w:t xml:space="preserve">Compute time-discounted cash flows, probability-weight by PoS, integrate phases</w:t>
      </w:r>
    </w:p>
    <w:p>
      <w:pPr>
        <w:pStyle w:val="ListParagraph"/>
        <w:numPr>
          <w:ilvl w:val="0"/>
          <w:numId w:val="2"/>
        </w:numPr>
        <w:spacing w:after="40"/>
      </w:pPr>
      <w:r>
        <w:rPr>
          <w:b/>
          <w:bCs/>
        </w:rPr>
        <w:t xml:space="preserve">Scenario Monte Carlo simulator — </w:t>
      </w:r>
      <w:r>
        <w:t xml:space="preserve">Sample across uncertain parameters (PoS, costs, sales); compute NPV distribution</w:t>
      </w:r>
    </w:p>
    <w:p>
      <w:pPr>
        <w:pStyle w:val="ListParagraph"/>
        <w:numPr>
          <w:ilvl w:val="0"/>
          <w:numId w:val="2"/>
        </w:numPr>
        <w:spacing w:after="40"/>
      </w:pPr>
      <w:r>
        <w:rPr>
          <w:b/>
          <w:bCs/>
        </w:rPr>
        <w:t xml:space="preserve">Portfolio Optimizer — </w:t>
      </w:r>
      <w:r>
        <w:t xml:space="preserve">Rank programs by rNPV; identify optimal subset under capital and resource constraints</w:t>
      </w:r>
    </w:p>
    <w:p>
      <w:pPr>
        <w:pStyle w:val="ListParagraph"/>
        <w:numPr>
          <w:ilvl w:val="0"/>
          <w:numId w:val="2"/>
        </w:numPr>
        <w:spacing w:after="40"/>
      </w:pPr>
      <w:r>
        <w:rPr>
          <w:b/>
          <w:bCs/>
        </w:rPr>
        <w:t xml:space="preserve">Sensitivity dashboard — </w:t>
      </w:r>
      <w:r>
        <w:t xml:space="preserve">Visualize NPV sensitivity to key drivers (PoS, peak sales, cost, discount rate)</w:t>
      </w:r>
    </w:p>
    <w:p>
      <w:pPr>
        <w:spacing w:after="80" w:before="120"/>
      </w:pPr>
      <w:r>
        <w:rPr>
          <w:b/>
          <w:bCs/>
        </w:rPr>
        <w:t xml:space="preserve">Exemplary Sub-Prompts:</w:t>
      </w:r>
    </w:p>
    <w:p>
      <w:pPr>
        <w:pStyle w:val="ListParagraph"/>
        <w:numPr>
          <w:ilvl w:val="0"/>
          <w:numId w:val="2"/>
        </w:numPr>
        <w:spacing w:after="40"/>
      </w:pPr>
      <w:r>
        <w:t xml:space="preserve">What is the expected NPV for each program (assuming current PoS and cost/revenue estimates)?</w:t>
      </w:r>
    </w:p>
    <w:p>
      <w:pPr>
        <w:pStyle w:val="ListParagraph"/>
        <w:numPr>
          <w:ilvl w:val="0"/>
          <w:numId w:val="2"/>
        </w:numPr>
        <w:spacing w:after="40"/>
      </w:pPr>
      <w:r>
        <w:t xml:space="preserve">Which programs have the highest risk-adjusted value and should receive priority funding?</w:t>
      </w:r>
    </w:p>
    <w:p>
      <w:pPr>
        <w:pStyle w:val="ListParagraph"/>
        <w:numPr>
          <w:ilvl w:val="0"/>
          <w:numId w:val="2"/>
        </w:numPr>
        <w:spacing w:after="40"/>
      </w:pPr>
      <w:r>
        <w:t xml:space="preserve">How sensitive is rNPV to PoS changes? (e.g., PoS +10% → NPV change?)</w:t>
      </w:r>
    </w:p>
    <w:p>
      <w:pPr>
        <w:pStyle w:val="ListParagraph"/>
        <w:numPr>
          <w:ilvl w:val="0"/>
          <w:numId w:val="2"/>
        </w:numPr>
        <w:spacing w:after="40"/>
      </w:pPr>
      <w:r>
        <w:t xml:space="preserve">What is the optimal portfolio (top 3, top 5, top 10) that maximizes total NPV within budget constraints?</w:t>
      </w:r>
    </w:p>
    <w:p>
      <w:pPr>
        <w:spacing w:after="80" w:before="120"/>
      </w:pPr>
      <w:r>
        <w:rPr>
          <w:b/>
          <w:bCs/>
        </w:rPr>
        <w:t xml:space="preserve">Expected Outputs:</w:t>
      </w:r>
    </w:p>
    <w:p>
      <w:pPr>
        <w:pStyle w:val="ListParagraph"/>
        <w:numPr>
          <w:ilvl w:val="0"/>
          <w:numId w:val="2"/>
        </w:numPr>
        <w:spacing w:after="40"/>
      </w:pPr>
      <w:r>
        <w:t xml:space="preserve">rNPV ranking: [Rank, Program ID, Target, Indication, rNPV ($M), Confidence interval, Key value drivers]</w:t>
      </w:r>
    </w:p>
    <w:p>
      <w:pPr>
        <w:pStyle w:val="ListParagraph"/>
        <w:numPr>
          <w:ilvl w:val="0"/>
          <w:numId w:val="2"/>
        </w:numPr>
        <w:spacing w:after="40"/>
      </w:pPr>
      <w:r>
        <w:t xml:space="preserve">NPV waterfall: [Program, R&amp;D costs (PV), Peak sales (PV), PoS adjustment, Total rNPV]</w:t>
      </w:r>
    </w:p>
    <w:p>
      <w:pPr>
        <w:pStyle w:val="ListParagraph"/>
        <w:numPr>
          <w:ilvl w:val="0"/>
          <w:numId w:val="2"/>
        </w:numPr>
        <w:spacing w:after="40"/>
      </w:pPr>
      <w:r>
        <w:t xml:space="preserve">Sensitivity tornado chart: [Program, PoS sensitivity, Revenue sensitivity, Cost sensitivity, Discount rate sensitivity]</w:t>
      </w:r>
    </w:p>
    <w:p>
      <w:pPr>
        <w:pStyle w:val="ListParagraph"/>
        <w:numPr>
          <w:ilvl w:val="0"/>
          <w:numId w:val="2"/>
        </w:numPr>
        <w:spacing w:after="40"/>
      </w:pPr>
      <w:r>
        <w:t xml:space="preserve">Scenario summary: [Base case rNPV, Optimistic scenario, Pessimistic scenario, Risk-adjusted recommendation]</w:t>
      </w:r>
    </w:p>
    <w:p>
      <w:pPr>
        <w:spacing w:after="120" w:before="120"/>
      </w:pPr>
      <w:r>
        <w:rPr>
          <w:b/>
          <w:bCs/>
        </w:rPr>
        <w:t xml:space="preserve">Format: </w:t>
      </w:r>
      <w:r>
        <w:t xml:space="preserve">Structured JSON or CSV with standardized field names.</w:t>
      </w:r>
    </w:p>
    <w:p>
      <w:pPr>
        <w:pStyle w:val="Heading2"/>
        <w:spacing w:after="200" w:before="200"/>
      </w:pPr>
      <w:r>
        <w:t xml:space="preserve">Tools &amp; Databases Summary</w:t>
      </w:r>
    </w:p>
    <w:p>
      <w:pPr>
        <w:pStyle w:val="ListParagraph"/>
        <w:numPr>
          <w:ilvl w:val="0"/>
          <w:numId w:val="2"/>
        </w:numPr>
        <w:spacing w:after="40"/>
      </w:pPr>
      <w:r>
        <w:t xml:space="preserve">Sapphire CRISPR Database — 18,000 perturbations with functional validation data</w:t>
      </w:r>
    </w:p>
    <w:p>
      <w:pPr>
        <w:pStyle w:val="ListParagraph"/>
        <w:numPr>
          <w:ilvl w:val="0"/>
          <w:numId w:val="2"/>
        </w:numPr>
        <w:spacing w:after="40"/>
      </w:pPr>
      <w:r>
        <w:t xml:space="preserve">Sapphire PortfolioManager — Program definitions, stage classifications, and internal project metadata</w:t>
      </w:r>
    </w:p>
    <w:p>
      <w:pPr>
        <w:pStyle w:val="ListParagraph"/>
        <w:numPr>
          <w:ilvl w:val="0"/>
          <w:numId w:val="2"/>
        </w:numPr>
        <w:spacing w:after="40"/>
      </w:pPr>
      <w:r>
        <w:t xml:space="preserve">Competitive Intelligence Platform (Cortellis, Elsevier, in-house) — Competitive program mapping and intelligence</w:t>
      </w:r>
    </w:p>
    <w:p>
      <w:pPr>
        <w:pStyle w:val="ListParagraph"/>
        <w:numPr>
          <w:ilvl w:val="0"/>
          <w:numId w:val="2"/>
        </w:numPr>
        <w:spacing w:after="40"/>
      </w:pPr>
      <w:r>
        <w:t xml:space="preserve">ClinicalTrials.gov API — Active trial metadata and competitor clinical progress tracking</w:t>
      </w:r>
    </w:p>
    <w:p>
      <w:pPr>
        <w:pStyle w:val="ListParagraph"/>
        <w:numPr>
          <w:ilvl w:val="0"/>
          <w:numId w:val="2"/>
        </w:numPr>
        <w:spacing w:after="40"/>
      </w:pPr>
      <w:r>
        <w:t xml:space="preserve">Patent Databases (USPTO, EMA) — Patent landscape and freedom-to-operate assessment</w:t>
      </w:r>
    </w:p>
    <w:p>
      <w:pPr>
        <w:pStyle w:val="ListParagraph"/>
        <w:numPr>
          <w:ilvl w:val="0"/>
          <w:numId w:val="2"/>
        </w:numPr>
        <w:spacing w:after="40"/>
      </w:pPr>
      <w:r>
        <w:t xml:space="preserve">News &amp; press release aggregators — Competitive milestones and announcements</w:t>
      </w:r>
    </w:p>
    <w:p>
      <w:pPr>
        <w:pStyle w:val="ListParagraph"/>
        <w:numPr>
          <w:ilvl w:val="0"/>
          <w:numId w:val="2"/>
        </w:numPr>
        <w:spacing w:after="40"/>
      </w:pPr>
      <w:r>
        <w:t xml:space="preserve">Sapphire ValidationScorer — EP phenotype aggregation and target tractability scoring</w:t>
      </w:r>
    </w:p>
    <w:p>
      <w:pPr>
        <w:pStyle w:val="ListParagraph"/>
        <w:numPr>
          <w:ilvl w:val="0"/>
          <w:numId w:val="2"/>
        </w:numPr>
        <w:spacing w:after="40"/>
      </w:pPr>
      <w:r>
        <w:t xml:space="preserve">EphysAnalysis — Selectivity and phenotype specificity metrics</w:t>
      </w:r>
    </w:p>
    <w:p>
      <w:pPr>
        <w:pStyle w:val="ListParagraph"/>
        <w:numPr>
          <w:ilvl w:val="0"/>
          <w:numId w:val="2"/>
        </w:numPr>
        <w:spacing w:after="40"/>
      </w:pPr>
      <w:r>
        <w:t xml:space="preserve">Off-target prediction tools (ChEMBL, Papyrus) — Off-target safety liability screening</w:t>
      </w:r>
    </w:p>
    <w:p>
      <w:pPr>
        <w:pStyle w:val="ListParagraph"/>
        <w:numPr>
          <w:ilvl w:val="0"/>
          <w:numId w:val="2"/>
        </w:numPr>
        <w:spacing w:after="40"/>
      </w:pPr>
      <w:r>
        <w:t xml:space="preserve">ADME prediction (pkCSM, SwissADME) — Drug-like properties and pharmacokinetics assessment</w:t>
      </w:r>
    </w:p>
    <w:p>
      <w:pPr>
        <w:pStyle w:val="ListParagraph"/>
        <w:numPr>
          <w:ilvl w:val="0"/>
          <w:numId w:val="2"/>
        </w:numPr>
        <w:spacing w:after="40"/>
      </w:pPr>
      <w:r>
        <w:t xml:space="preserve">Tufts Center, BioPharma Dive, industry databases — Clinical success rate benchmarks</w:t>
      </w:r>
    </w:p>
    <w:p>
      <w:pPr>
        <w:pStyle w:val="ListParagraph"/>
        <w:numPr>
          <w:ilvl w:val="0"/>
          <w:numId w:val="2"/>
        </w:numPr>
        <w:spacing w:after="40"/>
      </w:pPr>
      <w:r>
        <w:t xml:space="preserve">PoS Attribution Engine — Stage, mechanism, and indication-specific success rate assignment</w:t>
      </w:r>
    </w:p>
    <w:p>
      <w:pPr>
        <w:pStyle w:val="ListParagraph"/>
        <w:numPr>
          <w:ilvl w:val="0"/>
          <w:numId w:val="2"/>
        </w:numPr>
        <w:spacing w:after="40"/>
      </w:pPr>
      <w:r>
        <w:t xml:space="preserve">Bayesian updating framework — Prior adjustment using Sapphire validation evidence</w:t>
      </w:r>
    </w:p>
    <w:p>
      <w:pPr>
        <w:pStyle w:val="ListParagraph"/>
        <w:numPr>
          <w:ilvl w:val="0"/>
          <w:numId w:val="2"/>
        </w:numPr>
        <w:spacing w:after="40"/>
      </w:pPr>
      <w:r>
        <w:t xml:space="preserve">Development Cost Model — Phase-specific cost estimation based on program characteristics</w:t>
      </w:r>
    </w:p>
    <w:p>
      <w:pPr>
        <w:pStyle w:val="ListParagraph"/>
        <w:numPr>
          <w:ilvl w:val="0"/>
          <w:numId w:val="2"/>
        </w:numPr>
        <w:spacing w:after="40"/>
      </w:pPr>
      <w:r>
        <w:t xml:space="preserve">Timeline Estimator — Development phase duration prediction</w:t>
      </w:r>
    </w:p>
    <w:p>
      <w:pPr>
        <w:pStyle w:val="ListParagraph"/>
        <w:numPr>
          <w:ilvl w:val="0"/>
          <w:numId w:val="2"/>
        </w:numPr>
        <w:spacing w:after="40"/>
      </w:pPr>
      <w:r>
        <w:t xml:space="preserve">Disease epidemiology databases (GBD, NIH, WHO) — Patient population and prevalence data</w:t>
      </w:r>
    </w:p>
    <w:p>
      <w:pPr>
        <w:pStyle w:val="ListParagraph"/>
        <w:numPr>
          <w:ilvl w:val="0"/>
          <w:numId w:val="2"/>
        </w:numPr>
        <w:spacing w:after="40"/>
      </w:pPr>
      <w:r>
        <w:t xml:space="preserve">Pharmaceutical market sizing (IQVIA, Evaluate Pharma) — Market size and competitive benchmarks</w:t>
      </w:r>
    </w:p>
    <w:p>
      <w:pPr>
        <w:pStyle w:val="ListParagraph"/>
        <w:numPr>
          <w:ilvl w:val="0"/>
          <w:numId w:val="2"/>
        </w:numPr>
        <w:spacing w:after="40"/>
      </w:pPr>
      <w:r>
        <w:t xml:space="preserve">Pricing and health economics models — Therapy pricing and payer reimbursement assessment</w:t>
      </w:r>
    </w:p>
    <w:p>
      <w:pPr>
        <w:pStyle w:val="ListParagraph"/>
        <w:numPr>
          <w:ilvl w:val="0"/>
          <w:numId w:val="2"/>
        </w:numPr>
        <w:spacing w:after="40"/>
      </w:pPr>
      <w:r>
        <w:t xml:space="preserve">Market penetration models — Launch uptake and market share forecasting</w:t>
      </w:r>
    </w:p>
    <w:p>
      <w:pPr>
        <w:pStyle w:val="ListParagraph"/>
        <w:numPr>
          <w:ilvl w:val="0"/>
          <w:numId w:val="2"/>
        </w:numPr>
        <w:spacing w:after="40"/>
      </w:pPr>
      <w:r>
        <w:t xml:space="preserve">NPV Calculator — Time-discounted cash flow and probability-adjusted NPV computation</w:t>
      </w:r>
    </w:p>
    <w:p>
      <w:pPr>
        <w:pStyle w:val="ListParagraph"/>
        <w:numPr>
          <w:ilvl w:val="0"/>
          <w:numId w:val="2"/>
        </w:numPr>
        <w:spacing w:after="40"/>
      </w:pPr>
      <w:r>
        <w:t xml:space="preserve">Monte Carlo simulator — Stochastic uncertainty analysis and scenario generation</w:t>
      </w:r>
    </w:p>
    <w:p>
      <w:pPr>
        <w:pStyle w:val="ListParagraph"/>
        <w:numPr>
          <w:ilvl w:val="0"/>
          <w:numId w:val="2"/>
        </w:numPr>
        <w:spacing w:after="40"/>
      </w:pPr>
      <w:r>
        <w:t xml:space="preserve">Portfolio Optimizer — Rank programs by rNPV and optimize portfolio allocation</w:t>
      </w:r>
    </w:p>
    <w:p>
      <w:pPr>
        <w:pStyle w:val="ListParagraph"/>
        <w:numPr>
          <w:ilvl w:val="0"/>
          <w:numId w:val="2"/>
        </w:numPr>
        <w:spacing w:after="40"/>
      </w:pPr>
      <w:r>
        <w:t xml:space="preserve">Sensitivity dashboard — Tornado charts and one-way/two-way sensitivity visualization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2026-02-27T17:50:02.355Z</dcterms:created>
  <dcterms:modified xsi:type="dcterms:W3CDTF">2026-02-27T17:50:02.355Z</dcterms:modified>
</cp:coreProperties>
</file>

<file path=docProps/custom.xml><?xml version="1.0" encoding="utf-8"?>
<Properties xmlns="http://schemas.openxmlformats.org/officeDocument/2006/custom-properties" xmlns:vt="http://schemas.openxmlformats.org/officeDocument/2006/docPropsVTypes"/>
</file>