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rPr>
          <w:rFonts w:ascii="Arial" w:cs="Arial" w:eastAsia="Arial" w:hAnsi="Arial"/>
          <w:b/>
          <w:bCs/>
          <w:sz w:val="28"/>
          <w:szCs w:val="28"/>
        </w:rPr>
        <w:t xml:space="preserve">Prompt: </w:t>
      </w:r>
      <w:r>
        <w:rPr>
          <w:rFonts w:ascii="Arial" w:cs="Arial" w:eastAsia="Arial" w:hAnsi="Arial"/>
          <w:sz w:val="28"/>
          <w:szCs w:val="28"/>
        </w:rPr>
        <w:t xml:space="preserve">Identify targets with high functional signal but low competitive saturation.</w:t>
      </w:r>
    </w:p>
    <w:p>
      <w:pPr>
        <w:spacing w:after="200" w:line="360"/>
      </w:pPr>
      <w:r>
        <w:rPr>
          <w:rFonts w:ascii="Arial" w:cs="Arial" w:eastAsia="Arial" w:hAnsi="Arial"/>
          <w:sz w:val="24"/>
          <w:szCs w:val="24"/>
        </w:rPr>
        <w:t xml:space="preserve">Competitive white-space analysis — identifying gene targets with strong Quiver EP functional signal but minimal competitive activity (few companies, few patents, few clinical programs).</w:t>
      </w:r>
    </w:p>
    <w:p>
      <w:pPr>
        <w:pStyle w:val="Heading2"/>
        <w:spacing w:after="200" w:before="200"/>
      </w:pPr>
      <w:r>
        <w:t xml:space="preserve">Pipeline Overview</w:t>
      </w:r>
    </w:p>
    <w:p>
      <w:pPr>
        <w:spacing w:after="200" w:line="360"/>
      </w:pPr>
      <w:r>
        <w:rPr>
          <w:rFonts w:ascii="Arial" w:cs="Arial" w:eastAsia="Arial" w:hAnsi="Arial"/>
          <w:sz w:val="24"/>
          <w:szCs w:val="24"/>
        </w:rPr>
        <w:t xml:space="preserve">This pipeline workflow systematically addresses the prompt through a structured, 6-stage discovery and analysis process. Each stage builds upon the previous, integrating Quiver Bioscience's electrophysiology phenotyping data with competitive, clinical, and commercial intelligence to deliver actionable insights. The workflow emphasizes iterative refinement, validation of assumptions, and clear decision-making criteria to guide next steps in the therapeutic development program.</w:t>
      </w:r>
    </w:p>
    <w:p>
      <w:pPr>
        <w:pStyle w:val="Heading2"/>
        <w:spacing w:after="200" w:before="200"/>
      </w:pPr>
      <w:r>
        <w:t xml:space="preserve">Stage 1: Data Ingestion &amp; Signal Quantification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Load Quiver's ~18,000 CRISPR gene perturbations and their EP phenotyping signatures; quantify functional signal strength (effect size, magnitude, phenotype variance explained).</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Quiver CRISPR perturbation database (~18,000 genes with EP profiles)</w:t>
      </w:r>
    </w:p>
    <w:p>
      <w:pPr>
        <w:pStyle w:val="ListParagraph"/>
        <w:numPr>
          <w:ilvl w:val="0"/>
          <w:numId w:val="2"/>
        </w:numPr>
        <w:spacing w:after="100"/>
      </w:pPr>
      <w:r>
        <w:rPr>
          <w:rFonts w:ascii="Arial" w:cs="Arial" w:eastAsia="Arial" w:hAnsi="Arial"/>
          <w:sz w:val="24"/>
          <w:szCs w:val="24"/>
        </w:rPr>
        <w:t xml:space="preserve">EP phenotype matrix (voltage-clamp, current-clamp, cell morphology, network activity metrics)</w:t>
      </w:r>
    </w:p>
    <w:p>
      <w:pPr>
        <w:pStyle w:val="ListParagraph"/>
        <w:numPr>
          <w:ilvl w:val="0"/>
          <w:numId w:val="2"/>
        </w:numPr>
        <w:spacing w:after="100"/>
      </w:pPr>
      <w:r>
        <w:rPr>
          <w:rFonts w:ascii="Arial" w:cs="Arial" w:eastAsia="Arial" w:hAnsi="Arial"/>
          <w:sz w:val="24"/>
          <w:szCs w:val="24"/>
        </w:rPr>
        <w:t xml:space="preserve">Signal strength definitions (e.g., zscore &gt; 2.0 = strong signal)</w:t>
      </w:r>
    </w:p>
    <w:p>
      <w:pPr>
        <w:pStyle w:val="ListParagraph"/>
        <w:numPr>
          <w:ilvl w:val="0"/>
          <w:numId w:val="2"/>
        </w:numPr>
        <w:spacing w:after="100"/>
      </w:pPr>
      <w:r>
        <w:rPr>
          <w:rFonts w:ascii="Arial" w:cs="Arial" w:eastAsia="Arial" w:hAnsi="Arial"/>
          <w:sz w:val="24"/>
          <w:szCs w:val="24"/>
        </w:rPr>
        <w:t xml:space="preserve">Competitive landscape database (patent counts, clinical stage, company activity)</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Quiver Bioscience Data Lake: </w:t>
      </w:r>
      <w:r>
        <w:rPr>
          <w:rFonts w:ascii="Arial" w:cs="Arial" w:eastAsia="Arial" w:hAnsi="Arial"/>
          <w:sz w:val="24"/>
          <w:szCs w:val="24"/>
        </w:rPr>
        <w:t xml:space="preserve">Warehouses 18K CRISPR perturbation screens with electrophysiology readouts.</w:t>
      </w:r>
    </w:p>
    <w:p>
      <w:pPr>
        <w:pStyle w:val="ListParagraph"/>
        <w:numPr>
          <w:ilvl w:val="0"/>
          <w:numId w:val="2"/>
        </w:numPr>
        <w:spacing w:after="100"/>
      </w:pPr>
      <w:r>
        <w:rPr>
          <w:rFonts w:ascii="Arial" w:cs="Arial" w:eastAsia="Arial" w:hAnsi="Arial"/>
          <w:b/>
          <w:bCs/>
          <w:sz w:val="24"/>
          <w:szCs w:val="24"/>
        </w:rPr>
        <w:t xml:space="preserve">Python/Pandas: </w:t>
      </w:r>
      <w:r>
        <w:rPr>
          <w:rFonts w:ascii="Arial" w:cs="Arial" w:eastAsia="Arial" w:hAnsi="Arial"/>
          <w:sz w:val="24"/>
          <w:szCs w:val="24"/>
        </w:rPr>
        <w:t xml:space="preserve">Data wrangling, filtering, normalization of EP signals.</w:t>
      </w:r>
    </w:p>
    <w:p>
      <w:pPr>
        <w:pStyle w:val="ListParagraph"/>
        <w:numPr>
          <w:ilvl w:val="0"/>
          <w:numId w:val="2"/>
        </w:numPr>
        <w:spacing w:after="100"/>
      </w:pPr>
      <w:r>
        <w:rPr>
          <w:rFonts w:ascii="Arial" w:cs="Arial" w:eastAsia="Arial" w:hAnsi="Arial"/>
          <w:b/>
          <w:bCs/>
          <w:sz w:val="24"/>
          <w:szCs w:val="24"/>
        </w:rPr>
        <w:t xml:space="preserve">Scikit-learn: </w:t>
      </w:r>
      <w:r>
        <w:rPr>
          <w:rFonts w:ascii="Arial" w:cs="Arial" w:eastAsia="Arial" w:hAnsi="Arial"/>
          <w:sz w:val="24"/>
          <w:szCs w:val="24"/>
        </w:rPr>
        <w:t xml:space="preserve">Signal quantification (effect size calculation, outlier detection).</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Filter CRISPR perturbations to those with EP signal zscore &gt; 2.0.</w:t>
      </w:r>
    </w:p>
    <w:p>
      <w:pPr>
        <w:pStyle w:val="ListParagraph"/>
        <w:numPr>
          <w:ilvl w:val="0"/>
          <w:numId w:val="2"/>
        </w:numPr>
        <w:spacing w:after="100"/>
      </w:pPr>
      <w:r>
        <w:rPr>
          <w:rFonts w:ascii="Arial" w:cs="Arial" w:eastAsia="Arial" w:hAnsi="Arial"/>
          <w:sz w:val="24"/>
          <w:szCs w:val="24"/>
        </w:rPr>
        <w:t xml:space="preserve">Define 'signal strength' as compound of (effect magnitude + phenotype variance explained + reproducibility).</w:t>
      </w:r>
    </w:p>
    <w:p>
      <w:pPr>
        <w:pStyle w:val="ListParagraph"/>
        <w:numPr>
          <w:ilvl w:val="0"/>
          <w:numId w:val="2"/>
        </w:numPr>
        <w:spacing w:after="100"/>
      </w:pPr>
      <w:r>
        <w:rPr>
          <w:rFonts w:ascii="Arial" w:cs="Arial" w:eastAsia="Arial" w:hAnsi="Arial"/>
          <w:sz w:val="24"/>
          <w:szCs w:val="24"/>
        </w:rPr>
        <w:t xml:space="preserve">Exclude genes with conflicting or noisy EP phenotypes.</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Ranked list of 500-1000 genes sorted by EP signal strength (descending).</w:t>
      </w:r>
    </w:p>
    <w:p>
      <w:pPr>
        <w:pStyle w:val="ListParagraph"/>
        <w:numPr>
          <w:ilvl w:val="0"/>
          <w:numId w:val="2"/>
        </w:numPr>
        <w:spacing w:after="100"/>
      </w:pPr>
      <w:r>
        <w:rPr>
          <w:rFonts w:ascii="Arial" w:cs="Arial" w:eastAsia="Arial" w:hAnsi="Arial"/>
          <w:sz w:val="24"/>
          <w:szCs w:val="24"/>
        </w:rPr>
        <w:t xml:space="preserve">Signal strength score (0-100) for each gene.</w:t>
      </w:r>
    </w:p>
    <w:p>
      <w:pPr>
        <w:pStyle w:val="ListParagraph"/>
        <w:numPr>
          <w:ilvl w:val="0"/>
          <w:numId w:val="2"/>
        </w:numPr>
        <w:spacing w:after="100"/>
      </w:pPr>
      <w:r>
        <w:rPr>
          <w:rFonts w:ascii="Arial" w:cs="Arial" w:eastAsia="Arial" w:hAnsi="Arial"/>
          <w:sz w:val="24"/>
          <w:szCs w:val="24"/>
        </w:rPr>
        <w:t xml:space="preserve">Phenotype profiles (3-5 key EP metrics per gene).</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CSV or JSON with columns: [Gene, Signal_Strength_Score, Primary_EP_Phenotype, Secondary_Phenotypes, Phenotype_Magnitude, Reproducibility_Score].</w:t>
      </w:r>
    </w:p>
    <w:p>
      <w:pPr>
        <w:pStyle w:val="Heading2"/>
        <w:spacing w:after="200" w:before="200"/>
      </w:pPr>
      <w:r>
        <w:t xml:space="preserve">Stage 2: Competitive Saturation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Quantify the competitive landscape for each gene target: patent counts, clinical program counts, and company interest density.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Patent database (USPTO, WIPO, EPO) with gene mentions</w:t>
      </w:r>
    </w:p>
    <w:p>
      <w:pPr>
        <w:pStyle w:val="ListParagraph"/>
        <w:numPr>
          <w:ilvl w:val="0"/>
          <w:numId w:val="2"/>
        </w:numPr>
        <w:spacing w:after="100"/>
      </w:pPr>
      <w:r>
        <w:rPr>
          <w:rFonts w:ascii="Arial" w:cs="Arial" w:eastAsia="Arial" w:hAnsi="Arial"/>
          <w:sz w:val="24"/>
          <w:szCs w:val="24"/>
        </w:rPr>
        <w:t xml:space="preserve">Clinical trial database (ClinicalTrials.gov, Cortellis, company pipelines)</w:t>
      </w:r>
    </w:p>
    <w:p>
      <w:pPr>
        <w:pStyle w:val="ListParagraph"/>
        <w:numPr>
          <w:ilvl w:val="0"/>
          <w:numId w:val="2"/>
        </w:numPr>
        <w:spacing w:after="100"/>
      </w:pPr>
      <w:r>
        <w:rPr>
          <w:rFonts w:ascii="Arial" w:cs="Arial" w:eastAsia="Arial" w:hAnsi="Arial"/>
          <w:sz w:val="24"/>
          <w:szCs w:val="24"/>
        </w:rPr>
        <w:t xml:space="preserve">Company R&amp;D landscape database (Adis, BioMedReports)</w:t>
      </w:r>
    </w:p>
    <w:p>
      <w:pPr>
        <w:pStyle w:val="ListParagraph"/>
        <w:numPr>
          <w:ilvl w:val="0"/>
          <w:numId w:val="2"/>
        </w:numPr>
        <w:spacing w:after="100"/>
      </w:pPr>
      <w:r>
        <w:rPr>
          <w:rFonts w:ascii="Arial" w:cs="Arial" w:eastAsia="Arial" w:hAnsi="Arial"/>
          <w:sz w:val="24"/>
          <w:szCs w:val="24"/>
        </w:rPr>
        <w:t xml:space="preserve">Literature/press mentions (PubMed, news databases)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LexisNexis or Derwent Innovation: </w:t>
      </w:r>
      <w:r>
        <w:rPr>
          <w:rFonts w:ascii="Arial" w:cs="Arial" w:eastAsia="Arial" w:hAnsi="Arial"/>
          <w:sz w:val="24"/>
          <w:szCs w:val="24"/>
        </w:rPr>
        <w:t xml:space="preserve">Patent landscape queries for target genes.</w:t>
      </w:r>
    </w:p>
    <w:p>
      <w:pPr>
        <w:pStyle w:val="ListParagraph"/>
        <w:numPr>
          <w:ilvl w:val="0"/>
          <w:numId w:val="2"/>
        </w:numPr>
        <w:spacing w:after="100"/>
      </w:pPr>
      <w:r>
        <w:rPr>
          <w:rFonts w:ascii="Arial" w:cs="Arial" w:eastAsia="Arial" w:hAnsi="Arial"/>
          <w:b/>
          <w:bCs/>
          <w:sz w:val="24"/>
          <w:szCs w:val="24"/>
        </w:rPr>
        <w:t xml:space="preserve">Cortellis or Pharmaprojects: </w:t>
      </w:r>
      <w:r>
        <w:rPr>
          <w:rFonts w:ascii="Arial" w:cs="Arial" w:eastAsia="Arial" w:hAnsi="Arial"/>
          <w:sz w:val="24"/>
          <w:szCs w:val="24"/>
        </w:rPr>
        <w:t xml:space="preserve">Clinical trial and company pipeline data.</w:t>
      </w:r>
    </w:p>
    <w:p>
      <w:pPr>
        <w:pStyle w:val="ListParagraph"/>
        <w:numPr>
          <w:ilvl w:val="0"/>
          <w:numId w:val="2"/>
        </w:numPr>
        <w:spacing w:after="100"/>
      </w:pPr>
      <w:r>
        <w:rPr>
          <w:rFonts w:ascii="Arial" w:cs="Arial" w:eastAsia="Arial" w:hAnsi="Arial"/>
          <w:b/>
          <w:bCs/>
          <w:sz w:val="24"/>
          <w:szCs w:val="24"/>
        </w:rPr>
        <w:t xml:space="preserve">PubMed API: </w:t>
      </w:r>
      <w:r>
        <w:rPr>
          <w:rFonts w:ascii="Arial" w:cs="Arial" w:eastAsia="Arial" w:hAnsi="Arial"/>
          <w:sz w:val="24"/>
          <w:szCs w:val="24"/>
        </w:rPr>
        <w:t xml:space="preserve">Count publications per gene target.</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Query patent databases for each gene: count granted + pending patents, filing trends.</w:t>
      </w:r>
    </w:p>
    <w:p>
      <w:pPr>
        <w:pStyle w:val="ListParagraph"/>
        <w:numPr>
          <w:ilvl w:val="0"/>
          <w:numId w:val="2"/>
        </w:numPr>
        <w:spacing w:after="100"/>
      </w:pPr>
      <w:r>
        <w:rPr>
          <w:rFonts w:ascii="Arial" w:cs="Arial" w:eastAsia="Arial" w:hAnsi="Arial"/>
          <w:sz w:val="24"/>
          <w:szCs w:val="24"/>
        </w:rPr>
        <w:t xml:space="preserve">Search ClinicalTrials.gov and company press releases for ongoing programs.</w:t>
      </w:r>
    </w:p>
    <w:p>
      <w:pPr>
        <w:pStyle w:val="ListParagraph"/>
        <w:numPr>
          <w:ilvl w:val="0"/>
          <w:numId w:val="2"/>
        </w:numPr>
        <w:spacing w:after="100"/>
      </w:pPr>
      <w:r>
        <w:rPr>
          <w:rFonts w:ascii="Arial" w:cs="Arial" w:eastAsia="Arial" w:hAnsi="Arial"/>
          <w:sz w:val="24"/>
          <w:szCs w:val="24"/>
        </w:rPr>
        <w:t xml:space="preserve">Count unique companies with disclosed programs per target.</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Competitive saturation score (0-100, lower = less competition) per gene.</w:t>
      </w:r>
    </w:p>
    <w:p>
      <w:pPr>
        <w:pStyle w:val="ListParagraph"/>
        <w:numPr>
          <w:ilvl w:val="0"/>
          <w:numId w:val="2"/>
        </w:numPr>
        <w:spacing w:after="100"/>
      </w:pPr>
      <w:r>
        <w:rPr>
          <w:rFonts w:ascii="Arial" w:cs="Arial" w:eastAsia="Arial" w:hAnsi="Arial"/>
          <w:sz w:val="24"/>
          <w:szCs w:val="24"/>
        </w:rPr>
        <w:t xml:space="preserve">Patent count (granted, pending, total filings in last 3 years).</w:t>
      </w:r>
    </w:p>
    <w:p>
      <w:pPr>
        <w:pStyle w:val="ListParagraph"/>
        <w:numPr>
          <w:ilvl w:val="0"/>
          <w:numId w:val="2"/>
        </w:numPr>
        <w:spacing w:after="100"/>
      </w:pPr>
      <w:r>
        <w:rPr>
          <w:rFonts w:ascii="Arial" w:cs="Arial" w:eastAsia="Arial" w:hAnsi="Arial"/>
          <w:sz w:val="24"/>
          <w:szCs w:val="24"/>
        </w:rPr>
        <w:t xml:space="preserve">Clinical program count (Phase I-IV, IND, discovery).</w:t>
      </w:r>
    </w:p>
    <w:p>
      <w:pPr>
        <w:pStyle w:val="ListParagraph"/>
        <w:numPr>
          <w:ilvl w:val="0"/>
          <w:numId w:val="2"/>
        </w:numPr>
        <w:spacing w:after="100"/>
      </w:pPr>
      <w:r>
        <w:rPr>
          <w:rFonts w:ascii="Arial" w:cs="Arial" w:eastAsia="Arial" w:hAnsi="Arial"/>
          <w:sz w:val="24"/>
          <w:szCs w:val="24"/>
        </w:rPr>
        <w:t xml:space="preserve">Company count with active interest (disclosed programs).</w:t>
      </w:r>
    </w:p>
    <w:p>
      <w:pPr>
        <w:pStyle w:val="ListParagraph"/>
        <w:numPr>
          <w:ilvl w:val="0"/>
          <w:numId w:val="2"/>
        </w:numPr>
        <w:spacing w:after="100"/>
      </w:pPr>
      <w:r>
        <w:rPr>
          <w:rFonts w:ascii="Arial" w:cs="Arial" w:eastAsia="Arial" w:hAnsi="Arial"/>
          <w:sz w:val="24"/>
          <w:szCs w:val="24"/>
        </w:rPr>
        <w:t xml:space="preserve">Literature publication count (5-year rolling window).</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CSV with columns: [Gene, Patent_Count, Patent_Trend, Clinical_Programs, Company_Count, Lit_Mentions, Saturation_Score].</w:t>
      </w:r>
    </w:p>
    <w:p>
      <w:pPr>
        <w:pStyle w:val="Heading2"/>
        <w:spacing w:after="200" w:before="200"/>
      </w:pPr>
      <w:r>
        <w:t xml:space="preserve">Stage 3: High Signal + Low Saturation Targeting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Intersect high-signal genes with low-saturation targets to identify white-space opportunities.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Signal strength ranking (from Stage 1)</w:t>
      </w:r>
    </w:p>
    <w:p>
      <w:pPr>
        <w:pStyle w:val="ListParagraph"/>
        <w:numPr>
          <w:ilvl w:val="0"/>
          <w:numId w:val="2"/>
        </w:numPr>
        <w:spacing w:after="100"/>
      </w:pPr>
      <w:r>
        <w:rPr>
          <w:rFonts w:ascii="Arial" w:cs="Arial" w:eastAsia="Arial" w:hAnsi="Arial"/>
          <w:sz w:val="24"/>
          <w:szCs w:val="24"/>
        </w:rPr>
        <w:t xml:space="preserve">Competitive saturation scores (from Stage 2)</w:t>
      </w:r>
    </w:p>
    <w:p>
      <w:pPr>
        <w:pStyle w:val="ListParagraph"/>
        <w:numPr>
          <w:ilvl w:val="0"/>
          <w:numId w:val="2"/>
        </w:numPr>
        <w:spacing w:after="100"/>
      </w:pPr>
      <w:r>
        <w:rPr>
          <w:rFonts w:ascii="Arial" w:cs="Arial" w:eastAsia="Arial" w:hAnsi="Arial"/>
          <w:sz w:val="24"/>
          <w:szCs w:val="24"/>
        </w:rPr>
        <w:t xml:space="preserve">Target selection thresholds (e.g., signal &gt; 75th percentile, saturation &lt; 25th percentile)</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Excel/Pandas: </w:t>
      </w:r>
      <w:r>
        <w:rPr>
          <w:rFonts w:ascii="Arial" w:cs="Arial" w:eastAsia="Arial" w:hAnsi="Arial"/>
          <w:sz w:val="24"/>
          <w:szCs w:val="24"/>
        </w:rPr>
        <w:t xml:space="preserve">Cross-tabulation and ranking of genes by dual criteria.</w:t>
      </w:r>
    </w:p>
    <w:p>
      <w:pPr>
        <w:pStyle w:val="ListParagraph"/>
        <w:numPr>
          <w:ilvl w:val="0"/>
          <w:numId w:val="2"/>
        </w:numPr>
        <w:spacing w:after="100"/>
      </w:pPr>
      <w:r>
        <w:rPr>
          <w:rFonts w:ascii="Arial" w:cs="Arial" w:eastAsia="Arial" w:hAnsi="Arial"/>
          <w:b/>
          <w:bCs/>
          <w:sz w:val="24"/>
          <w:szCs w:val="24"/>
        </w:rPr>
        <w:t xml:space="preserve">R or Python visualization: </w:t>
      </w:r>
      <w:r>
        <w:rPr>
          <w:rFonts w:ascii="Arial" w:cs="Arial" w:eastAsia="Arial" w:hAnsi="Arial"/>
          <w:sz w:val="24"/>
          <w:szCs w:val="24"/>
        </w:rPr>
        <w:t xml:space="preserve">2D scatter plot (signal vs. saturation) for manual inspection.</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Identify genes with signal_strength &gt;= 75th percentile AND saturation_score &lt;= 25th percentile.</w:t>
      </w:r>
    </w:p>
    <w:p>
      <w:pPr>
        <w:pStyle w:val="ListParagraph"/>
        <w:numPr>
          <w:ilvl w:val="0"/>
          <w:numId w:val="2"/>
        </w:numPr>
        <w:spacing w:after="100"/>
      </w:pPr>
      <w:r>
        <w:rPr>
          <w:rFonts w:ascii="Arial" w:cs="Arial" w:eastAsia="Arial" w:hAnsi="Arial"/>
          <w:sz w:val="24"/>
          <w:szCs w:val="24"/>
        </w:rPr>
        <w:t xml:space="preserve">Sub-filter for genes with no active clinical programs and &lt;3 patent families.</w:t>
      </w:r>
    </w:p>
    <w:p>
      <w:pPr>
        <w:pStyle w:val="ListParagraph"/>
        <w:numPr>
          <w:ilvl w:val="0"/>
          <w:numId w:val="2"/>
        </w:numPr>
        <w:spacing w:after="100"/>
      </w:pPr>
      <w:r>
        <w:rPr>
          <w:rFonts w:ascii="Arial" w:cs="Arial" w:eastAsia="Arial" w:hAnsi="Arial"/>
          <w:sz w:val="24"/>
          <w:szCs w:val="24"/>
        </w:rPr>
        <w:t xml:space="preserve">Rank results by signal strength within the white-space cohort.</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Final white-space target list (50-200 genes, depending on thresholds).</w:t>
      </w:r>
    </w:p>
    <w:p>
      <w:pPr>
        <w:pStyle w:val="ListParagraph"/>
        <w:numPr>
          <w:ilvl w:val="0"/>
          <w:numId w:val="2"/>
        </w:numPr>
        <w:spacing w:after="100"/>
      </w:pPr>
      <w:r>
        <w:rPr>
          <w:rFonts w:ascii="Arial" w:cs="Arial" w:eastAsia="Arial" w:hAnsi="Arial"/>
          <w:sz w:val="24"/>
          <w:szCs w:val="24"/>
        </w:rPr>
        <w:t xml:space="preserve">Signal-saturation dual ranking (1-50 prioritized targets).</w:t>
      </w:r>
    </w:p>
    <w:p>
      <w:pPr>
        <w:pStyle w:val="ListParagraph"/>
        <w:numPr>
          <w:ilvl w:val="0"/>
          <w:numId w:val="2"/>
        </w:numPr>
        <w:spacing w:after="100"/>
      </w:pPr>
      <w:r>
        <w:rPr>
          <w:rFonts w:ascii="Arial" w:cs="Arial" w:eastAsia="Arial" w:hAnsi="Arial"/>
          <w:sz w:val="24"/>
          <w:szCs w:val="24"/>
        </w:rPr>
        <w:t xml:space="preserve">For each target: rationale (signal strength + competitive gap).</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Ranked list with columns: [Rank, Gene, Signal_Score, Saturation_Score, Gap_Opportunity, Phenotypes, Patent_Count, Clinical_Stage, Recommended_Indication].</w:t>
      </w:r>
    </w:p>
    <w:p>
      <w:pPr>
        <w:pStyle w:val="Heading2"/>
        <w:spacing w:after="200" w:before="200"/>
      </w:pPr>
      <w:r>
        <w:t xml:space="preserve">Stage 4: Therapeutic Indication Fit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Match white-space targets to indication categories based on their EP phenotypes and disease biology alignment.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White-space target list with EP phenotypes (from Stage 3)</w:t>
      </w:r>
    </w:p>
    <w:p>
      <w:pPr>
        <w:pStyle w:val="ListParagraph"/>
        <w:numPr>
          <w:ilvl w:val="0"/>
          <w:numId w:val="2"/>
        </w:numPr>
        <w:spacing w:after="100"/>
      </w:pPr>
      <w:r>
        <w:rPr>
          <w:rFonts w:ascii="Arial" w:cs="Arial" w:eastAsia="Arial" w:hAnsi="Arial"/>
          <w:sz w:val="24"/>
          <w:szCs w:val="24"/>
        </w:rPr>
        <w:t xml:space="preserve">Disease-indication database (genetic links, functional relevance, market size)</w:t>
      </w:r>
    </w:p>
    <w:p>
      <w:pPr>
        <w:pStyle w:val="ListParagraph"/>
        <w:numPr>
          <w:ilvl w:val="0"/>
          <w:numId w:val="2"/>
        </w:numPr>
        <w:spacing w:after="100"/>
      </w:pPr>
      <w:r>
        <w:rPr>
          <w:rFonts w:ascii="Arial" w:cs="Arial" w:eastAsia="Arial" w:hAnsi="Arial"/>
          <w:sz w:val="24"/>
          <w:szCs w:val="24"/>
        </w:rPr>
        <w:t xml:space="preserve">Quiver's internal indication-target mapping (prior wet lab validation)</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DisGeNET or DrugBank: </w:t>
      </w:r>
      <w:r>
        <w:rPr>
          <w:rFonts w:ascii="Arial" w:cs="Arial" w:eastAsia="Arial" w:hAnsi="Arial"/>
          <w:sz w:val="24"/>
          <w:szCs w:val="24"/>
        </w:rPr>
        <w:t xml:space="preserve">Gene-disease associations.</w:t>
      </w:r>
    </w:p>
    <w:p>
      <w:pPr>
        <w:pStyle w:val="ListParagraph"/>
        <w:numPr>
          <w:ilvl w:val="0"/>
          <w:numId w:val="2"/>
        </w:numPr>
        <w:spacing w:after="100"/>
      </w:pPr>
      <w:r>
        <w:rPr>
          <w:rFonts w:ascii="Arial" w:cs="Arial" w:eastAsia="Arial" w:hAnsi="Arial"/>
          <w:b/>
          <w:bCs/>
          <w:sz w:val="24"/>
          <w:szCs w:val="24"/>
        </w:rPr>
        <w:t xml:space="preserve">OMIM (Online Mendelian Inheritance in Man): </w:t>
      </w:r>
      <w:r>
        <w:rPr>
          <w:rFonts w:ascii="Arial" w:cs="Arial" w:eastAsia="Arial" w:hAnsi="Arial"/>
          <w:sz w:val="24"/>
          <w:szCs w:val="24"/>
        </w:rPr>
        <w:t xml:space="preserve">Genetic disorder information.</w:t>
      </w:r>
    </w:p>
    <w:p>
      <w:pPr>
        <w:pStyle w:val="ListParagraph"/>
        <w:numPr>
          <w:ilvl w:val="0"/>
          <w:numId w:val="2"/>
        </w:numPr>
        <w:spacing w:after="100"/>
      </w:pPr>
      <w:r>
        <w:rPr>
          <w:rFonts w:ascii="Arial" w:cs="Arial" w:eastAsia="Arial" w:hAnsi="Arial"/>
          <w:b/>
          <w:bCs/>
          <w:sz w:val="24"/>
          <w:szCs w:val="24"/>
        </w:rPr>
        <w:t xml:space="preserve">Expert manual curation: </w:t>
      </w:r>
      <w:r>
        <w:rPr>
          <w:rFonts w:ascii="Arial" w:cs="Arial" w:eastAsia="Arial" w:hAnsi="Arial"/>
          <w:sz w:val="24"/>
          <w:szCs w:val="24"/>
        </w:rPr>
        <w:t xml:space="preserve">Functional relevance scoring.</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For each white-space target, list known genetic disorders (OMIM).</w:t>
      </w:r>
    </w:p>
    <w:p>
      <w:pPr>
        <w:pStyle w:val="ListParagraph"/>
        <w:numPr>
          <w:ilvl w:val="0"/>
          <w:numId w:val="2"/>
        </w:numPr>
        <w:spacing w:after="100"/>
      </w:pPr>
      <w:r>
        <w:rPr>
          <w:rFonts w:ascii="Arial" w:cs="Arial" w:eastAsia="Arial" w:hAnsi="Arial"/>
          <w:sz w:val="24"/>
          <w:szCs w:val="24"/>
        </w:rPr>
        <w:t xml:space="preserve">Map EP phenotypes (e.g., neuronal excitability, calcium handling) to indication categories.</w:t>
      </w:r>
    </w:p>
    <w:p>
      <w:pPr>
        <w:pStyle w:val="ListParagraph"/>
        <w:numPr>
          <w:ilvl w:val="0"/>
          <w:numId w:val="2"/>
        </w:numPr>
        <w:spacing w:after="100"/>
      </w:pPr>
      <w:r>
        <w:rPr>
          <w:rFonts w:ascii="Arial" w:cs="Arial" w:eastAsia="Arial" w:hAnsi="Arial"/>
          <w:sz w:val="24"/>
          <w:szCs w:val="24"/>
        </w:rPr>
        <w:t xml:space="preserve">Rank indication fit by disease prevalence, unmet medical need, and regulatory pathway.</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Indication-fit ranking per target (1-3 primary indications per target).</w:t>
      </w:r>
    </w:p>
    <w:p>
      <w:pPr>
        <w:pStyle w:val="ListParagraph"/>
        <w:numPr>
          <w:ilvl w:val="0"/>
          <w:numId w:val="2"/>
        </w:numPr>
        <w:spacing w:after="100"/>
      </w:pPr>
      <w:r>
        <w:rPr>
          <w:rFonts w:ascii="Arial" w:cs="Arial" w:eastAsia="Arial" w:hAnsi="Arial"/>
          <w:sz w:val="24"/>
          <w:szCs w:val="24"/>
        </w:rPr>
        <w:t xml:space="preserve">Justification: genetic disease links, phenotype relevance, market opportunity.</w:t>
      </w:r>
    </w:p>
    <w:p>
      <w:pPr>
        <w:pStyle w:val="ListParagraph"/>
        <w:numPr>
          <w:ilvl w:val="0"/>
          <w:numId w:val="2"/>
        </w:numPr>
        <w:spacing w:after="100"/>
      </w:pPr>
      <w:r>
        <w:rPr>
          <w:rFonts w:ascii="Arial" w:cs="Arial" w:eastAsia="Arial" w:hAnsi="Arial"/>
          <w:sz w:val="24"/>
          <w:szCs w:val="24"/>
        </w:rPr>
        <w:t xml:space="preserve">Indication summary (prevalence, comorbidities, current standard of care).</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Table with columns: [Gene, Primary_Indication, Secondary_Indications, Patient_Population, Phenotype_Fit_Score, Disease_Link_Evidence, Market_Size_USD_M].</w:t>
      </w:r>
    </w:p>
    <w:p>
      <w:pPr>
        <w:pStyle w:val="Heading2"/>
        <w:spacing w:after="200" w:before="200"/>
      </w:pPr>
      <w:r>
        <w:t xml:space="preserve">Stage 5: Risk &amp; Druggability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each white-space target for druggability, safety liabilities, and biological risk factors.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White-space targets with indication fit (from Stage 4)</w:t>
      </w:r>
    </w:p>
    <w:p>
      <w:pPr>
        <w:pStyle w:val="ListParagraph"/>
        <w:numPr>
          <w:ilvl w:val="0"/>
          <w:numId w:val="2"/>
        </w:numPr>
        <w:spacing w:after="100"/>
      </w:pPr>
      <w:r>
        <w:rPr>
          <w:rFonts w:ascii="Arial" w:cs="Arial" w:eastAsia="Arial" w:hAnsi="Arial"/>
          <w:sz w:val="24"/>
          <w:szCs w:val="24"/>
        </w:rPr>
        <w:t xml:space="preserve">Protein structural data (AlphaFold, PDB, UniProt)</w:t>
      </w:r>
    </w:p>
    <w:p>
      <w:pPr>
        <w:pStyle w:val="ListParagraph"/>
        <w:numPr>
          <w:ilvl w:val="0"/>
          <w:numId w:val="2"/>
        </w:numPr>
        <w:spacing w:after="100"/>
      </w:pPr>
      <w:r>
        <w:rPr>
          <w:rFonts w:ascii="Arial" w:cs="Arial" w:eastAsia="Arial" w:hAnsi="Arial"/>
          <w:sz w:val="24"/>
          <w:szCs w:val="24"/>
        </w:rPr>
        <w:t xml:space="preserve">Off-target risk databases (off-target CRISPR sites, homology to essential genes)</w:t>
      </w:r>
    </w:p>
    <w:p>
      <w:pPr>
        <w:pStyle w:val="ListParagraph"/>
        <w:numPr>
          <w:ilvl w:val="0"/>
          <w:numId w:val="2"/>
        </w:numPr>
        <w:spacing w:after="100"/>
      </w:pPr>
      <w:r>
        <w:rPr>
          <w:rFonts w:ascii="Arial" w:cs="Arial" w:eastAsia="Arial" w:hAnsi="Arial"/>
          <w:sz w:val="24"/>
          <w:szCs w:val="24"/>
        </w:rPr>
        <w:t xml:space="preserve">Safety/toxicity databases (organ-specific side effects, known adverse events)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AlphaFold2 or Swiss-Model: </w:t>
      </w:r>
      <w:r>
        <w:rPr>
          <w:rFonts w:ascii="Arial" w:cs="Arial" w:eastAsia="Arial" w:hAnsi="Arial"/>
          <w:sz w:val="24"/>
          <w:szCs w:val="24"/>
        </w:rPr>
        <w:t xml:space="preserve">Protein structure prediction for druggability assessment.</w:t>
      </w:r>
    </w:p>
    <w:p>
      <w:pPr>
        <w:pStyle w:val="ListParagraph"/>
        <w:numPr>
          <w:ilvl w:val="0"/>
          <w:numId w:val="2"/>
        </w:numPr>
        <w:spacing w:after="100"/>
      </w:pPr>
      <w:r>
        <w:rPr>
          <w:rFonts w:ascii="Arial" w:cs="Arial" w:eastAsia="Arial" w:hAnsi="Arial"/>
          <w:b/>
          <w:bCs/>
          <w:sz w:val="24"/>
          <w:szCs w:val="24"/>
        </w:rPr>
        <w:t xml:space="preserve">Genecards or DepMap: </w:t>
      </w:r>
      <w:r>
        <w:rPr>
          <w:rFonts w:ascii="Arial" w:cs="Arial" w:eastAsia="Arial" w:hAnsi="Arial"/>
          <w:sz w:val="24"/>
          <w:szCs w:val="24"/>
        </w:rPr>
        <w:t xml:space="preserve">Off-target risk, gene essentiality data.</w:t>
      </w:r>
    </w:p>
    <w:p>
      <w:pPr>
        <w:pStyle w:val="ListParagraph"/>
        <w:numPr>
          <w:ilvl w:val="0"/>
          <w:numId w:val="2"/>
        </w:numPr>
        <w:spacing w:after="100"/>
      </w:pPr>
      <w:r>
        <w:rPr>
          <w:rFonts w:ascii="Arial" w:cs="Arial" w:eastAsia="Arial" w:hAnsi="Arial"/>
          <w:b/>
          <w:bCs/>
          <w:sz w:val="24"/>
          <w:szCs w:val="24"/>
        </w:rPr>
        <w:t xml:space="preserve">ToxicoDB or similar: </w:t>
      </w:r>
      <w:r>
        <w:rPr>
          <w:rFonts w:ascii="Arial" w:cs="Arial" w:eastAsia="Arial" w:hAnsi="Arial"/>
          <w:sz w:val="24"/>
          <w:szCs w:val="24"/>
        </w:rPr>
        <w:t xml:space="preserve">Known toxicity profiles for human orthologs.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Assess protein druggability: size, complexity, known ligand binding pockets.</w:t>
      </w:r>
    </w:p>
    <w:p>
      <w:pPr>
        <w:pStyle w:val="ListParagraph"/>
        <w:numPr>
          <w:ilvl w:val="0"/>
          <w:numId w:val="2"/>
        </w:numPr>
        <w:spacing w:after="100"/>
      </w:pPr>
      <w:r>
        <w:rPr>
          <w:rFonts w:ascii="Arial" w:cs="Arial" w:eastAsia="Arial" w:hAnsi="Arial"/>
          <w:sz w:val="24"/>
          <w:szCs w:val="24"/>
        </w:rPr>
        <w:t xml:space="preserve">Check gene essentiality: risk of systemic knockdown toxicity.</w:t>
      </w:r>
    </w:p>
    <w:p>
      <w:pPr>
        <w:pStyle w:val="ListParagraph"/>
        <w:numPr>
          <w:ilvl w:val="0"/>
          <w:numId w:val="2"/>
        </w:numPr>
        <w:spacing w:after="100"/>
      </w:pPr>
      <w:r>
        <w:rPr>
          <w:rFonts w:ascii="Arial" w:cs="Arial" w:eastAsia="Arial" w:hAnsi="Arial"/>
          <w:sz w:val="24"/>
          <w:szCs w:val="24"/>
        </w:rPr>
        <w:t xml:space="preserve">Review CRISPR specificity: count off-target sites, rank by relevance to target indication.</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Druggability score (0-100, higher = more tractable).</w:t>
      </w:r>
    </w:p>
    <w:p>
      <w:pPr>
        <w:pStyle w:val="ListParagraph"/>
        <w:numPr>
          <w:ilvl w:val="0"/>
          <w:numId w:val="2"/>
        </w:numPr>
        <w:spacing w:after="100"/>
      </w:pPr>
      <w:r>
        <w:rPr>
          <w:rFonts w:ascii="Arial" w:cs="Arial" w:eastAsia="Arial" w:hAnsi="Arial"/>
          <w:sz w:val="24"/>
          <w:szCs w:val="24"/>
        </w:rPr>
        <w:t xml:space="preserve">Risk flags: essentiality risk, off-target concern, organ toxicity risk.</w:t>
      </w:r>
    </w:p>
    <w:p>
      <w:pPr>
        <w:pStyle w:val="ListParagraph"/>
        <w:numPr>
          <w:ilvl w:val="0"/>
          <w:numId w:val="2"/>
        </w:numPr>
        <w:spacing w:after="100"/>
      </w:pPr>
      <w:r>
        <w:rPr>
          <w:rFonts w:ascii="Arial" w:cs="Arial" w:eastAsia="Arial" w:hAnsi="Arial"/>
          <w:sz w:val="24"/>
          <w:szCs w:val="24"/>
        </w:rPr>
        <w:t xml:space="preserve">Recommended modality (small molecule, ASO, antisense, CRISPR, protein therapy).</w:t>
      </w:r>
    </w:p>
    <w:p>
      <w:pPr>
        <w:pStyle w:val="ListParagraph"/>
        <w:numPr>
          <w:ilvl w:val="0"/>
          <w:numId w:val="2"/>
        </w:numPr>
        <w:spacing w:after="100"/>
      </w:pPr>
      <w:r>
        <w:rPr>
          <w:rFonts w:ascii="Arial" w:cs="Arial" w:eastAsia="Arial" w:hAnsi="Arial"/>
          <w:sz w:val="24"/>
          <w:szCs w:val="24"/>
        </w:rPr>
        <w:t xml:space="preserve">De-risking actions needed before advancement.</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Risk report with columns: [Gene, Druggability_Score, Modality_Fit, Essentiality_Risk, OffTarget_Risk, Toxicity_Risk, Recommended_DeRisking_Steps].</w:t>
      </w:r>
    </w:p>
    <w:p>
      <w:pPr>
        <w:pStyle w:val="Heading2"/>
        <w:spacing w:after="200" w:before="200"/>
      </w:pPr>
      <w:r>
        <w:t xml:space="preserve">Stage 6: White-Space Opportunity Ranking &amp; Recommendation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signal, competition, indication fit, and druggability into a final white-space opportunity ranking.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All prior stage outputs (signal, saturation, indication fit, druggability)</w:t>
      </w:r>
    </w:p>
    <w:p>
      <w:pPr>
        <w:pStyle w:val="ListParagraph"/>
        <w:numPr>
          <w:ilvl w:val="0"/>
          <w:numId w:val="2"/>
        </w:numPr>
        <w:spacing w:after="100"/>
      </w:pPr>
      <w:r>
        <w:rPr>
          <w:rFonts w:ascii="Arial" w:cs="Arial" w:eastAsia="Arial" w:hAnsi="Arial"/>
          <w:sz w:val="24"/>
          <w:szCs w:val="24"/>
        </w:rPr>
        <w:t xml:space="preserve">Weighting matrix (prioritize signal vs. competition vs. druggability vs. market size)</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Multi-criteria decision analysis (MCDA): </w:t>
      </w:r>
      <w:r>
        <w:rPr>
          <w:rFonts w:ascii="Arial" w:cs="Arial" w:eastAsia="Arial" w:hAnsi="Arial"/>
          <w:sz w:val="24"/>
          <w:szCs w:val="24"/>
        </w:rPr>
        <w:t xml:space="preserve">Weighted scoring of targets.</w:t>
      </w:r>
    </w:p>
    <w:p>
      <w:pPr>
        <w:pStyle w:val="ListParagraph"/>
        <w:numPr>
          <w:ilvl w:val="0"/>
          <w:numId w:val="2"/>
        </w:numPr>
        <w:spacing w:after="100"/>
      </w:pPr>
      <w:r>
        <w:rPr>
          <w:rFonts w:ascii="Arial" w:cs="Arial" w:eastAsia="Arial" w:hAnsi="Arial"/>
          <w:b/>
          <w:bCs/>
          <w:sz w:val="24"/>
          <w:szCs w:val="24"/>
        </w:rPr>
        <w:t xml:space="preserve">Executive summary dashboard: </w:t>
      </w:r>
      <w:r>
        <w:rPr>
          <w:rFonts w:ascii="Arial" w:cs="Arial" w:eastAsia="Arial" w:hAnsi="Arial"/>
          <w:sz w:val="24"/>
          <w:szCs w:val="24"/>
        </w:rPr>
        <w:t xml:space="preserve">Visualization and ranking.</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Apply weighting: 40% signal strength, 30% low saturation, 20% druggability, 10% market size.</w:t>
      </w:r>
    </w:p>
    <w:p>
      <w:pPr>
        <w:pStyle w:val="ListParagraph"/>
        <w:numPr>
          <w:ilvl w:val="0"/>
          <w:numId w:val="2"/>
        </w:numPr>
        <w:spacing w:after="100"/>
      </w:pPr>
      <w:r>
        <w:rPr>
          <w:rFonts w:ascii="Arial" w:cs="Arial" w:eastAsia="Arial" w:hAnsi="Arial"/>
          <w:sz w:val="24"/>
          <w:szCs w:val="24"/>
        </w:rPr>
        <w:t xml:space="preserve">Generate final white-space opportunity score (0-100) for each target.</w:t>
      </w:r>
    </w:p>
    <w:p>
      <w:pPr>
        <w:pStyle w:val="ListParagraph"/>
        <w:numPr>
          <w:ilvl w:val="0"/>
          <w:numId w:val="2"/>
        </w:numPr>
        <w:spacing w:after="100"/>
      </w:pPr>
      <w:r>
        <w:rPr>
          <w:rFonts w:ascii="Arial" w:cs="Arial" w:eastAsia="Arial" w:hAnsi="Arial"/>
          <w:sz w:val="24"/>
          <w:szCs w:val="24"/>
        </w:rPr>
        <w:t xml:space="preserve">Highlight top 10-20 targets for immediate investment consideration.</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Top 20 white-space targets ranked by opportunity score.</w:t>
      </w:r>
    </w:p>
    <w:p>
      <w:pPr>
        <w:pStyle w:val="ListParagraph"/>
        <w:numPr>
          <w:ilvl w:val="0"/>
          <w:numId w:val="2"/>
        </w:numPr>
        <w:spacing w:after="100"/>
      </w:pPr>
      <w:r>
        <w:rPr>
          <w:rFonts w:ascii="Arial" w:cs="Arial" w:eastAsia="Arial" w:hAnsi="Arial"/>
          <w:sz w:val="24"/>
          <w:szCs w:val="24"/>
        </w:rPr>
        <w:t xml:space="preserve">Executive summary per target (1-2 paragraphs): signal, competition gap, indication fit, modality recommendation.</w:t>
      </w:r>
    </w:p>
    <w:p>
      <w:pPr>
        <w:pStyle w:val="ListParagraph"/>
        <w:numPr>
          <w:ilvl w:val="0"/>
          <w:numId w:val="2"/>
        </w:numPr>
        <w:spacing w:after="100"/>
      </w:pPr>
      <w:r>
        <w:rPr>
          <w:rFonts w:ascii="Arial" w:cs="Arial" w:eastAsia="Arial" w:hAnsi="Arial"/>
          <w:sz w:val="24"/>
          <w:szCs w:val="24"/>
        </w:rPr>
        <w:t xml:space="preserve">Investment recommendation: immediate pursue, near-term investigation, or monitor.</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Ranked list with priority tier assignment. Include justification document for each top-10 target.</w:t>
      </w:r>
    </w:p>
    <w:p>
      <w:pPr>
        <w:pStyle w:val="Heading2"/>
        <w:spacing w:after="200" w:before="200"/>
      </w:pPr>
      <w:r>
        <w:t xml:space="preserve">Tools &amp; Databases Summary</w:t>
      </w:r>
    </w:p>
    <w:p>
      <w:pPr>
        <w:pStyle w:val="ListParagraph"/>
        <w:numPr>
          <w:ilvl w:val="0"/>
          <w:numId w:val="2"/>
        </w:numPr>
        <w:spacing w:after="100"/>
      </w:pPr>
      <w:r>
        <w:rPr>
          <w:rFonts w:ascii="Arial" w:cs="Arial" w:eastAsia="Arial" w:hAnsi="Arial"/>
          <w:b/>
          <w:bCs/>
          <w:sz w:val="24"/>
          <w:szCs w:val="24"/>
        </w:rPr>
        <w:t xml:space="preserve">Quiver Bioscience Data Lake: </w:t>
      </w:r>
      <w:r>
        <w:rPr>
          <w:rFonts w:ascii="Arial" w:cs="Arial" w:eastAsia="Arial" w:hAnsi="Arial"/>
          <w:sz w:val="24"/>
          <w:szCs w:val="24"/>
        </w:rPr>
        <w:t xml:space="preserve">Warehouses 18K CRISPR perturbation screens with electrophysiology readouts.</w:t>
      </w:r>
    </w:p>
    <w:p>
      <w:pPr>
        <w:pStyle w:val="ListParagraph"/>
        <w:numPr>
          <w:ilvl w:val="0"/>
          <w:numId w:val="2"/>
        </w:numPr>
        <w:spacing w:after="100"/>
      </w:pPr>
      <w:r>
        <w:rPr>
          <w:rFonts w:ascii="Arial" w:cs="Arial" w:eastAsia="Arial" w:hAnsi="Arial"/>
          <w:b/>
          <w:bCs/>
          <w:sz w:val="24"/>
          <w:szCs w:val="24"/>
        </w:rPr>
        <w:t xml:space="preserve">Python/Pandas: </w:t>
      </w:r>
      <w:r>
        <w:rPr>
          <w:rFonts w:ascii="Arial" w:cs="Arial" w:eastAsia="Arial" w:hAnsi="Arial"/>
          <w:sz w:val="24"/>
          <w:szCs w:val="24"/>
        </w:rPr>
        <w:t xml:space="preserve">Data wrangling, filtering, normalization of EP signals.</w:t>
      </w:r>
    </w:p>
    <w:p>
      <w:pPr>
        <w:pStyle w:val="ListParagraph"/>
        <w:numPr>
          <w:ilvl w:val="0"/>
          <w:numId w:val="2"/>
        </w:numPr>
        <w:spacing w:after="100"/>
      </w:pPr>
      <w:r>
        <w:rPr>
          <w:rFonts w:ascii="Arial" w:cs="Arial" w:eastAsia="Arial" w:hAnsi="Arial"/>
          <w:b/>
          <w:bCs/>
          <w:sz w:val="24"/>
          <w:szCs w:val="24"/>
        </w:rPr>
        <w:t xml:space="preserve">Scikit-learn: </w:t>
      </w:r>
      <w:r>
        <w:rPr>
          <w:rFonts w:ascii="Arial" w:cs="Arial" w:eastAsia="Arial" w:hAnsi="Arial"/>
          <w:sz w:val="24"/>
          <w:szCs w:val="24"/>
        </w:rPr>
        <w:t xml:space="preserve">Signal quantification (effect size calculation, outlier detection).</w:t>
      </w:r>
    </w:p>
    <w:p>
      <w:pPr>
        <w:pStyle w:val="ListParagraph"/>
        <w:numPr>
          <w:ilvl w:val="0"/>
          <w:numId w:val="2"/>
        </w:numPr>
        <w:spacing w:after="100"/>
      </w:pPr>
      <w:r>
        <w:rPr>
          <w:rFonts w:ascii="Arial" w:cs="Arial" w:eastAsia="Arial" w:hAnsi="Arial"/>
          <w:b/>
          <w:bCs/>
          <w:sz w:val="24"/>
          <w:szCs w:val="24"/>
        </w:rPr>
        <w:t xml:space="preserve">LexisNexis or Derwent Innovation: </w:t>
      </w:r>
      <w:r>
        <w:rPr>
          <w:rFonts w:ascii="Arial" w:cs="Arial" w:eastAsia="Arial" w:hAnsi="Arial"/>
          <w:sz w:val="24"/>
          <w:szCs w:val="24"/>
        </w:rPr>
        <w:t xml:space="preserve">Patent landscape queries for target genes.</w:t>
      </w:r>
    </w:p>
    <w:p>
      <w:pPr>
        <w:pStyle w:val="ListParagraph"/>
        <w:numPr>
          <w:ilvl w:val="0"/>
          <w:numId w:val="2"/>
        </w:numPr>
        <w:spacing w:after="100"/>
      </w:pPr>
      <w:r>
        <w:rPr>
          <w:rFonts w:ascii="Arial" w:cs="Arial" w:eastAsia="Arial" w:hAnsi="Arial"/>
          <w:b/>
          <w:bCs/>
          <w:sz w:val="24"/>
          <w:szCs w:val="24"/>
        </w:rPr>
        <w:t xml:space="preserve">Cortellis or Pharmaprojects: </w:t>
      </w:r>
      <w:r>
        <w:rPr>
          <w:rFonts w:ascii="Arial" w:cs="Arial" w:eastAsia="Arial" w:hAnsi="Arial"/>
          <w:sz w:val="24"/>
          <w:szCs w:val="24"/>
        </w:rPr>
        <w:t xml:space="preserve">Clinical trial and company pipeline data.</w:t>
      </w:r>
    </w:p>
    <w:p>
      <w:pPr>
        <w:pStyle w:val="ListParagraph"/>
        <w:numPr>
          <w:ilvl w:val="0"/>
          <w:numId w:val="2"/>
        </w:numPr>
        <w:spacing w:after="100"/>
      </w:pPr>
      <w:r>
        <w:rPr>
          <w:rFonts w:ascii="Arial" w:cs="Arial" w:eastAsia="Arial" w:hAnsi="Arial"/>
          <w:b/>
          <w:bCs/>
          <w:sz w:val="24"/>
          <w:szCs w:val="24"/>
        </w:rPr>
        <w:t xml:space="preserve">PubMed API: </w:t>
      </w:r>
      <w:r>
        <w:rPr>
          <w:rFonts w:ascii="Arial" w:cs="Arial" w:eastAsia="Arial" w:hAnsi="Arial"/>
          <w:sz w:val="24"/>
          <w:szCs w:val="24"/>
        </w:rPr>
        <w:t xml:space="preserve">Count publications per gene target.</w:t>
      </w:r>
    </w:p>
    <w:p>
      <w:pPr>
        <w:pStyle w:val="ListParagraph"/>
        <w:numPr>
          <w:ilvl w:val="0"/>
          <w:numId w:val="2"/>
        </w:numPr>
        <w:spacing w:after="100"/>
      </w:pPr>
      <w:r>
        <w:rPr>
          <w:rFonts w:ascii="Arial" w:cs="Arial" w:eastAsia="Arial" w:hAnsi="Arial"/>
          <w:b/>
          <w:bCs/>
          <w:sz w:val="24"/>
          <w:szCs w:val="24"/>
        </w:rPr>
        <w:t xml:space="preserve">Excel/Pandas: </w:t>
      </w:r>
      <w:r>
        <w:rPr>
          <w:rFonts w:ascii="Arial" w:cs="Arial" w:eastAsia="Arial" w:hAnsi="Arial"/>
          <w:sz w:val="24"/>
          <w:szCs w:val="24"/>
        </w:rPr>
        <w:t xml:space="preserve">Cross-tabulation and ranking of genes by dual criteria.</w:t>
      </w:r>
    </w:p>
    <w:p>
      <w:pPr>
        <w:pStyle w:val="ListParagraph"/>
        <w:numPr>
          <w:ilvl w:val="0"/>
          <w:numId w:val="2"/>
        </w:numPr>
        <w:spacing w:after="100"/>
      </w:pPr>
      <w:r>
        <w:rPr>
          <w:rFonts w:ascii="Arial" w:cs="Arial" w:eastAsia="Arial" w:hAnsi="Arial"/>
          <w:b/>
          <w:bCs/>
          <w:sz w:val="24"/>
          <w:szCs w:val="24"/>
        </w:rPr>
        <w:t xml:space="preserve">R or Python visualization: </w:t>
      </w:r>
      <w:r>
        <w:rPr>
          <w:rFonts w:ascii="Arial" w:cs="Arial" w:eastAsia="Arial" w:hAnsi="Arial"/>
          <w:sz w:val="24"/>
          <w:szCs w:val="24"/>
        </w:rPr>
        <w:t xml:space="preserve">2D scatter plot (signal vs. saturation) for manual inspection.</w:t>
      </w:r>
    </w:p>
    <w:p>
      <w:pPr>
        <w:pStyle w:val="ListParagraph"/>
        <w:numPr>
          <w:ilvl w:val="0"/>
          <w:numId w:val="2"/>
        </w:numPr>
        <w:spacing w:after="100"/>
      </w:pPr>
      <w:r>
        <w:rPr>
          <w:rFonts w:ascii="Arial" w:cs="Arial" w:eastAsia="Arial" w:hAnsi="Arial"/>
          <w:b/>
          <w:bCs/>
          <w:sz w:val="24"/>
          <w:szCs w:val="24"/>
        </w:rPr>
        <w:t xml:space="preserve">DisGeNET or DrugBank: </w:t>
      </w:r>
      <w:r>
        <w:rPr>
          <w:rFonts w:ascii="Arial" w:cs="Arial" w:eastAsia="Arial" w:hAnsi="Arial"/>
          <w:sz w:val="24"/>
          <w:szCs w:val="24"/>
        </w:rPr>
        <w:t xml:space="preserve">Gene-disease associations.</w:t>
      </w:r>
    </w:p>
    <w:p>
      <w:pPr>
        <w:pStyle w:val="ListParagraph"/>
        <w:numPr>
          <w:ilvl w:val="0"/>
          <w:numId w:val="2"/>
        </w:numPr>
        <w:spacing w:after="100"/>
      </w:pPr>
      <w:r>
        <w:rPr>
          <w:rFonts w:ascii="Arial" w:cs="Arial" w:eastAsia="Arial" w:hAnsi="Arial"/>
          <w:b/>
          <w:bCs/>
          <w:sz w:val="24"/>
          <w:szCs w:val="24"/>
        </w:rPr>
        <w:t xml:space="preserve">OMIM (Online Mendelian Inheritance in Man): </w:t>
      </w:r>
      <w:r>
        <w:rPr>
          <w:rFonts w:ascii="Arial" w:cs="Arial" w:eastAsia="Arial" w:hAnsi="Arial"/>
          <w:sz w:val="24"/>
          <w:szCs w:val="24"/>
        </w:rPr>
        <w:t xml:space="preserve">Genetic disorder information.</w:t>
      </w:r>
    </w:p>
    <w:p>
      <w:pPr>
        <w:pStyle w:val="ListParagraph"/>
        <w:numPr>
          <w:ilvl w:val="0"/>
          <w:numId w:val="2"/>
        </w:numPr>
        <w:spacing w:after="100"/>
      </w:pPr>
      <w:r>
        <w:rPr>
          <w:rFonts w:ascii="Arial" w:cs="Arial" w:eastAsia="Arial" w:hAnsi="Arial"/>
          <w:b/>
          <w:bCs/>
          <w:sz w:val="24"/>
          <w:szCs w:val="24"/>
        </w:rPr>
        <w:t xml:space="preserve">Expert manual curation: </w:t>
      </w:r>
      <w:r>
        <w:rPr>
          <w:rFonts w:ascii="Arial" w:cs="Arial" w:eastAsia="Arial" w:hAnsi="Arial"/>
          <w:sz w:val="24"/>
          <w:szCs w:val="24"/>
        </w:rPr>
        <w:t xml:space="preserve">Functional relevance scoring.</w:t>
      </w:r>
    </w:p>
    <w:p>
      <w:pPr>
        <w:pStyle w:val="ListParagraph"/>
        <w:numPr>
          <w:ilvl w:val="0"/>
          <w:numId w:val="2"/>
        </w:numPr>
        <w:spacing w:after="100"/>
      </w:pPr>
      <w:r>
        <w:rPr>
          <w:rFonts w:ascii="Arial" w:cs="Arial" w:eastAsia="Arial" w:hAnsi="Arial"/>
          <w:b/>
          <w:bCs/>
          <w:sz w:val="24"/>
          <w:szCs w:val="24"/>
        </w:rPr>
        <w:t xml:space="preserve">AlphaFold2 or Swiss-Model: </w:t>
      </w:r>
      <w:r>
        <w:rPr>
          <w:rFonts w:ascii="Arial" w:cs="Arial" w:eastAsia="Arial" w:hAnsi="Arial"/>
          <w:sz w:val="24"/>
          <w:szCs w:val="24"/>
        </w:rPr>
        <w:t xml:space="preserve">Protein structure prediction for druggability assessment.</w:t>
      </w:r>
    </w:p>
    <w:p>
      <w:pPr>
        <w:pStyle w:val="ListParagraph"/>
        <w:numPr>
          <w:ilvl w:val="0"/>
          <w:numId w:val="2"/>
        </w:numPr>
        <w:spacing w:after="100"/>
      </w:pPr>
      <w:r>
        <w:rPr>
          <w:rFonts w:ascii="Arial" w:cs="Arial" w:eastAsia="Arial" w:hAnsi="Arial"/>
          <w:b/>
          <w:bCs/>
          <w:sz w:val="24"/>
          <w:szCs w:val="24"/>
        </w:rPr>
        <w:t xml:space="preserve">Genecards or DepMap: </w:t>
      </w:r>
      <w:r>
        <w:rPr>
          <w:rFonts w:ascii="Arial" w:cs="Arial" w:eastAsia="Arial" w:hAnsi="Arial"/>
          <w:sz w:val="24"/>
          <w:szCs w:val="24"/>
        </w:rPr>
        <w:t xml:space="preserve">Off-target risk, gene essentiality data.</w:t>
      </w:r>
    </w:p>
    <w:p>
      <w:pPr>
        <w:pStyle w:val="ListParagraph"/>
        <w:numPr>
          <w:ilvl w:val="0"/>
          <w:numId w:val="2"/>
        </w:numPr>
        <w:spacing w:after="100"/>
      </w:pPr>
      <w:r>
        <w:rPr>
          <w:rFonts w:ascii="Arial" w:cs="Arial" w:eastAsia="Arial" w:hAnsi="Arial"/>
          <w:b/>
          <w:bCs/>
          <w:sz w:val="24"/>
          <w:szCs w:val="24"/>
        </w:rPr>
        <w:t xml:space="preserve">ToxicoDB or similar: </w:t>
      </w:r>
      <w:r>
        <w:rPr>
          <w:rFonts w:ascii="Arial" w:cs="Arial" w:eastAsia="Arial" w:hAnsi="Arial"/>
          <w:sz w:val="24"/>
          <w:szCs w:val="24"/>
        </w:rPr>
        <w:t xml:space="preserve">Known toxicity profiles for human orthologs.</w:t>
      </w:r>
    </w:p>
    <w:p>
      <w:pPr>
        <w:pStyle w:val="ListParagraph"/>
        <w:numPr>
          <w:ilvl w:val="0"/>
          <w:numId w:val="2"/>
        </w:numPr>
        <w:spacing w:after="100"/>
      </w:pPr>
      <w:r>
        <w:rPr>
          <w:rFonts w:ascii="Arial" w:cs="Arial" w:eastAsia="Arial" w:hAnsi="Arial"/>
          <w:b/>
          <w:bCs/>
          <w:sz w:val="24"/>
          <w:szCs w:val="24"/>
        </w:rPr>
        <w:t xml:space="preserve">Multi-criteria decision analysis (MCDA): </w:t>
      </w:r>
      <w:r>
        <w:rPr>
          <w:rFonts w:ascii="Arial" w:cs="Arial" w:eastAsia="Arial" w:hAnsi="Arial"/>
          <w:sz w:val="24"/>
          <w:szCs w:val="24"/>
        </w:rPr>
        <w:t xml:space="preserve">Weighted scoring of targets.</w:t>
      </w:r>
    </w:p>
    <w:p>
      <w:pPr>
        <w:pStyle w:val="ListParagraph"/>
        <w:numPr>
          <w:ilvl w:val="0"/>
          <w:numId w:val="2"/>
        </w:numPr>
        <w:spacing w:after="100"/>
      </w:pPr>
      <w:r>
        <w:rPr>
          <w:rFonts w:ascii="Arial" w:cs="Arial" w:eastAsia="Arial" w:hAnsi="Arial"/>
          <w:b/>
          <w:bCs/>
          <w:sz w:val="24"/>
          <w:szCs w:val="24"/>
        </w:rPr>
        <w:t xml:space="preserve">Executive summary dashboard: </w:t>
      </w:r>
      <w:r>
        <w:rPr>
          <w:rFonts w:ascii="Arial" w:cs="Arial" w:eastAsia="Arial" w:hAnsi="Arial"/>
          <w:sz w:val="24"/>
          <w:szCs w:val="24"/>
        </w:rPr>
        <w:t xml:space="preserve">Visualization and ranking.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2026-02-27T18:14:49.664Z</dcterms:created>
  <dcterms:modified xsi:type="dcterms:W3CDTF">2026-02-27T18:14:49.664Z</dcterms:modified>
</cp:coreProperties>
</file>

<file path=docProps/custom.xml><?xml version="1.0" encoding="utf-8"?>
<Properties xmlns="http://schemas.openxmlformats.org/officeDocument/2006/custom-properties" xmlns:vt="http://schemas.openxmlformats.org/officeDocument/2006/docPropsVTypes"/>
</file>