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Sapphire Pipeline Workflow</w:t>
      </w:r>
    </w:p>
    <w:p>
      <w:pPr>
        <w:pStyle w:val="Heading2"/>
        <w:spacing w:after="200" w:before="200"/>
      </w:pPr>
      <w:r>
        <w:rPr>
          <w:rFonts w:ascii="Arial" w:cs="Arial" w:eastAsia="Arial" w:hAnsi="Arial"/>
          <w:b/>
          <w:bCs/>
          <w:sz w:val="28"/>
          <w:szCs w:val="28"/>
        </w:rPr>
        <w:t xml:space="preserve">Prompt: </w:t>
      </w:r>
      <w:r>
        <w:rPr>
          <w:rFonts w:ascii="Arial" w:cs="Arial" w:eastAsia="Arial" w:hAnsi="Arial"/>
          <w:sz w:val="28"/>
          <w:szCs w:val="28"/>
        </w:rPr>
        <w:t xml:space="preserve">For gene X, estimate peak sales potential and regulatory risk profile.</w:t>
      </w:r>
    </w:p>
    <w:p>
      <w:pPr>
        <w:spacing w:after="200" w:line="360"/>
      </w:pPr>
      <w:r>
        <w:rPr>
          <w:rFonts w:ascii="Arial" w:cs="Arial" w:eastAsia="Arial" w:hAnsi="Arial"/>
          <w:sz w:val="24"/>
          <w:szCs w:val="24"/>
        </w:rPr>
        <w:t xml:space="preserve">Commercial and regulatory assessment — estimating peak sales based on patient population, pricing analogs, competitive dynamics, while profiling regulatory risks.</w:t>
      </w:r>
    </w:p>
    <w:p>
      <w:pPr>
        <w:pStyle w:val="Heading2"/>
        <w:spacing w:after="200" w:before="200"/>
      </w:pPr>
      <w:r>
        <w:t xml:space="preserve">Pipeline Overview</w:t>
      </w:r>
    </w:p>
    <w:p>
      <w:pPr>
        <w:spacing w:after="200" w:line="360"/>
      </w:pPr>
      <w:r>
        <w:rPr>
          <w:rFonts w:ascii="Arial" w:cs="Arial" w:eastAsia="Arial" w:hAnsi="Arial"/>
          <w:sz w:val="24"/>
          <w:szCs w:val="24"/>
        </w:rPr>
        <w:t xml:space="preserve">This pipeline workflow systematically addresses the prompt through a structured, 6-stage discovery and analysis process. Each stage builds upon the previous, integrating Quiver Bioscience's electrophysiology phenotyping data with competitive, clinical, and commercial intelligence to deliver actionable insights. The workflow emphasizes iterative refinement, validation of assumptions, and clear decision-making criteria to guide next steps in the therapeutic development program.</w:t>
      </w:r>
    </w:p>
    <w:p>
      <w:pPr>
        <w:pStyle w:val="Heading2"/>
        <w:spacing w:after="200" w:before="200"/>
      </w:pPr>
      <w:r>
        <w:t xml:space="preserve">Stage 1: Target Gene Selection &amp; Indication Definition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Select a specific gene target and define the primary therapeutic indication based on genetics, disease prevalence, and unmet medical need.</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Quiver white-space target (from Pipeline 066)</w:t>
      </w:r>
    </w:p>
    <w:p>
      <w:pPr>
        <w:pStyle w:val="ListParagraph"/>
        <w:numPr>
          <w:ilvl w:val="0"/>
          <w:numId w:val="2"/>
        </w:numPr>
        <w:spacing w:after="100"/>
      </w:pPr>
      <w:r>
        <w:rPr>
          <w:rFonts w:ascii="Arial" w:cs="Arial" w:eastAsia="Arial" w:hAnsi="Arial"/>
          <w:sz w:val="24"/>
          <w:szCs w:val="24"/>
        </w:rPr>
        <w:t xml:space="preserve">OMIM genetic disorder information</w:t>
      </w:r>
    </w:p>
    <w:p>
      <w:pPr>
        <w:pStyle w:val="ListParagraph"/>
        <w:numPr>
          <w:ilvl w:val="0"/>
          <w:numId w:val="2"/>
        </w:numPr>
        <w:spacing w:after="100"/>
      </w:pPr>
      <w:r>
        <w:rPr>
          <w:rFonts w:ascii="Arial" w:cs="Arial" w:eastAsia="Arial" w:hAnsi="Arial"/>
          <w:sz w:val="24"/>
          <w:szCs w:val="24"/>
        </w:rPr>
        <w:t xml:space="preserve">Disease prevalence data (epidemiological databases)</w:t>
      </w:r>
    </w:p>
    <w:p>
      <w:pPr>
        <w:pStyle w:val="ListParagraph"/>
        <w:numPr>
          <w:ilvl w:val="0"/>
          <w:numId w:val="2"/>
        </w:numPr>
        <w:spacing w:after="100"/>
      </w:pPr>
      <w:r>
        <w:rPr>
          <w:rFonts w:ascii="Arial" w:cs="Arial" w:eastAsia="Arial" w:hAnsi="Arial"/>
          <w:sz w:val="24"/>
          <w:szCs w:val="24"/>
        </w:rPr>
        <w:t xml:space="preserve">Clinical trial landscape for similar indications</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OMIM: </w:t>
      </w:r>
      <w:r>
        <w:rPr>
          <w:rFonts w:ascii="Arial" w:cs="Arial" w:eastAsia="Arial" w:hAnsi="Arial"/>
          <w:sz w:val="24"/>
          <w:szCs w:val="24"/>
        </w:rPr>
        <w:t xml:space="preserve">Genetic disease information and prevalence estimates.</w:t>
      </w:r>
    </w:p>
    <w:p>
      <w:pPr>
        <w:pStyle w:val="ListParagraph"/>
        <w:numPr>
          <w:ilvl w:val="0"/>
          <w:numId w:val="2"/>
        </w:numPr>
        <w:spacing w:after="100"/>
      </w:pPr>
      <w:r>
        <w:rPr>
          <w:rFonts w:ascii="Arial" w:cs="Arial" w:eastAsia="Arial" w:hAnsi="Arial"/>
          <w:b/>
          <w:bCs/>
          <w:sz w:val="24"/>
          <w:szCs w:val="24"/>
        </w:rPr>
        <w:t xml:space="preserve">Global Burden of Disease (GBD) Study: </w:t>
      </w:r>
      <w:r>
        <w:rPr>
          <w:rFonts w:ascii="Arial" w:cs="Arial" w:eastAsia="Arial" w:hAnsi="Arial"/>
          <w:sz w:val="24"/>
          <w:szCs w:val="24"/>
        </w:rPr>
        <w:t xml:space="preserve">Epidemiological prevalence by indication.</w:t>
      </w:r>
    </w:p>
    <w:p>
      <w:pPr>
        <w:pStyle w:val="ListParagraph"/>
        <w:numPr>
          <w:ilvl w:val="0"/>
          <w:numId w:val="2"/>
        </w:numPr>
        <w:spacing w:after="100"/>
      </w:pPr>
      <w:r>
        <w:rPr>
          <w:rFonts w:ascii="Arial" w:cs="Arial" w:eastAsia="Arial" w:hAnsi="Arial"/>
          <w:b/>
          <w:bCs/>
          <w:sz w:val="24"/>
          <w:szCs w:val="24"/>
        </w:rPr>
        <w:t xml:space="preserve">ClinicalTrials.gov: </w:t>
      </w:r>
      <w:r>
        <w:rPr>
          <w:rFonts w:ascii="Arial" w:cs="Arial" w:eastAsia="Arial" w:hAnsi="Arial"/>
          <w:sz w:val="24"/>
          <w:szCs w:val="24"/>
        </w:rPr>
        <w:t xml:space="preserve">Competitive clinical trial landscape.</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Define primary indication: disease name, genetic etiology, ICD-10/11 code.</w:t>
      </w:r>
    </w:p>
    <w:p>
      <w:pPr>
        <w:pStyle w:val="ListParagraph"/>
        <w:numPr>
          <w:ilvl w:val="0"/>
          <w:numId w:val="2"/>
        </w:numPr>
        <w:spacing w:after="100"/>
      </w:pPr>
      <w:r>
        <w:rPr>
          <w:rFonts w:ascii="Arial" w:cs="Arial" w:eastAsia="Arial" w:hAnsi="Arial"/>
          <w:sz w:val="24"/>
          <w:szCs w:val="24"/>
        </w:rPr>
        <w:t xml:space="preserve">Estimate global prevalence (diagnosed + undiagnosed).</w:t>
      </w:r>
    </w:p>
    <w:p>
      <w:pPr>
        <w:pStyle w:val="ListParagraph"/>
        <w:numPr>
          <w:ilvl w:val="0"/>
          <w:numId w:val="2"/>
        </w:numPr>
        <w:spacing w:after="100"/>
      </w:pPr>
      <w:r>
        <w:rPr>
          <w:rFonts w:ascii="Arial" w:cs="Arial" w:eastAsia="Arial" w:hAnsi="Arial"/>
          <w:sz w:val="24"/>
          <w:szCs w:val="24"/>
        </w:rPr>
        <w:t xml:space="preserve">Define target population for peak sales (diagnosed, treatment-eligible).</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Indication definition (disease name, genetics, patient population).</w:t>
      </w:r>
    </w:p>
    <w:p>
      <w:pPr>
        <w:pStyle w:val="ListParagraph"/>
        <w:numPr>
          <w:ilvl w:val="0"/>
          <w:numId w:val="2"/>
        </w:numPr>
        <w:spacing w:after="100"/>
      </w:pPr>
      <w:r>
        <w:rPr>
          <w:rFonts w:ascii="Arial" w:cs="Arial" w:eastAsia="Arial" w:hAnsi="Arial"/>
          <w:sz w:val="24"/>
          <w:szCs w:val="24"/>
        </w:rPr>
        <w:t xml:space="preserve">Epidemiological data (prevalence by geography, age group, severity).</w:t>
      </w:r>
    </w:p>
    <w:p>
      <w:pPr>
        <w:pStyle w:val="ListParagraph"/>
        <w:numPr>
          <w:ilvl w:val="0"/>
          <w:numId w:val="2"/>
        </w:numPr>
        <w:spacing w:after="100"/>
      </w:pPr>
      <w:r>
        <w:rPr>
          <w:rFonts w:ascii="Arial" w:cs="Arial" w:eastAsia="Arial" w:hAnsi="Arial"/>
          <w:sz w:val="24"/>
          <w:szCs w:val="24"/>
        </w:rPr>
        <w:t xml:space="preserve">Unmet medical need assessment (current standard of care, outcomes, gaps).</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Clinical indication profile document with sections: [Indication Name, Genetics, Prevalence (Global &amp; US/EU/Japan), Age of Onset, Mortality, Key Unmet Needs].</w:t>
      </w:r>
    </w:p>
    <w:p>
      <w:pPr>
        <w:pStyle w:val="Heading2"/>
        <w:spacing w:after="200" w:before="200"/>
      </w:pPr>
      <w:r>
        <w:t xml:space="preserve">Stage 2: Target Patient Population &amp; Addressable Market Sizing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Estimate the addressable patient population (diagnosed + diagnosed-but-untreated) and market size across major geographies.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Disease prevalence (global, US, EU, Japan, China, other)</w:t>
      </w:r>
    </w:p>
    <w:p>
      <w:pPr>
        <w:pStyle w:val="ListParagraph"/>
        <w:numPr>
          <w:ilvl w:val="0"/>
          <w:numId w:val="2"/>
        </w:numPr>
        <w:spacing w:after="100"/>
      </w:pPr>
      <w:r>
        <w:rPr>
          <w:rFonts w:ascii="Arial" w:cs="Arial" w:eastAsia="Arial" w:hAnsi="Arial"/>
          <w:sz w:val="24"/>
          <w:szCs w:val="24"/>
        </w:rPr>
        <w:t xml:space="preserve">Diagnosis rate (% of prevalent cases diagnosed)</w:t>
      </w:r>
    </w:p>
    <w:p>
      <w:pPr>
        <w:pStyle w:val="ListParagraph"/>
        <w:numPr>
          <w:ilvl w:val="0"/>
          <w:numId w:val="2"/>
        </w:numPr>
        <w:spacing w:after="100"/>
      </w:pPr>
      <w:r>
        <w:rPr>
          <w:rFonts w:ascii="Arial" w:cs="Arial" w:eastAsia="Arial" w:hAnsi="Arial"/>
          <w:sz w:val="24"/>
          <w:szCs w:val="24"/>
        </w:rPr>
        <w:t xml:space="preserve">Treatment rate (% of diagnosed patients on active therapy)</w:t>
      </w:r>
    </w:p>
    <w:p>
      <w:pPr>
        <w:pStyle w:val="ListParagraph"/>
        <w:numPr>
          <w:ilvl w:val="0"/>
          <w:numId w:val="2"/>
        </w:numPr>
        <w:spacing w:after="100"/>
      </w:pPr>
      <w:r>
        <w:rPr>
          <w:rFonts w:ascii="Arial" w:cs="Arial" w:eastAsia="Arial" w:hAnsi="Arial"/>
          <w:sz w:val="24"/>
          <w:szCs w:val="24"/>
        </w:rPr>
        <w:t xml:space="preserve">Mortality and aging demographics</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GBD Study, national disease registries: </w:t>
      </w:r>
      <w:r>
        <w:rPr>
          <w:rFonts w:ascii="Arial" w:cs="Arial" w:eastAsia="Arial" w:hAnsi="Arial"/>
          <w:sz w:val="24"/>
          <w:szCs w:val="24"/>
        </w:rPr>
        <w:t xml:space="preserve">Prevalence and incidence by geography.</w:t>
      </w:r>
    </w:p>
    <w:p>
      <w:pPr>
        <w:pStyle w:val="ListParagraph"/>
        <w:numPr>
          <w:ilvl w:val="0"/>
          <w:numId w:val="2"/>
        </w:numPr>
        <w:spacing w:after="100"/>
      </w:pPr>
      <w:r>
        <w:rPr>
          <w:rFonts w:ascii="Arial" w:cs="Arial" w:eastAsia="Arial" w:hAnsi="Arial"/>
          <w:b/>
          <w:bCs/>
          <w:sz w:val="24"/>
          <w:szCs w:val="24"/>
        </w:rPr>
        <w:t xml:space="preserve">Market research reports (IQVIA, Evaluate Pharma): </w:t>
      </w:r>
      <w:r>
        <w:rPr>
          <w:rFonts w:ascii="Arial" w:cs="Arial" w:eastAsia="Arial" w:hAnsi="Arial"/>
          <w:sz w:val="24"/>
          <w:szCs w:val="24"/>
        </w:rPr>
        <w:t xml:space="preserve">Diagnosis and treatment penetration rates.</w:t>
      </w:r>
    </w:p>
    <w:p>
      <w:pPr>
        <w:pStyle w:val="ListParagraph"/>
        <w:numPr>
          <w:ilvl w:val="0"/>
          <w:numId w:val="2"/>
        </w:numPr>
        <w:spacing w:after="100"/>
      </w:pPr>
      <w:r>
        <w:rPr>
          <w:rFonts w:ascii="Arial" w:cs="Arial" w:eastAsia="Arial" w:hAnsi="Arial"/>
          <w:b/>
          <w:bCs/>
          <w:sz w:val="24"/>
          <w:szCs w:val="24"/>
        </w:rPr>
        <w:t xml:space="preserve">World Bank, UN demographic data: </w:t>
      </w:r>
      <w:r>
        <w:rPr>
          <w:rFonts w:ascii="Arial" w:cs="Arial" w:eastAsia="Arial" w:hAnsi="Arial"/>
          <w:sz w:val="24"/>
          <w:szCs w:val="24"/>
        </w:rPr>
        <w:t xml:space="preserve">Population aging trends.</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Estimate global prevalent cases: include diagnosed + undiagnosed (from disease registries).</w:t>
      </w:r>
    </w:p>
    <w:p>
      <w:pPr>
        <w:pStyle w:val="ListParagraph"/>
        <w:numPr>
          <w:ilvl w:val="0"/>
          <w:numId w:val="2"/>
        </w:numPr>
        <w:spacing w:after="100"/>
      </w:pPr>
      <w:r>
        <w:rPr>
          <w:rFonts w:ascii="Arial" w:cs="Arial" w:eastAsia="Arial" w:hAnsi="Arial"/>
          <w:sz w:val="24"/>
          <w:szCs w:val="24"/>
        </w:rPr>
        <w:t xml:space="preserve">Apply diagnosis rate: % of prevalent cases with clinical diagnosis.</w:t>
      </w:r>
    </w:p>
    <w:p>
      <w:pPr>
        <w:pStyle w:val="ListParagraph"/>
        <w:numPr>
          <w:ilvl w:val="0"/>
          <w:numId w:val="2"/>
        </w:numPr>
        <w:spacing w:after="100"/>
      </w:pPr>
      <w:r>
        <w:rPr>
          <w:rFonts w:ascii="Arial" w:cs="Arial" w:eastAsia="Arial" w:hAnsi="Arial"/>
          <w:sz w:val="24"/>
          <w:szCs w:val="24"/>
        </w:rPr>
        <w:t xml:space="preserve">Apply treatment rate: % of diagnosed willing/able to take therapy.</w:t>
      </w:r>
    </w:p>
    <w:p>
      <w:pPr>
        <w:pStyle w:val="ListParagraph"/>
        <w:numPr>
          <w:ilvl w:val="0"/>
          <w:numId w:val="2"/>
        </w:numPr>
        <w:spacing w:after="100"/>
      </w:pPr>
      <w:r>
        <w:rPr>
          <w:rFonts w:ascii="Arial" w:cs="Arial" w:eastAsia="Arial" w:hAnsi="Arial"/>
          <w:sz w:val="24"/>
          <w:szCs w:val="24"/>
        </w:rPr>
        <w:t xml:space="preserve">Project diagnosed patient count by major market (US, EU-5, Japan, China, RoW).</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Addressable patient population (total treatable patients at peak penetration).</w:t>
      </w:r>
    </w:p>
    <w:p>
      <w:pPr>
        <w:pStyle w:val="ListParagraph"/>
        <w:numPr>
          <w:ilvl w:val="0"/>
          <w:numId w:val="2"/>
        </w:numPr>
        <w:spacing w:after="100"/>
      </w:pPr>
      <w:r>
        <w:rPr>
          <w:rFonts w:ascii="Arial" w:cs="Arial" w:eastAsia="Arial" w:hAnsi="Arial"/>
          <w:sz w:val="24"/>
          <w:szCs w:val="24"/>
        </w:rPr>
        <w:t xml:space="preserve">Patient breakdown by geography and disease severity.</w:t>
      </w:r>
    </w:p>
    <w:p>
      <w:pPr>
        <w:pStyle w:val="ListParagraph"/>
        <w:numPr>
          <w:ilvl w:val="0"/>
          <w:numId w:val="2"/>
        </w:numPr>
        <w:spacing w:after="100"/>
      </w:pPr>
      <w:r>
        <w:rPr>
          <w:rFonts w:ascii="Arial" w:cs="Arial" w:eastAsia="Arial" w:hAnsi="Arial"/>
          <w:sz w:val="24"/>
          <w:szCs w:val="24"/>
        </w:rPr>
        <w:t xml:space="preserve">Market size estimate in USD millions (current and projected peak).</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Market sizing table with columns: [Geography, Prevalent_Cases, Diagnosis_Rate, Diagnosed_Patients, Treatment_Rate, Addressable_Market_Patients, Market_Size_USD_M].</w:t>
      </w:r>
    </w:p>
    <w:p>
      <w:pPr>
        <w:pStyle w:val="Heading2"/>
        <w:spacing w:after="200" w:before="200"/>
      </w:pPr>
      <w:r>
        <w:t xml:space="preserve">Stage 3: Pricing Analog Research &amp; Willingness-to-Pay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comparable therapies and assess pricing benchmarks, reimbursement environment, and willingness-to-pay thresholds.</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Target indication and disease biology</w:t>
      </w:r>
    </w:p>
    <w:p>
      <w:pPr>
        <w:pStyle w:val="ListParagraph"/>
        <w:numPr>
          <w:ilvl w:val="0"/>
          <w:numId w:val="2"/>
        </w:numPr>
        <w:spacing w:after="100"/>
      </w:pPr>
      <w:r>
        <w:rPr>
          <w:rFonts w:ascii="Arial" w:cs="Arial" w:eastAsia="Arial" w:hAnsi="Arial"/>
          <w:sz w:val="24"/>
          <w:szCs w:val="24"/>
        </w:rPr>
        <w:t xml:space="preserve">Comparable approved therapies (disease area, efficacy, pricing)</w:t>
      </w:r>
    </w:p>
    <w:p>
      <w:pPr>
        <w:pStyle w:val="ListParagraph"/>
        <w:numPr>
          <w:ilvl w:val="0"/>
          <w:numId w:val="2"/>
        </w:numPr>
        <w:spacing w:after="100"/>
      </w:pPr>
      <w:r>
        <w:rPr>
          <w:rFonts w:ascii="Arial" w:cs="Arial" w:eastAsia="Arial" w:hAnsi="Arial"/>
          <w:sz w:val="24"/>
          <w:szCs w:val="24"/>
        </w:rPr>
        <w:t xml:space="preserve">Health economic and payer landscape (US PBM, EU HTAs, others)</w:t>
      </w:r>
    </w:p>
    <w:p>
      <w:pPr>
        <w:pStyle w:val="ListParagraph"/>
        <w:numPr>
          <w:ilvl w:val="0"/>
          <w:numId w:val="2"/>
        </w:numPr>
        <w:spacing w:after="100"/>
      </w:pPr>
      <w:r>
        <w:rPr>
          <w:rFonts w:ascii="Arial" w:cs="Arial" w:eastAsia="Arial" w:hAnsi="Arial"/>
          <w:sz w:val="24"/>
          <w:szCs w:val="24"/>
        </w:rPr>
        <w:t xml:space="preserve">Regulatory precedents (breakthrough designation, accelerated approval, orphan exclusivity)</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Evaluate Pharma, IQVIA drug pricing database: </w:t>
      </w:r>
      <w:r>
        <w:rPr>
          <w:rFonts w:ascii="Arial" w:cs="Arial" w:eastAsia="Arial" w:hAnsi="Arial"/>
          <w:sz w:val="24"/>
          <w:szCs w:val="24"/>
        </w:rPr>
        <w:t xml:space="preserve">Real-world pricing for comparators.</w:t>
      </w:r>
    </w:p>
    <w:p>
      <w:pPr>
        <w:pStyle w:val="ListParagraph"/>
        <w:numPr>
          <w:ilvl w:val="0"/>
          <w:numId w:val="2"/>
        </w:numPr>
        <w:spacing w:after="100"/>
      </w:pPr>
      <w:r>
        <w:rPr>
          <w:rFonts w:ascii="Arial" w:cs="Arial" w:eastAsia="Arial" w:hAnsi="Arial"/>
          <w:b/>
          <w:bCs/>
          <w:sz w:val="24"/>
          <w:szCs w:val="24"/>
        </w:rPr>
        <w:t xml:space="preserve">CMS pricing data, UK NICE, German AMNOG: </w:t>
      </w:r>
      <w:r>
        <w:rPr>
          <w:rFonts w:ascii="Arial" w:cs="Arial" w:eastAsia="Arial" w:hAnsi="Arial"/>
          <w:sz w:val="24"/>
          <w:szCs w:val="24"/>
        </w:rPr>
        <w:t xml:space="preserve">Payer reimbursement decisions.</w:t>
      </w:r>
    </w:p>
    <w:p>
      <w:pPr>
        <w:pStyle w:val="ListParagraph"/>
        <w:numPr>
          <w:ilvl w:val="0"/>
          <w:numId w:val="2"/>
        </w:numPr>
        <w:spacing w:after="100"/>
      </w:pPr>
      <w:r>
        <w:rPr>
          <w:rFonts w:ascii="Arial" w:cs="Arial" w:eastAsia="Arial" w:hAnsi="Arial"/>
          <w:b/>
          <w:bCs/>
          <w:sz w:val="24"/>
          <w:szCs w:val="24"/>
        </w:rPr>
        <w:t xml:space="preserve">HTA reports (EMA, NICE, SMC): </w:t>
      </w:r>
      <w:r>
        <w:rPr>
          <w:rFonts w:ascii="Arial" w:cs="Arial" w:eastAsia="Arial" w:hAnsi="Arial"/>
          <w:sz w:val="24"/>
          <w:szCs w:val="24"/>
        </w:rPr>
        <w:t xml:space="preserve">Value frameworks and pricing thresholds.</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Identify 2-5 comparable therapies (similar disease area, mechanism, or patient profile).</w:t>
      </w:r>
    </w:p>
    <w:p>
      <w:pPr>
        <w:pStyle w:val="ListParagraph"/>
        <w:numPr>
          <w:ilvl w:val="0"/>
          <w:numId w:val="2"/>
        </w:numPr>
        <w:spacing w:after="100"/>
      </w:pPr>
      <w:r>
        <w:rPr>
          <w:rFonts w:ascii="Arial" w:cs="Arial" w:eastAsia="Arial" w:hAnsi="Arial"/>
          <w:sz w:val="24"/>
          <w:szCs w:val="24"/>
        </w:rPr>
        <w:t xml:space="preserve">Extract: launch price, current price (peak), annual price per patient, pricing trend.</w:t>
      </w:r>
    </w:p>
    <w:p>
      <w:pPr>
        <w:pStyle w:val="ListParagraph"/>
        <w:numPr>
          <w:ilvl w:val="0"/>
          <w:numId w:val="2"/>
        </w:numPr>
        <w:spacing w:after="100"/>
      </w:pPr>
      <w:r>
        <w:rPr>
          <w:rFonts w:ascii="Arial" w:cs="Arial" w:eastAsia="Arial" w:hAnsi="Arial"/>
          <w:sz w:val="24"/>
          <w:szCs w:val="24"/>
        </w:rPr>
        <w:t xml:space="preserve">Research payer reimbursement decisions: coverage, restrictions, discounts.</w:t>
      </w:r>
    </w:p>
    <w:p>
      <w:pPr>
        <w:pStyle w:val="ListParagraph"/>
        <w:numPr>
          <w:ilvl w:val="0"/>
          <w:numId w:val="2"/>
        </w:numPr>
        <w:spacing w:after="100"/>
      </w:pPr>
      <w:r>
        <w:rPr>
          <w:rFonts w:ascii="Arial" w:cs="Arial" w:eastAsia="Arial" w:hAnsi="Arial"/>
          <w:sz w:val="24"/>
          <w:szCs w:val="24"/>
        </w:rPr>
        <w:t xml:space="preserve">Benchmark cost-per-QALY or cost-per-patient-benefit vs. payer willingness-to-pay (~$100-300k QALY in US, €25-50k in EU).</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Comparable therapy pricing matrix (launch price, peak annual price, trend).</w:t>
      </w:r>
    </w:p>
    <w:p>
      <w:pPr>
        <w:pStyle w:val="ListParagraph"/>
        <w:numPr>
          <w:ilvl w:val="0"/>
          <w:numId w:val="2"/>
        </w:numPr>
        <w:spacing w:after="100"/>
      </w:pPr>
      <w:r>
        <w:rPr>
          <w:rFonts w:ascii="Arial" w:cs="Arial" w:eastAsia="Arial" w:hAnsi="Arial"/>
          <w:sz w:val="24"/>
          <w:szCs w:val="24"/>
        </w:rPr>
        <w:t xml:space="preserve">Recommended pricing range for target drug (conservative, base, aggressive cases).</w:t>
      </w:r>
    </w:p>
    <w:p>
      <w:pPr>
        <w:pStyle w:val="ListParagraph"/>
        <w:numPr>
          <w:ilvl w:val="0"/>
          <w:numId w:val="2"/>
        </w:numPr>
        <w:spacing w:after="100"/>
      </w:pPr>
      <w:r>
        <w:rPr>
          <w:rFonts w:ascii="Arial" w:cs="Arial" w:eastAsia="Arial" w:hAnsi="Arial"/>
          <w:sz w:val="24"/>
          <w:szCs w:val="24"/>
        </w:rPr>
        <w:t xml:space="preserve">Payer reimbursement guidance (likely coverage scope, restrictions, discounts).</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Pricing analysis table with columns: [Comparable_Drug, Indication, Launch_Price_USD_K, Peak_Annual_Price_USD_K, Patients_per_Indication, Pricing_Trend, Payer_Coverage, Market_Share_Assumption].</w:t>
      </w:r>
    </w:p>
    <w:p>
      <w:pPr>
        <w:pStyle w:val="Heading2"/>
        <w:spacing w:after="200" w:before="200"/>
      </w:pPr>
      <w:r>
        <w:t xml:space="preserve">Stage 4: Competitive Dynamics &amp; Market Share Projection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Map the current and future competitive landscape; project market share and peak sales given competitive entry.</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Clinical trials in the indication (phases, patient numbers, timelines)</w:t>
      </w:r>
    </w:p>
    <w:p>
      <w:pPr>
        <w:pStyle w:val="ListParagraph"/>
        <w:numPr>
          <w:ilvl w:val="0"/>
          <w:numId w:val="2"/>
        </w:numPr>
        <w:spacing w:after="100"/>
      </w:pPr>
      <w:r>
        <w:rPr>
          <w:rFonts w:ascii="Arial" w:cs="Arial" w:eastAsia="Arial" w:hAnsi="Arial"/>
          <w:sz w:val="24"/>
          <w:szCs w:val="24"/>
        </w:rPr>
        <w:t xml:space="preserve">Known competitor programs (from patent and clinical trial databases)</w:t>
      </w:r>
    </w:p>
    <w:p>
      <w:pPr>
        <w:pStyle w:val="ListParagraph"/>
        <w:numPr>
          <w:ilvl w:val="0"/>
          <w:numId w:val="2"/>
        </w:numPr>
        <w:spacing w:after="100"/>
      </w:pPr>
      <w:r>
        <w:rPr>
          <w:rFonts w:ascii="Arial" w:cs="Arial" w:eastAsia="Arial" w:hAnsi="Arial"/>
          <w:sz w:val="24"/>
          <w:szCs w:val="24"/>
        </w:rPr>
        <w:t xml:space="preserve">Competitive advantages of target therapy (mechanism, efficacy, safety, convenience)</w:t>
      </w:r>
    </w:p>
    <w:p>
      <w:pPr>
        <w:pStyle w:val="ListParagraph"/>
        <w:numPr>
          <w:ilvl w:val="0"/>
          <w:numId w:val="2"/>
        </w:numPr>
        <w:spacing w:after="100"/>
      </w:pPr>
      <w:r>
        <w:rPr>
          <w:rFonts w:ascii="Arial" w:cs="Arial" w:eastAsia="Arial" w:hAnsi="Arial"/>
          <w:sz w:val="24"/>
          <w:szCs w:val="24"/>
        </w:rPr>
        <w:t xml:space="preserve">Market share analogs from similar therapeutic categories</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Clinical trial databases (ClinicalTrials.gov, EudraCT): </w:t>
      </w:r>
      <w:r>
        <w:rPr>
          <w:rFonts w:ascii="Arial" w:cs="Arial" w:eastAsia="Arial" w:hAnsi="Arial"/>
          <w:sz w:val="24"/>
          <w:szCs w:val="24"/>
        </w:rPr>
        <w:t xml:space="preserve">Competitor pipeline visibility.</w:t>
      </w:r>
    </w:p>
    <w:p>
      <w:pPr>
        <w:pStyle w:val="ListParagraph"/>
        <w:numPr>
          <w:ilvl w:val="0"/>
          <w:numId w:val="2"/>
        </w:numPr>
        <w:spacing w:after="100"/>
      </w:pPr>
      <w:r>
        <w:rPr>
          <w:rFonts w:ascii="Arial" w:cs="Arial" w:eastAsia="Arial" w:hAnsi="Arial"/>
          <w:b/>
          <w:bCs/>
          <w:sz w:val="24"/>
          <w:szCs w:val="24"/>
        </w:rPr>
        <w:t xml:space="preserve">Cortellis, Adis InSight: </w:t>
      </w:r>
      <w:r>
        <w:rPr>
          <w:rFonts w:ascii="Arial" w:cs="Arial" w:eastAsia="Arial" w:hAnsi="Arial"/>
          <w:sz w:val="24"/>
          <w:szCs w:val="24"/>
        </w:rPr>
        <w:t xml:space="preserve">Commercial pipeline intelligence.</w:t>
      </w:r>
    </w:p>
    <w:p>
      <w:pPr>
        <w:pStyle w:val="ListParagraph"/>
        <w:numPr>
          <w:ilvl w:val="0"/>
          <w:numId w:val="2"/>
        </w:numPr>
        <w:spacing w:after="100"/>
      </w:pPr>
      <w:r>
        <w:rPr>
          <w:rFonts w:ascii="Arial" w:cs="Arial" w:eastAsia="Arial" w:hAnsi="Arial"/>
          <w:b/>
          <w:bCs/>
          <w:sz w:val="24"/>
          <w:szCs w:val="24"/>
        </w:rPr>
        <w:t xml:space="preserve">Market research (IQVIA, BMI, Torreya): </w:t>
      </w:r>
      <w:r>
        <w:rPr>
          <w:rFonts w:ascii="Arial" w:cs="Arial" w:eastAsia="Arial" w:hAnsi="Arial"/>
          <w:sz w:val="24"/>
          <w:szCs w:val="24"/>
        </w:rPr>
        <w:t xml:space="preserve">Competitive market share assumptions.</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Identify current treatments (standard of care): market share, patient reach, pricing.</w:t>
      </w:r>
    </w:p>
    <w:p>
      <w:pPr>
        <w:pStyle w:val="ListParagraph"/>
        <w:numPr>
          <w:ilvl w:val="0"/>
          <w:numId w:val="2"/>
        </w:numPr>
        <w:spacing w:after="100"/>
      </w:pPr>
      <w:r>
        <w:rPr>
          <w:rFonts w:ascii="Arial" w:cs="Arial" w:eastAsia="Arial" w:hAnsi="Arial"/>
          <w:sz w:val="24"/>
          <w:szCs w:val="24"/>
        </w:rPr>
        <w:t xml:space="preserve">Identify Phase 3 competitors: expected approval timelines, expected market entry.</w:t>
      </w:r>
    </w:p>
    <w:p>
      <w:pPr>
        <w:pStyle w:val="ListParagraph"/>
        <w:numPr>
          <w:ilvl w:val="0"/>
          <w:numId w:val="2"/>
        </w:numPr>
        <w:spacing w:after="100"/>
      </w:pPr>
      <w:r>
        <w:rPr>
          <w:rFonts w:ascii="Arial" w:cs="Arial" w:eastAsia="Arial" w:hAnsi="Arial"/>
          <w:sz w:val="24"/>
          <w:szCs w:val="24"/>
        </w:rPr>
        <w:t xml:space="preserve">Identify Phase 2 competitors: risk of late-stage failure, potential approval delays.</w:t>
      </w:r>
    </w:p>
    <w:p>
      <w:pPr>
        <w:pStyle w:val="ListParagraph"/>
        <w:numPr>
          <w:ilvl w:val="0"/>
          <w:numId w:val="2"/>
        </w:numPr>
        <w:spacing w:after="100"/>
      </w:pPr>
      <w:r>
        <w:rPr>
          <w:rFonts w:ascii="Arial" w:cs="Arial" w:eastAsia="Arial" w:hAnsi="Arial"/>
          <w:sz w:val="24"/>
          <w:szCs w:val="24"/>
        </w:rPr>
        <w:t xml:space="preserve">Assess competitive advantage: mechanism superiority, safety, convenience, pricing.</w:t>
      </w:r>
    </w:p>
    <w:p>
      <w:pPr>
        <w:pStyle w:val="ListParagraph"/>
        <w:numPr>
          <w:ilvl w:val="0"/>
          <w:numId w:val="2"/>
        </w:numPr>
        <w:spacing w:after="100"/>
      </w:pPr>
      <w:r>
        <w:rPr>
          <w:rFonts w:ascii="Arial" w:cs="Arial" w:eastAsia="Arial" w:hAnsi="Arial"/>
          <w:sz w:val="24"/>
          <w:szCs w:val="24"/>
        </w:rPr>
        <w:t xml:space="preserve">Project market share scenarios: pessimistic (5%), base (15-25%), optimistic (35-50%).</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Competitive landscape map (current + future competitors, phases, timelines).</w:t>
      </w:r>
    </w:p>
    <w:p>
      <w:pPr>
        <w:pStyle w:val="ListParagraph"/>
        <w:numPr>
          <w:ilvl w:val="0"/>
          <w:numId w:val="2"/>
        </w:numPr>
        <w:spacing w:after="100"/>
      </w:pPr>
      <w:r>
        <w:rPr>
          <w:rFonts w:ascii="Arial" w:cs="Arial" w:eastAsia="Arial" w:hAnsi="Arial"/>
          <w:sz w:val="24"/>
          <w:szCs w:val="24"/>
        </w:rPr>
        <w:t xml:space="preserve">Market share assumptions (% of total market captured at peak).</w:t>
      </w:r>
    </w:p>
    <w:p>
      <w:pPr>
        <w:pStyle w:val="ListParagraph"/>
        <w:numPr>
          <w:ilvl w:val="0"/>
          <w:numId w:val="2"/>
        </w:numPr>
        <w:spacing w:after="100"/>
      </w:pPr>
      <w:r>
        <w:rPr>
          <w:rFonts w:ascii="Arial" w:cs="Arial" w:eastAsia="Arial" w:hAnsi="Arial"/>
          <w:sz w:val="24"/>
          <w:szCs w:val="24"/>
        </w:rPr>
        <w:t xml:space="preserve">Peak sales projections by scenario (pessimistic, base, optimistic).</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Competitive analysis with scenario modeling table: [Scenario, Market_Penetration_%, Patient_Share, Annual_Price_per_Patient_USD, Peak_Annual_Sales_USD_M].</w:t>
      </w:r>
    </w:p>
    <w:p>
      <w:pPr>
        <w:pStyle w:val="Heading2"/>
        <w:spacing w:after="200" w:before="200"/>
      </w:pPr>
      <w:r>
        <w:t xml:space="preserve">Stage 5: Regulatory Risk Profiling &amp; Approval Pathway Design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regulatory risks, design an optimal approval pathway, and estimate time-to-approval and success probability.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Target indication and unmet medical need</w:t>
      </w:r>
    </w:p>
    <w:p>
      <w:pPr>
        <w:pStyle w:val="ListParagraph"/>
        <w:numPr>
          <w:ilvl w:val="0"/>
          <w:numId w:val="2"/>
        </w:numPr>
        <w:spacing w:after="100"/>
      </w:pPr>
      <w:r>
        <w:rPr>
          <w:rFonts w:ascii="Arial" w:cs="Arial" w:eastAsia="Arial" w:hAnsi="Arial"/>
          <w:sz w:val="24"/>
          <w:szCs w:val="24"/>
        </w:rPr>
        <w:t xml:space="preserve">Quiver EP phenotype data and preliminary evidence of mechanism relevance</w:t>
      </w:r>
    </w:p>
    <w:p>
      <w:pPr>
        <w:pStyle w:val="ListParagraph"/>
        <w:numPr>
          <w:ilvl w:val="0"/>
          <w:numId w:val="2"/>
        </w:numPr>
        <w:spacing w:after="100"/>
      </w:pPr>
      <w:r>
        <w:rPr>
          <w:rFonts w:ascii="Arial" w:cs="Arial" w:eastAsia="Arial" w:hAnsi="Arial"/>
          <w:sz w:val="24"/>
          <w:szCs w:val="24"/>
        </w:rPr>
        <w:t xml:space="preserve">Regulatory precedents (similar programs, designations, approval timelines)</w:t>
      </w:r>
    </w:p>
    <w:p>
      <w:pPr>
        <w:pStyle w:val="ListParagraph"/>
        <w:numPr>
          <w:ilvl w:val="0"/>
          <w:numId w:val="2"/>
        </w:numPr>
        <w:spacing w:after="100"/>
      </w:pPr>
      <w:r>
        <w:rPr>
          <w:rFonts w:ascii="Arial" w:cs="Arial" w:eastAsia="Arial" w:hAnsi="Arial"/>
          <w:sz w:val="24"/>
          <w:szCs w:val="24"/>
        </w:rPr>
        <w:t xml:space="preserve">Drug modality and manufacturing complexity</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FDA guidance documents: </w:t>
      </w:r>
      <w:r>
        <w:rPr>
          <w:rFonts w:ascii="Arial" w:cs="Arial" w:eastAsia="Arial" w:hAnsi="Arial"/>
          <w:sz w:val="24"/>
          <w:szCs w:val="24"/>
        </w:rPr>
        <w:t xml:space="preserve">Indication-specific and modality-specific approval pathways.</w:t>
      </w:r>
    </w:p>
    <w:p>
      <w:pPr>
        <w:pStyle w:val="ListParagraph"/>
        <w:numPr>
          <w:ilvl w:val="0"/>
          <w:numId w:val="2"/>
        </w:numPr>
        <w:spacing w:after="100"/>
      </w:pPr>
      <w:r>
        <w:rPr>
          <w:rFonts w:ascii="Arial" w:cs="Arial" w:eastAsia="Arial" w:hAnsi="Arial"/>
          <w:b/>
          <w:bCs/>
          <w:sz w:val="24"/>
          <w:szCs w:val="24"/>
        </w:rPr>
        <w:t xml:space="preserve">EMA, ICH guidelines: </w:t>
      </w:r>
      <w:r>
        <w:rPr>
          <w:rFonts w:ascii="Arial" w:cs="Arial" w:eastAsia="Arial" w:hAnsi="Arial"/>
          <w:sz w:val="24"/>
          <w:szCs w:val="24"/>
        </w:rPr>
        <w:t xml:space="preserve">Global harmonized regulatory requirements.</w:t>
      </w:r>
    </w:p>
    <w:p>
      <w:pPr>
        <w:pStyle w:val="ListParagraph"/>
        <w:numPr>
          <w:ilvl w:val="0"/>
          <w:numId w:val="2"/>
        </w:numPr>
        <w:spacing w:after="100"/>
      </w:pPr>
      <w:r>
        <w:rPr>
          <w:rFonts w:ascii="Arial" w:cs="Arial" w:eastAsia="Arial" w:hAnsi="Arial"/>
          <w:b/>
          <w:bCs/>
          <w:sz w:val="24"/>
          <w:szCs w:val="24"/>
        </w:rPr>
        <w:t xml:space="preserve">REMS database, pharmacovigilance literature: </w:t>
      </w:r>
      <w:r>
        <w:rPr>
          <w:rFonts w:ascii="Arial" w:cs="Arial" w:eastAsia="Arial" w:hAnsi="Arial"/>
          <w:sz w:val="24"/>
          <w:szCs w:val="24"/>
        </w:rPr>
        <w:t xml:space="preserve">Safety profile assessment.</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Assess indication pathway: orphan, rare disease, unmet need, breakthrough status eligibility.</w:t>
      </w:r>
    </w:p>
    <w:p>
      <w:pPr>
        <w:pStyle w:val="ListParagraph"/>
        <w:numPr>
          <w:ilvl w:val="0"/>
          <w:numId w:val="2"/>
        </w:numPr>
        <w:spacing w:after="100"/>
      </w:pPr>
      <w:r>
        <w:rPr>
          <w:rFonts w:ascii="Arial" w:cs="Arial" w:eastAsia="Arial" w:hAnsi="Arial"/>
          <w:sz w:val="24"/>
          <w:szCs w:val="24"/>
        </w:rPr>
        <w:t xml:space="preserve">Identify key regulatory risks: mechanism of action uncertainty, off-target toxicity potential, patient recruitment for trials.</w:t>
      </w:r>
    </w:p>
    <w:p>
      <w:pPr>
        <w:pStyle w:val="ListParagraph"/>
        <w:numPr>
          <w:ilvl w:val="0"/>
          <w:numId w:val="2"/>
        </w:numPr>
        <w:spacing w:after="100"/>
      </w:pPr>
      <w:r>
        <w:rPr>
          <w:rFonts w:ascii="Arial" w:cs="Arial" w:eastAsia="Arial" w:hAnsi="Arial"/>
          <w:sz w:val="24"/>
          <w:szCs w:val="24"/>
        </w:rPr>
        <w:t xml:space="preserve">Design trial strategy: Phase 2 endpoint definition, Phase 3 confirmatory design, biomarker strategy.</w:t>
      </w:r>
    </w:p>
    <w:p>
      <w:pPr>
        <w:pStyle w:val="ListParagraph"/>
        <w:numPr>
          <w:ilvl w:val="0"/>
          <w:numId w:val="2"/>
        </w:numPr>
        <w:spacing w:after="100"/>
      </w:pPr>
      <w:r>
        <w:rPr>
          <w:rFonts w:ascii="Arial" w:cs="Arial" w:eastAsia="Arial" w:hAnsi="Arial"/>
          <w:sz w:val="24"/>
          <w:szCs w:val="24"/>
        </w:rPr>
        <w:t xml:space="preserve">Estimate timelines: IND approval (~1yr), Phase 1/2a (2-3yr), Phase 2b/3 (3-5yr), regulatory review (1-2yr).</w:t>
      </w:r>
    </w:p>
    <w:p>
      <w:pPr>
        <w:pStyle w:val="ListParagraph"/>
        <w:numPr>
          <w:ilvl w:val="0"/>
          <w:numId w:val="2"/>
        </w:numPr>
        <w:spacing w:after="100"/>
      </w:pPr>
      <w:r>
        <w:rPr>
          <w:rFonts w:ascii="Arial" w:cs="Arial" w:eastAsia="Arial" w:hAnsi="Arial"/>
          <w:sz w:val="24"/>
          <w:szCs w:val="24"/>
        </w:rPr>
        <w:t xml:space="preserve">Profile safety/efficacy risk factors: mechanism uncertainty, toxicity red flags, efficacy risk.</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Regulatory risk assessment (high/medium/low per risk category).</w:t>
      </w:r>
    </w:p>
    <w:p>
      <w:pPr>
        <w:pStyle w:val="ListParagraph"/>
        <w:numPr>
          <w:ilvl w:val="0"/>
          <w:numId w:val="2"/>
        </w:numPr>
        <w:spacing w:after="100"/>
      </w:pPr>
      <w:r>
        <w:rPr>
          <w:rFonts w:ascii="Arial" w:cs="Arial" w:eastAsia="Arial" w:hAnsi="Arial"/>
          <w:sz w:val="24"/>
          <w:szCs w:val="24"/>
        </w:rPr>
        <w:t xml:space="preserve">Recommended approval pathway (505(b)(1) standard, 505(b)(2), breakthrough designation, orphan status).</w:t>
      </w:r>
    </w:p>
    <w:p>
      <w:pPr>
        <w:pStyle w:val="ListParagraph"/>
        <w:numPr>
          <w:ilvl w:val="0"/>
          <w:numId w:val="2"/>
        </w:numPr>
        <w:spacing w:after="100"/>
      </w:pPr>
      <w:r>
        <w:rPr>
          <w:rFonts w:ascii="Arial" w:cs="Arial" w:eastAsia="Arial" w:hAnsi="Arial"/>
          <w:sz w:val="24"/>
          <w:szCs w:val="24"/>
        </w:rPr>
        <w:t xml:space="preserve">Time-to-approval estimate (expected and downside scenarios).</w:t>
      </w:r>
    </w:p>
    <w:p>
      <w:pPr>
        <w:pStyle w:val="ListParagraph"/>
        <w:numPr>
          <w:ilvl w:val="0"/>
          <w:numId w:val="2"/>
        </w:numPr>
        <w:spacing w:after="100"/>
      </w:pPr>
      <w:r>
        <w:rPr>
          <w:rFonts w:ascii="Arial" w:cs="Arial" w:eastAsia="Arial" w:hAnsi="Arial"/>
          <w:sz w:val="24"/>
          <w:szCs w:val="24"/>
        </w:rPr>
        <w:t xml:space="preserve">Probability of approval estimates by phase (Phase 2 success rate, Phase 3 success rate, NDA approval probability).</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Regulatory risk profile with columns: [Risk_Category, Risk_Level, Mitigation_Strategy, Approval_Impact, Timeline_Impact].</w:t>
      </w:r>
    </w:p>
    <w:p>
      <w:pPr>
        <w:pStyle w:val="Heading2"/>
        <w:spacing w:after="200" w:before="200"/>
      </w:pPr>
      <w:r>
        <w:t xml:space="preserve">Stage 6: Peak Sales &amp; Value Synthesis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market sizing, pricing, competition, and regulatory risk into a comprehensive peak sales estimate with confidence ranges.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Addressable patient population (Stage 2)</w:t>
      </w:r>
    </w:p>
    <w:p>
      <w:pPr>
        <w:pStyle w:val="ListParagraph"/>
        <w:numPr>
          <w:ilvl w:val="0"/>
          <w:numId w:val="2"/>
        </w:numPr>
        <w:spacing w:after="100"/>
      </w:pPr>
      <w:r>
        <w:rPr>
          <w:rFonts w:ascii="Arial" w:cs="Arial" w:eastAsia="Arial" w:hAnsi="Arial"/>
          <w:sz w:val="24"/>
          <w:szCs w:val="24"/>
        </w:rPr>
        <w:t xml:space="preserve">Pricing assumptions (Stage 3)</w:t>
      </w:r>
    </w:p>
    <w:p>
      <w:pPr>
        <w:pStyle w:val="ListParagraph"/>
        <w:numPr>
          <w:ilvl w:val="0"/>
          <w:numId w:val="2"/>
        </w:numPr>
        <w:spacing w:after="100"/>
      </w:pPr>
      <w:r>
        <w:rPr>
          <w:rFonts w:ascii="Arial" w:cs="Arial" w:eastAsia="Arial" w:hAnsi="Arial"/>
          <w:sz w:val="24"/>
          <w:szCs w:val="24"/>
        </w:rPr>
        <w:t xml:space="preserve">Market share scenarios (Stage 4)</w:t>
      </w:r>
    </w:p>
    <w:p>
      <w:pPr>
        <w:pStyle w:val="ListParagraph"/>
        <w:numPr>
          <w:ilvl w:val="0"/>
          <w:numId w:val="2"/>
        </w:numPr>
        <w:spacing w:after="100"/>
      </w:pPr>
      <w:r>
        <w:rPr>
          <w:rFonts w:ascii="Arial" w:cs="Arial" w:eastAsia="Arial" w:hAnsi="Arial"/>
          <w:sz w:val="24"/>
          <w:szCs w:val="24"/>
        </w:rPr>
        <w:t xml:space="preserve">Approval probability and time-to-peak (Stage 5)</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Monte Carlo simulation: </w:t>
      </w:r>
      <w:r>
        <w:rPr>
          <w:rFonts w:ascii="Arial" w:cs="Arial" w:eastAsia="Arial" w:hAnsi="Arial"/>
          <w:sz w:val="24"/>
          <w:szCs w:val="24"/>
        </w:rPr>
        <w:t xml:space="preserve">Sensitivity analysis on sales drivers.</w:t>
      </w:r>
    </w:p>
    <w:p>
      <w:pPr>
        <w:pStyle w:val="ListParagraph"/>
        <w:numPr>
          <w:ilvl w:val="0"/>
          <w:numId w:val="2"/>
        </w:numPr>
        <w:spacing w:after="100"/>
      </w:pPr>
      <w:r>
        <w:rPr>
          <w:rFonts w:ascii="Arial" w:cs="Arial" w:eastAsia="Arial" w:hAnsi="Arial"/>
          <w:b/>
          <w:bCs/>
          <w:sz w:val="24"/>
          <w:szCs w:val="24"/>
        </w:rPr>
        <w:t xml:space="preserve">NPV/IRR financial modeling: </w:t>
      </w:r>
      <w:r>
        <w:rPr>
          <w:rFonts w:ascii="Arial" w:cs="Arial" w:eastAsia="Arial" w:hAnsi="Arial"/>
          <w:sz w:val="24"/>
          <w:szCs w:val="24"/>
        </w:rPr>
        <w:t xml:space="preserve">Risk-adjusted value projection.</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Build base case peak sales: (addressable patients) × (market penetration %) × (annual price).</w:t>
      </w:r>
    </w:p>
    <w:p>
      <w:pPr>
        <w:pStyle w:val="ListParagraph"/>
        <w:numPr>
          <w:ilvl w:val="0"/>
          <w:numId w:val="2"/>
        </w:numPr>
        <w:spacing w:after="100"/>
      </w:pPr>
      <w:r>
        <w:rPr>
          <w:rFonts w:ascii="Arial" w:cs="Arial" w:eastAsia="Arial" w:hAnsi="Arial"/>
          <w:sz w:val="24"/>
          <w:szCs w:val="24"/>
        </w:rPr>
        <w:t xml:space="preserve">Apply regulatory risk discount: multiply by phase success rates and approval probability.</w:t>
      </w:r>
    </w:p>
    <w:p>
      <w:pPr>
        <w:pStyle w:val="ListParagraph"/>
        <w:numPr>
          <w:ilvl w:val="0"/>
          <w:numId w:val="2"/>
        </w:numPr>
        <w:spacing w:after="100"/>
      </w:pPr>
      <w:r>
        <w:rPr>
          <w:rFonts w:ascii="Arial" w:cs="Arial" w:eastAsia="Arial" w:hAnsi="Arial"/>
          <w:sz w:val="24"/>
          <w:szCs w:val="24"/>
        </w:rPr>
        <w:t xml:space="preserve">Generate scenarios: pessimistic (low penetration, low price, competitive loss), base (mid-range), optimistic (high penetration, premium pricing).</w:t>
      </w:r>
    </w:p>
    <w:p>
      <w:pPr>
        <w:pStyle w:val="ListParagraph"/>
        <w:numPr>
          <w:ilvl w:val="0"/>
          <w:numId w:val="2"/>
        </w:numPr>
        <w:spacing w:after="100"/>
      </w:pPr>
      <w:r>
        <w:rPr>
          <w:rFonts w:ascii="Arial" w:cs="Arial" w:eastAsia="Arial" w:hAnsi="Arial"/>
          <w:sz w:val="24"/>
          <w:szCs w:val="24"/>
        </w:rPr>
        <w:t xml:space="preserve">Calculate confidence range (10th-90th percentiles).</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Peak annual sales estimate (base case, USD millions).</w:t>
      </w:r>
    </w:p>
    <w:p>
      <w:pPr>
        <w:pStyle w:val="ListParagraph"/>
        <w:numPr>
          <w:ilvl w:val="0"/>
          <w:numId w:val="2"/>
        </w:numPr>
        <w:spacing w:after="100"/>
      </w:pPr>
      <w:r>
        <w:rPr>
          <w:rFonts w:ascii="Arial" w:cs="Arial" w:eastAsia="Arial" w:hAnsi="Arial"/>
          <w:sz w:val="24"/>
          <w:szCs w:val="24"/>
        </w:rPr>
        <w:t xml:space="preserve">Scenario analysis (pessimistic, base, optimistic).</w:t>
      </w:r>
    </w:p>
    <w:p>
      <w:pPr>
        <w:pStyle w:val="ListParagraph"/>
        <w:numPr>
          <w:ilvl w:val="0"/>
          <w:numId w:val="2"/>
        </w:numPr>
        <w:spacing w:after="100"/>
      </w:pPr>
      <w:r>
        <w:rPr>
          <w:rFonts w:ascii="Arial" w:cs="Arial" w:eastAsia="Arial" w:hAnsi="Arial"/>
          <w:sz w:val="24"/>
          <w:szCs w:val="24"/>
        </w:rPr>
        <w:t xml:space="preserve">Confidence range and key sensitivity drivers (patient addressability, market share, pricing, approval success).</w:t>
      </w:r>
    </w:p>
    <w:p>
      <w:pPr>
        <w:pStyle w:val="ListParagraph"/>
        <w:numPr>
          <w:ilvl w:val="0"/>
          <w:numId w:val="2"/>
        </w:numPr>
        <w:spacing w:after="100"/>
      </w:pPr>
      <w:r>
        <w:rPr>
          <w:rFonts w:ascii="Arial" w:cs="Arial" w:eastAsia="Arial" w:hAnsi="Arial"/>
          <w:sz w:val="24"/>
          <w:szCs w:val="24"/>
        </w:rPr>
        <w:t xml:space="preserve">Value synthesis: summary of upside potential and key value levers.</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Executive summary with peak sales table: [Scenario, Peak_Annual_Sales_USD_M, Approval_Probability, Time_to_Peak_Years, Confidence_Range_USD_M, NPV_Risk_Adjusted_USD_M].</w:t>
      </w:r>
    </w:p>
    <w:p>
      <w:pPr>
        <w:pStyle w:val="Heading2"/>
        <w:spacing w:after="200" w:before="200"/>
      </w:pPr>
      <w:r>
        <w:t xml:space="preserve">Tools &amp; Databases Summary</w:t>
      </w:r>
    </w:p>
    <w:p>
      <w:pPr>
        <w:pStyle w:val="ListParagraph"/>
        <w:numPr>
          <w:ilvl w:val="0"/>
          <w:numId w:val="2"/>
        </w:numPr>
        <w:spacing w:after="100"/>
      </w:pPr>
      <w:r>
        <w:rPr>
          <w:rFonts w:ascii="Arial" w:cs="Arial" w:eastAsia="Arial" w:hAnsi="Arial"/>
          <w:b/>
          <w:bCs/>
          <w:sz w:val="24"/>
          <w:szCs w:val="24"/>
        </w:rPr>
        <w:t xml:space="preserve">OMIM: </w:t>
      </w:r>
      <w:r>
        <w:rPr>
          <w:rFonts w:ascii="Arial" w:cs="Arial" w:eastAsia="Arial" w:hAnsi="Arial"/>
          <w:sz w:val="24"/>
          <w:szCs w:val="24"/>
        </w:rPr>
        <w:t xml:space="preserve">Genetic disease information and prevalence estimates.</w:t>
      </w:r>
    </w:p>
    <w:p>
      <w:pPr>
        <w:pStyle w:val="ListParagraph"/>
        <w:numPr>
          <w:ilvl w:val="0"/>
          <w:numId w:val="2"/>
        </w:numPr>
        <w:spacing w:after="100"/>
      </w:pPr>
      <w:r>
        <w:rPr>
          <w:rFonts w:ascii="Arial" w:cs="Arial" w:eastAsia="Arial" w:hAnsi="Arial"/>
          <w:b/>
          <w:bCs/>
          <w:sz w:val="24"/>
          <w:szCs w:val="24"/>
        </w:rPr>
        <w:t xml:space="preserve">Global Burden of Disease (GBD) Study: </w:t>
      </w:r>
      <w:r>
        <w:rPr>
          <w:rFonts w:ascii="Arial" w:cs="Arial" w:eastAsia="Arial" w:hAnsi="Arial"/>
          <w:sz w:val="24"/>
          <w:szCs w:val="24"/>
        </w:rPr>
        <w:t xml:space="preserve">Epidemiological prevalence by indication.</w:t>
      </w:r>
    </w:p>
    <w:p>
      <w:pPr>
        <w:pStyle w:val="ListParagraph"/>
        <w:numPr>
          <w:ilvl w:val="0"/>
          <w:numId w:val="2"/>
        </w:numPr>
        <w:spacing w:after="100"/>
      </w:pPr>
      <w:r>
        <w:rPr>
          <w:rFonts w:ascii="Arial" w:cs="Arial" w:eastAsia="Arial" w:hAnsi="Arial"/>
          <w:b/>
          <w:bCs/>
          <w:sz w:val="24"/>
          <w:szCs w:val="24"/>
        </w:rPr>
        <w:t xml:space="preserve">ClinicalTrials.gov: </w:t>
      </w:r>
      <w:r>
        <w:rPr>
          <w:rFonts w:ascii="Arial" w:cs="Arial" w:eastAsia="Arial" w:hAnsi="Arial"/>
          <w:sz w:val="24"/>
          <w:szCs w:val="24"/>
        </w:rPr>
        <w:t xml:space="preserve">Competitive clinical trial landscape.</w:t>
      </w:r>
    </w:p>
    <w:p>
      <w:pPr>
        <w:pStyle w:val="ListParagraph"/>
        <w:numPr>
          <w:ilvl w:val="0"/>
          <w:numId w:val="2"/>
        </w:numPr>
        <w:spacing w:after="100"/>
      </w:pPr>
      <w:r>
        <w:rPr>
          <w:rFonts w:ascii="Arial" w:cs="Arial" w:eastAsia="Arial" w:hAnsi="Arial"/>
          <w:b/>
          <w:bCs/>
          <w:sz w:val="24"/>
          <w:szCs w:val="24"/>
        </w:rPr>
        <w:t xml:space="preserve">GBD Study, national disease registries: </w:t>
      </w:r>
      <w:r>
        <w:rPr>
          <w:rFonts w:ascii="Arial" w:cs="Arial" w:eastAsia="Arial" w:hAnsi="Arial"/>
          <w:sz w:val="24"/>
          <w:szCs w:val="24"/>
        </w:rPr>
        <w:t xml:space="preserve">Prevalence and incidence by geography.</w:t>
      </w:r>
    </w:p>
    <w:p>
      <w:pPr>
        <w:pStyle w:val="ListParagraph"/>
        <w:numPr>
          <w:ilvl w:val="0"/>
          <w:numId w:val="2"/>
        </w:numPr>
        <w:spacing w:after="100"/>
      </w:pPr>
      <w:r>
        <w:rPr>
          <w:rFonts w:ascii="Arial" w:cs="Arial" w:eastAsia="Arial" w:hAnsi="Arial"/>
          <w:b/>
          <w:bCs/>
          <w:sz w:val="24"/>
          <w:szCs w:val="24"/>
        </w:rPr>
        <w:t xml:space="preserve">Market research reports (IQVIA, Evaluate Pharma): </w:t>
      </w:r>
      <w:r>
        <w:rPr>
          <w:rFonts w:ascii="Arial" w:cs="Arial" w:eastAsia="Arial" w:hAnsi="Arial"/>
          <w:sz w:val="24"/>
          <w:szCs w:val="24"/>
        </w:rPr>
        <w:t xml:space="preserve">Diagnosis and treatment penetration rates.</w:t>
      </w:r>
    </w:p>
    <w:p>
      <w:pPr>
        <w:pStyle w:val="ListParagraph"/>
        <w:numPr>
          <w:ilvl w:val="0"/>
          <w:numId w:val="2"/>
        </w:numPr>
        <w:spacing w:after="100"/>
      </w:pPr>
      <w:r>
        <w:rPr>
          <w:rFonts w:ascii="Arial" w:cs="Arial" w:eastAsia="Arial" w:hAnsi="Arial"/>
          <w:b/>
          <w:bCs/>
          <w:sz w:val="24"/>
          <w:szCs w:val="24"/>
        </w:rPr>
        <w:t xml:space="preserve">World Bank, UN demographic data: </w:t>
      </w:r>
      <w:r>
        <w:rPr>
          <w:rFonts w:ascii="Arial" w:cs="Arial" w:eastAsia="Arial" w:hAnsi="Arial"/>
          <w:sz w:val="24"/>
          <w:szCs w:val="24"/>
        </w:rPr>
        <w:t xml:space="preserve">Population aging trends.</w:t>
      </w:r>
    </w:p>
    <w:p>
      <w:pPr>
        <w:pStyle w:val="ListParagraph"/>
        <w:numPr>
          <w:ilvl w:val="0"/>
          <w:numId w:val="2"/>
        </w:numPr>
        <w:spacing w:after="100"/>
      </w:pPr>
      <w:r>
        <w:rPr>
          <w:rFonts w:ascii="Arial" w:cs="Arial" w:eastAsia="Arial" w:hAnsi="Arial"/>
          <w:b/>
          <w:bCs/>
          <w:sz w:val="24"/>
          <w:szCs w:val="24"/>
        </w:rPr>
        <w:t xml:space="preserve">Evaluate Pharma, IQVIA drug pricing database: </w:t>
      </w:r>
      <w:r>
        <w:rPr>
          <w:rFonts w:ascii="Arial" w:cs="Arial" w:eastAsia="Arial" w:hAnsi="Arial"/>
          <w:sz w:val="24"/>
          <w:szCs w:val="24"/>
        </w:rPr>
        <w:t xml:space="preserve">Real-world pricing for comparators.</w:t>
      </w:r>
    </w:p>
    <w:p>
      <w:pPr>
        <w:pStyle w:val="ListParagraph"/>
        <w:numPr>
          <w:ilvl w:val="0"/>
          <w:numId w:val="2"/>
        </w:numPr>
        <w:spacing w:after="100"/>
      </w:pPr>
      <w:r>
        <w:rPr>
          <w:rFonts w:ascii="Arial" w:cs="Arial" w:eastAsia="Arial" w:hAnsi="Arial"/>
          <w:b/>
          <w:bCs/>
          <w:sz w:val="24"/>
          <w:szCs w:val="24"/>
        </w:rPr>
        <w:t xml:space="preserve">CMS pricing data, UK NICE, German AMNOG: </w:t>
      </w:r>
      <w:r>
        <w:rPr>
          <w:rFonts w:ascii="Arial" w:cs="Arial" w:eastAsia="Arial" w:hAnsi="Arial"/>
          <w:sz w:val="24"/>
          <w:szCs w:val="24"/>
        </w:rPr>
        <w:t xml:space="preserve">Payer reimbursement decisions.</w:t>
      </w:r>
    </w:p>
    <w:p>
      <w:pPr>
        <w:pStyle w:val="ListParagraph"/>
        <w:numPr>
          <w:ilvl w:val="0"/>
          <w:numId w:val="2"/>
        </w:numPr>
        <w:spacing w:after="100"/>
      </w:pPr>
      <w:r>
        <w:rPr>
          <w:rFonts w:ascii="Arial" w:cs="Arial" w:eastAsia="Arial" w:hAnsi="Arial"/>
          <w:b/>
          <w:bCs/>
          <w:sz w:val="24"/>
          <w:szCs w:val="24"/>
        </w:rPr>
        <w:t xml:space="preserve">HTA reports (EMA, NICE, SMC): </w:t>
      </w:r>
      <w:r>
        <w:rPr>
          <w:rFonts w:ascii="Arial" w:cs="Arial" w:eastAsia="Arial" w:hAnsi="Arial"/>
          <w:sz w:val="24"/>
          <w:szCs w:val="24"/>
        </w:rPr>
        <w:t xml:space="preserve">Value frameworks and pricing thresholds.</w:t>
      </w:r>
    </w:p>
    <w:p>
      <w:pPr>
        <w:pStyle w:val="ListParagraph"/>
        <w:numPr>
          <w:ilvl w:val="0"/>
          <w:numId w:val="2"/>
        </w:numPr>
        <w:spacing w:after="100"/>
      </w:pPr>
      <w:r>
        <w:rPr>
          <w:rFonts w:ascii="Arial" w:cs="Arial" w:eastAsia="Arial" w:hAnsi="Arial"/>
          <w:b/>
          <w:bCs/>
          <w:sz w:val="24"/>
          <w:szCs w:val="24"/>
        </w:rPr>
        <w:t xml:space="preserve">Clinical trial databases (ClinicalTrials.gov, EudraCT): </w:t>
      </w:r>
      <w:r>
        <w:rPr>
          <w:rFonts w:ascii="Arial" w:cs="Arial" w:eastAsia="Arial" w:hAnsi="Arial"/>
          <w:sz w:val="24"/>
          <w:szCs w:val="24"/>
        </w:rPr>
        <w:t xml:space="preserve">Competitor pipeline visibility.</w:t>
      </w:r>
    </w:p>
    <w:p>
      <w:pPr>
        <w:pStyle w:val="ListParagraph"/>
        <w:numPr>
          <w:ilvl w:val="0"/>
          <w:numId w:val="2"/>
        </w:numPr>
        <w:spacing w:after="100"/>
      </w:pPr>
      <w:r>
        <w:rPr>
          <w:rFonts w:ascii="Arial" w:cs="Arial" w:eastAsia="Arial" w:hAnsi="Arial"/>
          <w:b/>
          <w:bCs/>
          <w:sz w:val="24"/>
          <w:szCs w:val="24"/>
        </w:rPr>
        <w:t xml:space="preserve">Cortellis, Adis InSight: </w:t>
      </w:r>
      <w:r>
        <w:rPr>
          <w:rFonts w:ascii="Arial" w:cs="Arial" w:eastAsia="Arial" w:hAnsi="Arial"/>
          <w:sz w:val="24"/>
          <w:szCs w:val="24"/>
        </w:rPr>
        <w:t xml:space="preserve">Commercial pipeline intelligence.</w:t>
      </w:r>
    </w:p>
    <w:p>
      <w:pPr>
        <w:pStyle w:val="ListParagraph"/>
        <w:numPr>
          <w:ilvl w:val="0"/>
          <w:numId w:val="2"/>
        </w:numPr>
        <w:spacing w:after="100"/>
      </w:pPr>
      <w:r>
        <w:rPr>
          <w:rFonts w:ascii="Arial" w:cs="Arial" w:eastAsia="Arial" w:hAnsi="Arial"/>
          <w:b/>
          <w:bCs/>
          <w:sz w:val="24"/>
          <w:szCs w:val="24"/>
        </w:rPr>
        <w:t xml:space="preserve">Market research (IQVIA, BMI, Torreya): </w:t>
      </w:r>
      <w:r>
        <w:rPr>
          <w:rFonts w:ascii="Arial" w:cs="Arial" w:eastAsia="Arial" w:hAnsi="Arial"/>
          <w:sz w:val="24"/>
          <w:szCs w:val="24"/>
        </w:rPr>
        <w:t xml:space="preserve">Competitive market share assumptions.</w:t>
      </w:r>
    </w:p>
    <w:p>
      <w:pPr>
        <w:pStyle w:val="ListParagraph"/>
        <w:numPr>
          <w:ilvl w:val="0"/>
          <w:numId w:val="2"/>
        </w:numPr>
        <w:spacing w:after="100"/>
      </w:pPr>
      <w:r>
        <w:rPr>
          <w:rFonts w:ascii="Arial" w:cs="Arial" w:eastAsia="Arial" w:hAnsi="Arial"/>
          <w:b/>
          <w:bCs/>
          <w:sz w:val="24"/>
          <w:szCs w:val="24"/>
        </w:rPr>
        <w:t xml:space="preserve">FDA guidance documents: </w:t>
      </w:r>
      <w:r>
        <w:rPr>
          <w:rFonts w:ascii="Arial" w:cs="Arial" w:eastAsia="Arial" w:hAnsi="Arial"/>
          <w:sz w:val="24"/>
          <w:szCs w:val="24"/>
        </w:rPr>
        <w:t xml:space="preserve">Indication-specific and modality-specific approval pathways.</w:t>
      </w:r>
    </w:p>
    <w:p>
      <w:pPr>
        <w:pStyle w:val="ListParagraph"/>
        <w:numPr>
          <w:ilvl w:val="0"/>
          <w:numId w:val="2"/>
        </w:numPr>
        <w:spacing w:after="100"/>
      </w:pPr>
      <w:r>
        <w:rPr>
          <w:rFonts w:ascii="Arial" w:cs="Arial" w:eastAsia="Arial" w:hAnsi="Arial"/>
          <w:b/>
          <w:bCs/>
          <w:sz w:val="24"/>
          <w:szCs w:val="24"/>
        </w:rPr>
        <w:t xml:space="preserve">EMA, ICH guidelines: </w:t>
      </w:r>
      <w:r>
        <w:rPr>
          <w:rFonts w:ascii="Arial" w:cs="Arial" w:eastAsia="Arial" w:hAnsi="Arial"/>
          <w:sz w:val="24"/>
          <w:szCs w:val="24"/>
        </w:rPr>
        <w:t xml:space="preserve">Global harmonized regulatory requirements.</w:t>
      </w:r>
    </w:p>
    <w:p>
      <w:pPr>
        <w:pStyle w:val="ListParagraph"/>
        <w:numPr>
          <w:ilvl w:val="0"/>
          <w:numId w:val="2"/>
        </w:numPr>
        <w:spacing w:after="100"/>
      </w:pPr>
      <w:r>
        <w:rPr>
          <w:rFonts w:ascii="Arial" w:cs="Arial" w:eastAsia="Arial" w:hAnsi="Arial"/>
          <w:b/>
          <w:bCs/>
          <w:sz w:val="24"/>
          <w:szCs w:val="24"/>
        </w:rPr>
        <w:t xml:space="preserve">REMS database, pharmacovigilance literature: </w:t>
      </w:r>
      <w:r>
        <w:rPr>
          <w:rFonts w:ascii="Arial" w:cs="Arial" w:eastAsia="Arial" w:hAnsi="Arial"/>
          <w:sz w:val="24"/>
          <w:szCs w:val="24"/>
        </w:rPr>
        <w:t xml:space="preserve">Safety profile assessment.</w:t>
      </w:r>
    </w:p>
    <w:p>
      <w:pPr>
        <w:pStyle w:val="ListParagraph"/>
        <w:numPr>
          <w:ilvl w:val="0"/>
          <w:numId w:val="2"/>
        </w:numPr>
        <w:spacing w:after="100"/>
      </w:pPr>
      <w:r>
        <w:rPr>
          <w:rFonts w:ascii="Arial" w:cs="Arial" w:eastAsia="Arial" w:hAnsi="Arial"/>
          <w:b/>
          <w:bCs/>
          <w:sz w:val="24"/>
          <w:szCs w:val="24"/>
        </w:rPr>
        <w:t xml:space="preserve">Monte Carlo simulation: </w:t>
      </w:r>
      <w:r>
        <w:rPr>
          <w:rFonts w:ascii="Arial" w:cs="Arial" w:eastAsia="Arial" w:hAnsi="Arial"/>
          <w:sz w:val="24"/>
          <w:szCs w:val="24"/>
        </w:rPr>
        <w:t xml:space="preserve">Sensitivity analysis on sales drivers.</w:t>
      </w:r>
    </w:p>
    <w:p>
      <w:pPr>
        <w:pStyle w:val="ListParagraph"/>
        <w:numPr>
          <w:ilvl w:val="0"/>
          <w:numId w:val="2"/>
        </w:numPr>
        <w:spacing w:after="100"/>
      </w:pPr>
      <w:r>
        <w:rPr>
          <w:rFonts w:ascii="Arial" w:cs="Arial" w:eastAsia="Arial" w:hAnsi="Arial"/>
          <w:b/>
          <w:bCs/>
          <w:sz w:val="24"/>
          <w:szCs w:val="24"/>
        </w:rPr>
        <w:t xml:space="preserve">NPV/IRR financial modeling: </w:t>
      </w:r>
      <w:r>
        <w:rPr>
          <w:rFonts w:ascii="Arial" w:cs="Arial" w:eastAsia="Arial" w:hAnsi="Arial"/>
          <w:sz w:val="24"/>
          <w:szCs w:val="24"/>
        </w:rPr>
        <w:t xml:space="preserve">Risk-adjusted value projection.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2026-02-27T18:14:49.704Z</dcterms:created>
  <dcterms:modified xsi:type="dcterms:W3CDTF">2026-02-27T18:14:49.704Z</dcterms:modified>
</cp:coreProperties>
</file>

<file path=docProps/custom.xml><?xml version="1.0" encoding="utf-8"?>
<Properties xmlns="http://schemas.openxmlformats.org/officeDocument/2006/custom-properties" xmlns:vt="http://schemas.openxmlformats.org/officeDocument/2006/docPropsVTypes"/>
</file>