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rPr>
          <w:rFonts w:ascii="Arial" w:cs="Arial" w:eastAsia="Arial" w:hAnsi="Arial"/>
          <w:b/>
          <w:bCs/>
          <w:sz w:val="28"/>
          <w:szCs w:val="28"/>
        </w:rPr>
        <w:t xml:space="preserve">Prompt: </w:t>
      </w:r>
      <w:r>
        <w:rPr>
          <w:rFonts w:ascii="Arial" w:cs="Arial" w:eastAsia="Arial" w:hAnsi="Arial"/>
          <w:sz w:val="28"/>
          <w:szCs w:val="28"/>
        </w:rPr>
        <w:t xml:space="preserve">Identify programs likely to fail in Phase 2 based on weak functional-human alignment.</w:t>
      </w:r>
    </w:p>
    <w:p>
      <w:pPr>
        <w:spacing w:after="200" w:line="360"/>
      </w:pPr>
      <w:r>
        <w:rPr>
          <w:rFonts w:ascii="Arial" w:cs="Arial" w:eastAsia="Arial" w:hAnsi="Arial"/>
          <w:sz w:val="24"/>
          <w:szCs w:val="24"/>
        </w:rPr>
        <w:t xml:space="preserve">Clinical risk prediction — identifying programs where Quiver EP profiles poorly align with human clinical outcomes, flagging high Phase 2 failure risk.</w:t>
      </w:r>
    </w:p>
    <w:p>
      <w:pPr>
        <w:pStyle w:val="Heading2"/>
        <w:spacing w:after="200" w:before="200"/>
      </w:pPr>
      <w:r>
        <w:t xml:space="preserve">Pipeline Overview</w:t>
      </w:r>
    </w:p>
    <w:p>
      <w:pPr>
        <w:spacing w:after="200" w:line="360"/>
      </w:pPr>
      <w:r>
        <w:rPr>
          <w:rFonts w:ascii="Arial" w:cs="Arial" w:eastAsia="Arial" w:hAnsi="Arial"/>
          <w:sz w:val="24"/>
          <w:szCs w:val="24"/>
        </w:rPr>
        <w:t xml:space="preserve">This pipeline workflow systematically addresses the prompt through a structured, 6-stage discovery and analysis process. Each stage builds upon the previous, integrating Quiver Bioscience's electrophysiology phenotyping data with competitive, clinical, and commercial intelligence to deliver actionable insights. The workflow emphasizes iterative refinement, validation of assumptions, and clear decision-making criteria to guide next steps in the therapeutic development program.</w:t>
      </w:r>
    </w:p>
    <w:p>
      <w:pPr>
        <w:pStyle w:val="Heading2"/>
        <w:spacing w:after="200" w:before="200"/>
      </w:pPr>
      <w:r>
        <w:t xml:space="preserve">Stage 1: Target Selection &amp; Phase 2 Program Profile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the Phase 2 program and its clinical endpoint; extract Quiver EP phenotype profile for the target gene.</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Phase 2 program definition (target gene, indication, patient population, primary endpoint)</w:t>
      </w:r>
    </w:p>
    <w:p>
      <w:pPr>
        <w:pStyle w:val="ListParagraph"/>
        <w:numPr>
          <w:ilvl w:val="0"/>
          <w:numId w:val="2"/>
        </w:numPr>
        <w:spacing w:after="100"/>
      </w:pPr>
      <w:r>
        <w:rPr>
          <w:rFonts w:ascii="Arial" w:cs="Arial" w:eastAsia="Arial" w:hAnsi="Arial"/>
          <w:sz w:val="24"/>
          <w:szCs w:val="24"/>
        </w:rPr>
        <w:t xml:space="preserve">Quiver CRISPR EP phenotype data for target (18K database lookup)</w:t>
      </w:r>
    </w:p>
    <w:p>
      <w:pPr>
        <w:pStyle w:val="ListParagraph"/>
        <w:numPr>
          <w:ilvl w:val="0"/>
          <w:numId w:val="2"/>
        </w:numPr>
        <w:spacing w:after="100"/>
      </w:pPr>
      <w:r>
        <w:rPr>
          <w:rFonts w:ascii="Arial" w:cs="Arial" w:eastAsia="Arial" w:hAnsi="Arial"/>
          <w:sz w:val="24"/>
          <w:szCs w:val="24"/>
        </w:rPr>
        <w:t xml:space="preserve">Phase 2 trial design and enrollment status</w:t>
      </w:r>
    </w:p>
    <w:p>
      <w:pPr>
        <w:pStyle w:val="ListParagraph"/>
        <w:numPr>
          <w:ilvl w:val="0"/>
          <w:numId w:val="2"/>
        </w:numPr>
        <w:spacing w:after="100"/>
      </w:pPr>
      <w:r>
        <w:rPr>
          <w:rFonts w:ascii="Arial" w:cs="Arial" w:eastAsia="Arial" w:hAnsi="Arial"/>
          <w:sz w:val="24"/>
          <w:szCs w:val="24"/>
        </w:rPr>
        <w:t xml:space="preserve">Preliminary efficacy and safety data (if available)</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Quiver Bioscience Data Lake: </w:t>
      </w:r>
      <w:r>
        <w:rPr>
          <w:rFonts w:ascii="Arial" w:cs="Arial" w:eastAsia="Arial" w:hAnsi="Arial"/>
          <w:sz w:val="24"/>
          <w:szCs w:val="24"/>
        </w:rPr>
        <w:t xml:space="preserve">Retrieve EP phenotype profile for target gene.</w:t>
      </w:r>
    </w:p>
    <w:p>
      <w:pPr>
        <w:pStyle w:val="ListParagraph"/>
        <w:numPr>
          <w:ilvl w:val="0"/>
          <w:numId w:val="2"/>
        </w:numPr>
        <w:spacing w:after="100"/>
      </w:pPr>
      <w:r>
        <w:rPr>
          <w:rFonts w:ascii="Arial" w:cs="Arial" w:eastAsia="Arial" w:hAnsi="Arial"/>
          <w:b/>
          <w:bCs/>
          <w:sz w:val="24"/>
          <w:szCs w:val="24"/>
        </w:rPr>
        <w:t xml:space="preserve">ClinicalTrials.gov: </w:t>
      </w:r>
      <w:r>
        <w:rPr>
          <w:rFonts w:ascii="Arial" w:cs="Arial" w:eastAsia="Arial" w:hAnsi="Arial"/>
          <w:sz w:val="24"/>
          <w:szCs w:val="24"/>
        </w:rPr>
        <w:t xml:space="preserve">Phase 2 trial design, endpoints, enrollment.</w:t>
      </w:r>
    </w:p>
    <w:p>
      <w:pPr>
        <w:pStyle w:val="ListParagraph"/>
        <w:numPr>
          <w:ilvl w:val="0"/>
          <w:numId w:val="2"/>
        </w:numPr>
        <w:spacing w:after="100"/>
      </w:pPr>
      <w:r>
        <w:rPr>
          <w:rFonts w:ascii="Arial" w:cs="Arial" w:eastAsia="Arial" w:hAnsi="Arial"/>
          <w:b/>
          <w:bCs/>
          <w:sz w:val="24"/>
          <w:szCs w:val="24"/>
        </w:rPr>
        <w:t xml:space="preserve">Company press releases, SEC filings: </w:t>
      </w:r>
      <w:r>
        <w:rPr>
          <w:rFonts w:ascii="Arial" w:cs="Arial" w:eastAsia="Arial" w:hAnsi="Arial"/>
          <w:sz w:val="24"/>
          <w:szCs w:val="24"/>
        </w:rPr>
        <w:t xml:space="preserve">Program-specific clinical data.</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Define target gene and indication (e.g., GRIN2B for dystonia).</w:t>
      </w:r>
    </w:p>
    <w:p>
      <w:pPr>
        <w:pStyle w:val="ListParagraph"/>
        <w:numPr>
          <w:ilvl w:val="0"/>
          <w:numId w:val="2"/>
        </w:numPr>
        <w:spacing w:after="100"/>
      </w:pPr>
      <w:r>
        <w:rPr>
          <w:rFonts w:ascii="Arial" w:cs="Arial" w:eastAsia="Arial" w:hAnsi="Arial"/>
          <w:sz w:val="24"/>
          <w:szCs w:val="24"/>
        </w:rPr>
        <w:t xml:space="preserve">Retrieve Quiver EP phenotype: effect size, consistency across neurons, phenotype diversity.</w:t>
      </w:r>
    </w:p>
    <w:p>
      <w:pPr>
        <w:pStyle w:val="ListParagraph"/>
        <w:numPr>
          <w:ilvl w:val="0"/>
          <w:numId w:val="2"/>
        </w:numPr>
        <w:spacing w:after="100"/>
      </w:pPr>
      <w:r>
        <w:rPr>
          <w:rFonts w:ascii="Arial" w:cs="Arial" w:eastAsia="Arial" w:hAnsi="Arial"/>
          <w:sz w:val="24"/>
          <w:szCs w:val="24"/>
        </w:rPr>
        <w:t xml:space="preserve">Specify Phase 2 primary endpoint (e.g., motor score reduction, biomarker change).</w:t>
      </w:r>
    </w:p>
    <w:p>
      <w:pPr>
        <w:pStyle w:val="ListParagraph"/>
        <w:numPr>
          <w:ilvl w:val="0"/>
          <w:numId w:val="2"/>
        </w:numPr>
        <w:spacing w:after="100"/>
      </w:pPr>
      <w:r>
        <w:rPr>
          <w:rFonts w:ascii="Arial" w:cs="Arial" w:eastAsia="Arial" w:hAnsi="Arial"/>
          <w:sz w:val="24"/>
          <w:szCs w:val="24"/>
        </w:rPr>
        <w:t xml:space="preserve">Document known human efficacy/safety signals (if any).</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Program profile (gene, indication, endpoint, trial design).</w:t>
      </w:r>
    </w:p>
    <w:p>
      <w:pPr>
        <w:pStyle w:val="ListParagraph"/>
        <w:numPr>
          <w:ilvl w:val="0"/>
          <w:numId w:val="2"/>
        </w:numPr>
        <w:spacing w:after="100"/>
      </w:pPr>
      <w:r>
        <w:rPr>
          <w:rFonts w:ascii="Arial" w:cs="Arial" w:eastAsia="Arial" w:hAnsi="Arial"/>
          <w:sz w:val="24"/>
          <w:szCs w:val="24"/>
        </w:rPr>
        <w:t xml:space="preserve">Quiver EP phenotype summary (effect magnitude, reproducibility, phenotype breadth).</w:t>
      </w:r>
    </w:p>
    <w:p>
      <w:pPr>
        <w:pStyle w:val="ListParagraph"/>
        <w:numPr>
          <w:ilvl w:val="0"/>
          <w:numId w:val="2"/>
        </w:numPr>
        <w:spacing w:after="100"/>
      </w:pPr>
      <w:r>
        <w:rPr>
          <w:rFonts w:ascii="Arial" w:cs="Arial" w:eastAsia="Arial" w:hAnsi="Arial"/>
          <w:sz w:val="24"/>
          <w:szCs w:val="24"/>
        </w:rPr>
        <w:t xml:space="preserve">Clinical trial design and enrollment status.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Program profile document with sections: [Gene, Indication, Phase_2_Endpoint, Quiver_EP_Phenotype_Summary, Trial_Design, Expected_Enrollment].</w:t>
      </w:r>
    </w:p>
    <w:p>
      <w:pPr>
        <w:pStyle w:val="Heading2"/>
        <w:spacing w:after="200" w:before="200"/>
      </w:pPr>
      <w:r>
        <w:t xml:space="preserve">Stage 2: Quiver EP Phenotype vs. Human Disease Biology Alignment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how well the Quiver EP phenotype aligns with human disease pathophysiology and expected clinical outcomes.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Quiver EP phenotype (Stage 1)</w:t>
      </w:r>
    </w:p>
    <w:p>
      <w:pPr>
        <w:pStyle w:val="ListParagraph"/>
        <w:numPr>
          <w:ilvl w:val="0"/>
          <w:numId w:val="2"/>
        </w:numPr>
        <w:spacing w:after="100"/>
      </w:pPr>
      <w:r>
        <w:rPr>
          <w:rFonts w:ascii="Arial" w:cs="Arial" w:eastAsia="Arial" w:hAnsi="Arial"/>
          <w:sz w:val="24"/>
          <w:szCs w:val="24"/>
        </w:rPr>
        <w:t xml:space="preserve">Disease biology literature (genetics, neurophysiology, human biomarker data)</w:t>
      </w:r>
    </w:p>
    <w:p>
      <w:pPr>
        <w:pStyle w:val="ListParagraph"/>
        <w:numPr>
          <w:ilvl w:val="0"/>
          <w:numId w:val="2"/>
        </w:numPr>
        <w:spacing w:after="100"/>
      </w:pPr>
      <w:r>
        <w:rPr>
          <w:rFonts w:ascii="Arial" w:cs="Arial" w:eastAsia="Arial" w:hAnsi="Arial"/>
          <w:sz w:val="24"/>
          <w:szCs w:val="24"/>
        </w:rPr>
        <w:t xml:space="preserve">Patient biomarker data (CSF, neuroimaging, EEG, genetic mutations in patients)</w:t>
      </w:r>
    </w:p>
    <w:p>
      <w:pPr>
        <w:pStyle w:val="ListParagraph"/>
        <w:numPr>
          <w:ilvl w:val="0"/>
          <w:numId w:val="2"/>
        </w:numPr>
        <w:spacing w:after="100"/>
      </w:pPr>
      <w:r>
        <w:rPr>
          <w:rFonts w:ascii="Arial" w:cs="Arial" w:eastAsia="Arial" w:hAnsi="Arial"/>
          <w:sz w:val="24"/>
          <w:szCs w:val="24"/>
        </w:rPr>
        <w:t xml:space="preserve">Validated disease models (patient-derived neurons, organoids, animal models)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PubMed, human genetic studies: </w:t>
      </w:r>
      <w:r>
        <w:rPr>
          <w:rFonts w:ascii="Arial" w:cs="Arial" w:eastAsia="Arial" w:hAnsi="Arial"/>
          <w:sz w:val="24"/>
          <w:szCs w:val="24"/>
        </w:rPr>
        <w:t xml:space="preserve">Disease-gene-phenotype associations.</w:t>
      </w:r>
    </w:p>
    <w:p>
      <w:pPr>
        <w:pStyle w:val="ListParagraph"/>
        <w:numPr>
          <w:ilvl w:val="0"/>
          <w:numId w:val="2"/>
        </w:numPr>
        <w:spacing w:after="100"/>
      </w:pPr>
      <w:r>
        <w:rPr>
          <w:rFonts w:ascii="Arial" w:cs="Arial" w:eastAsia="Arial" w:hAnsi="Arial"/>
          <w:b/>
          <w:bCs/>
          <w:sz w:val="24"/>
          <w:szCs w:val="24"/>
        </w:rPr>
        <w:t xml:space="preserve">AllenBrain, Human Brain Project: </w:t>
      </w:r>
      <w:r>
        <w:rPr>
          <w:rFonts w:ascii="Arial" w:cs="Arial" w:eastAsia="Arial" w:hAnsi="Arial"/>
          <w:sz w:val="24"/>
          <w:szCs w:val="24"/>
        </w:rPr>
        <w:t xml:space="preserve">Human neural phenotypes and transcriptomics.</w:t>
      </w:r>
    </w:p>
    <w:p>
      <w:pPr>
        <w:pStyle w:val="ListParagraph"/>
        <w:numPr>
          <w:ilvl w:val="0"/>
          <w:numId w:val="2"/>
        </w:numPr>
        <w:spacing w:after="100"/>
      </w:pPr>
      <w:r>
        <w:rPr>
          <w:rFonts w:ascii="Arial" w:cs="Arial" w:eastAsia="Arial" w:hAnsi="Arial"/>
          <w:b/>
          <w:bCs/>
          <w:sz w:val="24"/>
          <w:szCs w:val="24"/>
        </w:rPr>
        <w:t xml:space="preserve">Patient-derived iPSC databases: </w:t>
      </w:r>
      <w:r>
        <w:rPr>
          <w:rFonts w:ascii="Arial" w:cs="Arial" w:eastAsia="Arial" w:hAnsi="Arial"/>
          <w:sz w:val="24"/>
          <w:szCs w:val="24"/>
        </w:rPr>
        <w:t xml:space="preserve">Disease-relevant neuronal phenotypes.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Literature review: do human genetic mutations in target gene cause disease?</w:t>
      </w:r>
    </w:p>
    <w:p>
      <w:pPr>
        <w:pStyle w:val="ListParagraph"/>
        <w:numPr>
          <w:ilvl w:val="0"/>
          <w:numId w:val="2"/>
        </w:numPr>
        <w:spacing w:after="100"/>
      </w:pPr>
      <w:r>
        <w:rPr>
          <w:rFonts w:ascii="Arial" w:cs="Arial" w:eastAsia="Arial" w:hAnsi="Arial"/>
          <w:sz w:val="24"/>
          <w:szCs w:val="24"/>
        </w:rPr>
        <w:t xml:space="preserve">Check patient biomarker data: do patients with target gene mutations show EP abnormalities?</w:t>
      </w:r>
    </w:p>
    <w:p>
      <w:pPr>
        <w:pStyle w:val="ListParagraph"/>
        <w:numPr>
          <w:ilvl w:val="0"/>
          <w:numId w:val="2"/>
        </w:numPr>
        <w:spacing w:after="100"/>
      </w:pPr>
      <w:r>
        <w:rPr>
          <w:rFonts w:ascii="Arial" w:cs="Arial" w:eastAsia="Arial" w:hAnsi="Arial"/>
          <w:sz w:val="24"/>
          <w:szCs w:val="24"/>
        </w:rPr>
        <w:t xml:space="preserve">Compare Quiver EP phenotype to human disease models (iPSCs, patient neurons, organoids).</w:t>
      </w:r>
    </w:p>
    <w:p>
      <w:pPr>
        <w:pStyle w:val="ListParagraph"/>
        <w:numPr>
          <w:ilvl w:val="0"/>
          <w:numId w:val="2"/>
        </w:numPr>
        <w:spacing w:after="100"/>
      </w:pPr>
      <w:r>
        <w:rPr>
          <w:rFonts w:ascii="Arial" w:cs="Arial" w:eastAsia="Arial" w:hAnsi="Arial"/>
          <w:sz w:val="24"/>
          <w:szCs w:val="24"/>
        </w:rPr>
        <w:t xml:space="preserve">Score alignment: 1-10 scale (1=no connection, 10=strong phenotype match).</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Alignment assessment (quantified 1-10 scale).</w:t>
      </w:r>
    </w:p>
    <w:p>
      <w:pPr>
        <w:pStyle w:val="ListParagraph"/>
        <w:numPr>
          <w:ilvl w:val="0"/>
          <w:numId w:val="2"/>
        </w:numPr>
        <w:spacing w:after="100"/>
      </w:pPr>
      <w:r>
        <w:rPr>
          <w:rFonts w:ascii="Arial" w:cs="Arial" w:eastAsia="Arial" w:hAnsi="Arial"/>
          <w:sz w:val="24"/>
          <w:szCs w:val="24"/>
        </w:rPr>
        <w:t xml:space="preserve">Evidence summary: genetic link, patient phenotype match, disease model corroboration.</w:t>
      </w:r>
    </w:p>
    <w:p>
      <w:pPr>
        <w:pStyle w:val="ListParagraph"/>
        <w:numPr>
          <w:ilvl w:val="0"/>
          <w:numId w:val="2"/>
        </w:numPr>
        <w:spacing w:after="100"/>
      </w:pPr>
      <w:r>
        <w:rPr>
          <w:rFonts w:ascii="Arial" w:cs="Arial" w:eastAsia="Arial" w:hAnsi="Arial"/>
          <w:sz w:val="24"/>
          <w:szCs w:val="24"/>
        </w:rPr>
        <w:t xml:space="preserve">Gaps identified: where Quiver phenotype may diverge from human disease.</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Alignment report with sections: [Gene_Disease_Association, Patient_Biomarker_Alignment, Disease_Model_Corroboration, Overall_Alignment_Score, Key_Gaps].</w:t>
      </w:r>
    </w:p>
    <w:p>
      <w:pPr>
        <w:pStyle w:val="Heading2"/>
        <w:spacing w:after="200" w:before="200"/>
      </w:pPr>
      <w:r>
        <w:t xml:space="preserve">Stage 3: Endpoint Mechanistic Relevance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whether the Phase 2 primary endpoint mechanistically links to the Quiver EP phenotype and disease biology.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Phase 2 primary endpoint (clinical motor, cognitive, biomarker measurement)</w:t>
      </w:r>
    </w:p>
    <w:p>
      <w:pPr>
        <w:pStyle w:val="ListParagraph"/>
        <w:numPr>
          <w:ilvl w:val="0"/>
          <w:numId w:val="2"/>
        </w:numPr>
        <w:spacing w:after="100"/>
      </w:pPr>
      <w:r>
        <w:rPr>
          <w:rFonts w:ascii="Arial" w:cs="Arial" w:eastAsia="Arial" w:hAnsi="Arial"/>
          <w:sz w:val="24"/>
          <w:szCs w:val="24"/>
        </w:rPr>
        <w:t xml:space="preserve">Quiver EP phenotype (Stage 1)</w:t>
      </w:r>
    </w:p>
    <w:p>
      <w:pPr>
        <w:pStyle w:val="ListParagraph"/>
        <w:numPr>
          <w:ilvl w:val="0"/>
          <w:numId w:val="2"/>
        </w:numPr>
        <w:spacing w:after="100"/>
      </w:pPr>
      <w:r>
        <w:rPr>
          <w:rFonts w:ascii="Arial" w:cs="Arial" w:eastAsia="Arial" w:hAnsi="Arial"/>
          <w:sz w:val="24"/>
          <w:szCs w:val="24"/>
        </w:rPr>
        <w:t xml:space="preserve">Causal pathway literature (target gene -&gt; neuronal phenotype -&gt; behavior/cognition)</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Systems neuroscience literature: </w:t>
      </w:r>
      <w:r>
        <w:rPr>
          <w:rFonts w:ascii="Arial" w:cs="Arial" w:eastAsia="Arial" w:hAnsi="Arial"/>
          <w:sz w:val="24"/>
          <w:szCs w:val="24"/>
        </w:rPr>
        <w:t xml:space="preserve">Circuit-level and behavioral phenotype linkage.</w:t>
      </w:r>
    </w:p>
    <w:p>
      <w:pPr>
        <w:pStyle w:val="ListParagraph"/>
        <w:numPr>
          <w:ilvl w:val="0"/>
          <w:numId w:val="2"/>
        </w:numPr>
        <w:spacing w:after="100"/>
      </w:pPr>
      <w:r>
        <w:rPr>
          <w:rFonts w:ascii="Arial" w:cs="Arial" w:eastAsia="Arial" w:hAnsi="Arial"/>
          <w:b/>
          <w:bCs/>
          <w:sz w:val="24"/>
          <w:szCs w:val="24"/>
        </w:rPr>
        <w:t xml:space="preserve">Disease pathway databases (KEGG, Reactome): </w:t>
      </w:r>
      <w:r>
        <w:rPr>
          <w:rFonts w:ascii="Arial" w:cs="Arial" w:eastAsia="Arial" w:hAnsi="Arial"/>
          <w:sz w:val="24"/>
          <w:szCs w:val="24"/>
        </w:rPr>
        <w:t xml:space="preserve">Gene function and disease mechanism.</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Define causal chain: target gene -&gt; neuronal EP change -&gt; circuit function -&gt; clinical phenotype.</w:t>
      </w:r>
    </w:p>
    <w:p>
      <w:pPr>
        <w:pStyle w:val="ListParagraph"/>
        <w:numPr>
          <w:ilvl w:val="0"/>
          <w:numId w:val="2"/>
        </w:numPr>
        <w:spacing w:after="100"/>
      </w:pPr>
      <w:r>
        <w:rPr>
          <w:rFonts w:ascii="Arial" w:cs="Arial" w:eastAsia="Arial" w:hAnsi="Arial"/>
          <w:sz w:val="24"/>
          <w:szCs w:val="24"/>
        </w:rPr>
        <w:t xml:space="preserve">Map endpoint to mechanistic step: does Phase 2 endpoint measure the right functional layer?</w:t>
      </w:r>
    </w:p>
    <w:p>
      <w:pPr>
        <w:pStyle w:val="ListParagraph"/>
        <w:numPr>
          <w:ilvl w:val="0"/>
          <w:numId w:val="2"/>
        </w:numPr>
        <w:spacing w:after="100"/>
      </w:pPr>
      <w:r>
        <w:rPr>
          <w:rFonts w:ascii="Arial" w:cs="Arial" w:eastAsia="Arial" w:hAnsi="Arial"/>
          <w:sz w:val="24"/>
          <w:szCs w:val="24"/>
        </w:rPr>
        <w:t xml:space="preserve">Identify risks: too distal (behavioral vs. cellular), too narrow (single biomarker vs. syndrome), confounded outcomes.</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Mechanistic relevance score (1-10: direct link to indirect/weak link).</w:t>
      </w:r>
    </w:p>
    <w:p>
      <w:pPr>
        <w:pStyle w:val="ListParagraph"/>
        <w:numPr>
          <w:ilvl w:val="0"/>
          <w:numId w:val="2"/>
        </w:numPr>
        <w:spacing w:after="100"/>
      </w:pPr>
      <w:r>
        <w:rPr>
          <w:rFonts w:ascii="Arial" w:cs="Arial" w:eastAsia="Arial" w:hAnsi="Arial"/>
          <w:sz w:val="24"/>
          <w:szCs w:val="24"/>
        </w:rPr>
        <w:t xml:space="preserve">Causal chain diagram (gene -&gt; cellular -&gt; circuit -&gt; behavior).</w:t>
      </w:r>
    </w:p>
    <w:p>
      <w:pPr>
        <w:pStyle w:val="ListParagraph"/>
        <w:numPr>
          <w:ilvl w:val="0"/>
          <w:numId w:val="2"/>
        </w:numPr>
        <w:spacing w:after="100"/>
      </w:pPr>
      <w:r>
        <w:rPr>
          <w:rFonts w:ascii="Arial" w:cs="Arial" w:eastAsia="Arial" w:hAnsi="Arial"/>
          <w:sz w:val="24"/>
          <w:szCs w:val="24"/>
        </w:rPr>
        <w:t xml:space="preserve">Endpoint suitability assessment (strong/moderate/weak mechanistic link).</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Mechanistic alignment document with sections: [Causal_Chain, Endpoint_Measurement_Level, Measurement_Directness, Confounding_Risk, Overall_Relevance_Score].</w:t>
      </w:r>
    </w:p>
    <w:p>
      <w:pPr>
        <w:pStyle w:val="Heading2"/>
        <w:spacing w:after="200" w:before="200"/>
      </w:pPr>
      <w:r>
        <w:t xml:space="preserve">Stage 4: Translational Failure Risk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specific translational risks where Quiver phenotype may fail to predict human efficacy: genetic background, cell type specificity, developmental timing.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Quiver EP phenotype (heterozygous vs. homozygous, neuron maturity, cell type coverage)</w:t>
      </w:r>
    </w:p>
    <w:p>
      <w:pPr>
        <w:pStyle w:val="ListParagraph"/>
        <w:numPr>
          <w:ilvl w:val="0"/>
          <w:numId w:val="2"/>
        </w:numPr>
        <w:spacing w:after="100"/>
      </w:pPr>
      <w:r>
        <w:rPr>
          <w:rFonts w:ascii="Arial" w:cs="Arial" w:eastAsia="Arial" w:hAnsi="Arial"/>
          <w:sz w:val="24"/>
          <w:szCs w:val="24"/>
        </w:rPr>
        <w:t xml:space="preserve">Patient genetic backgrounds (patient populations in Phase 2 trial)</w:t>
      </w:r>
    </w:p>
    <w:p>
      <w:pPr>
        <w:pStyle w:val="ListParagraph"/>
        <w:numPr>
          <w:ilvl w:val="0"/>
          <w:numId w:val="2"/>
        </w:numPr>
        <w:spacing w:after="100"/>
      </w:pPr>
      <w:r>
        <w:rPr>
          <w:rFonts w:ascii="Arial" w:cs="Arial" w:eastAsia="Arial" w:hAnsi="Arial"/>
          <w:sz w:val="24"/>
          <w:szCs w:val="24"/>
        </w:rPr>
        <w:t xml:space="preserve">Human vs. rodent/neuron developmental timing differences</w:t>
      </w:r>
    </w:p>
    <w:p>
      <w:pPr>
        <w:pStyle w:val="ListParagraph"/>
        <w:numPr>
          <w:ilvl w:val="0"/>
          <w:numId w:val="2"/>
        </w:numPr>
        <w:spacing w:after="100"/>
      </w:pPr>
      <w:r>
        <w:rPr>
          <w:rFonts w:ascii="Arial" w:cs="Arial" w:eastAsia="Arial" w:hAnsi="Arial"/>
          <w:sz w:val="24"/>
          <w:szCs w:val="24"/>
        </w:rPr>
        <w:t xml:space="preserve">Potential off-target mechanism in humans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GWAS databases, gnomAD: </w:t>
      </w:r>
      <w:r>
        <w:rPr>
          <w:rFonts w:ascii="Arial" w:cs="Arial" w:eastAsia="Arial" w:hAnsi="Arial"/>
          <w:sz w:val="24"/>
          <w:szCs w:val="24"/>
        </w:rPr>
        <w:t xml:space="preserve">Human genetic heterogeneity in target gene.</w:t>
      </w:r>
    </w:p>
    <w:p>
      <w:pPr>
        <w:pStyle w:val="ListParagraph"/>
        <w:numPr>
          <w:ilvl w:val="0"/>
          <w:numId w:val="2"/>
        </w:numPr>
        <w:spacing w:after="100"/>
      </w:pPr>
      <w:r>
        <w:rPr>
          <w:rFonts w:ascii="Arial" w:cs="Arial" w:eastAsia="Arial" w:hAnsi="Arial"/>
          <w:b/>
          <w:bCs/>
          <w:sz w:val="24"/>
          <w:szCs w:val="24"/>
        </w:rPr>
        <w:t xml:space="preserve">Single-cell RNA-seq databases: </w:t>
      </w:r>
      <w:r>
        <w:rPr>
          <w:rFonts w:ascii="Arial" w:cs="Arial" w:eastAsia="Arial" w:hAnsi="Arial"/>
          <w:sz w:val="24"/>
          <w:szCs w:val="24"/>
        </w:rPr>
        <w:t xml:space="preserve">Cell-type-specific gene expression patterns.</w:t>
      </w:r>
    </w:p>
    <w:p>
      <w:pPr>
        <w:pStyle w:val="ListParagraph"/>
        <w:numPr>
          <w:ilvl w:val="0"/>
          <w:numId w:val="2"/>
        </w:numPr>
        <w:spacing w:after="100"/>
      </w:pPr>
      <w:r>
        <w:rPr>
          <w:rFonts w:ascii="Arial" w:cs="Arial" w:eastAsia="Arial" w:hAnsi="Arial"/>
          <w:b/>
          <w:bCs/>
          <w:sz w:val="24"/>
          <w:szCs w:val="24"/>
        </w:rPr>
        <w:t xml:space="preserve">Comparative neurobiology literature: </w:t>
      </w:r>
      <w:r>
        <w:rPr>
          <w:rFonts w:ascii="Arial" w:cs="Arial" w:eastAsia="Arial" w:hAnsi="Arial"/>
          <w:sz w:val="24"/>
          <w:szCs w:val="24"/>
        </w:rPr>
        <w:t xml:space="preserve">Human vs. rodent differences.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Risk 1: Patient genetic diversity — do trial patients carry genetic variants that modify target expression/function?</w:t>
      </w:r>
    </w:p>
    <w:p>
      <w:pPr>
        <w:pStyle w:val="ListParagraph"/>
        <w:numPr>
          <w:ilvl w:val="0"/>
          <w:numId w:val="2"/>
        </w:numPr>
        <w:spacing w:after="100"/>
      </w:pPr>
      <w:r>
        <w:rPr>
          <w:rFonts w:ascii="Arial" w:cs="Arial" w:eastAsia="Arial" w:hAnsi="Arial"/>
          <w:sz w:val="24"/>
          <w:szCs w:val="24"/>
        </w:rPr>
        <w:t xml:space="preserve">Risk 2: Cell-type specificity — does Quiver measure phenotype in the disease-relevant neurons? (e.g., excitatory vs. inhibitory, layer-specific)</w:t>
      </w:r>
    </w:p>
    <w:p>
      <w:pPr>
        <w:pStyle w:val="ListParagraph"/>
        <w:numPr>
          <w:ilvl w:val="0"/>
          <w:numId w:val="2"/>
        </w:numPr>
        <w:spacing w:after="100"/>
      </w:pPr>
      <w:r>
        <w:rPr>
          <w:rFonts w:ascii="Arial" w:cs="Arial" w:eastAsia="Arial" w:hAnsi="Arial"/>
          <w:sz w:val="24"/>
          <w:szCs w:val="24"/>
        </w:rPr>
        <w:t xml:space="preserve">Risk 3: Developmental timing — are Phase 2 patients at different life stages than Quiver neurons (juvenile in vitro)?</w:t>
      </w:r>
    </w:p>
    <w:p>
      <w:pPr>
        <w:pStyle w:val="ListParagraph"/>
        <w:numPr>
          <w:ilvl w:val="0"/>
          <w:numId w:val="2"/>
        </w:numPr>
        <w:spacing w:after="100"/>
      </w:pPr>
      <w:r>
        <w:rPr>
          <w:rFonts w:ascii="Arial" w:cs="Arial" w:eastAsia="Arial" w:hAnsi="Arial"/>
          <w:sz w:val="24"/>
          <w:szCs w:val="24"/>
        </w:rPr>
        <w:t xml:space="preserve">Risk 4: Off-target effects — does the Phase 2 drug mechanism have off-targets that confound the endpoint?</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Risk ranking (high/medium/low) for each translational failure mode.</w:t>
      </w:r>
    </w:p>
    <w:p>
      <w:pPr>
        <w:pStyle w:val="ListParagraph"/>
        <w:numPr>
          <w:ilvl w:val="0"/>
          <w:numId w:val="2"/>
        </w:numPr>
        <w:spacing w:after="100"/>
      </w:pPr>
      <w:r>
        <w:rPr>
          <w:rFonts w:ascii="Arial" w:cs="Arial" w:eastAsia="Arial" w:hAnsi="Arial"/>
          <w:sz w:val="24"/>
          <w:szCs w:val="24"/>
        </w:rPr>
        <w:t xml:space="preserve">Specific risk descriptions and evidence.</w:t>
      </w:r>
    </w:p>
    <w:p>
      <w:pPr>
        <w:pStyle w:val="ListParagraph"/>
        <w:numPr>
          <w:ilvl w:val="0"/>
          <w:numId w:val="2"/>
        </w:numPr>
        <w:spacing w:after="100"/>
      </w:pPr>
      <w:r>
        <w:rPr>
          <w:rFonts w:ascii="Arial" w:cs="Arial" w:eastAsia="Arial" w:hAnsi="Arial"/>
          <w:sz w:val="24"/>
          <w:szCs w:val="24"/>
        </w:rPr>
        <w:t xml:space="preserve">Recommended clinical trial adjustments or biomarker monitoring.</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Risk profile with table: [Risk_Category, Risk_Level, Likelihood, Impact_on_Phase2_Success, Mitigation_Strategy].</w:t>
      </w:r>
    </w:p>
    <w:p>
      <w:pPr>
        <w:pStyle w:val="Heading2"/>
        <w:spacing w:after="200" w:before="200"/>
      </w:pPr>
      <w:r>
        <w:t xml:space="preserve">Stage 5: Phase 2 Failure Probability Estimation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EP-disease alignment and translational risks into a quantitative Phase 2 failure risk estimate.</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Alignment score (Stage 2)</w:t>
      </w:r>
    </w:p>
    <w:p>
      <w:pPr>
        <w:pStyle w:val="ListParagraph"/>
        <w:numPr>
          <w:ilvl w:val="0"/>
          <w:numId w:val="2"/>
        </w:numPr>
        <w:spacing w:after="100"/>
      </w:pPr>
      <w:r>
        <w:rPr>
          <w:rFonts w:ascii="Arial" w:cs="Arial" w:eastAsia="Arial" w:hAnsi="Arial"/>
          <w:sz w:val="24"/>
          <w:szCs w:val="24"/>
        </w:rPr>
        <w:t xml:space="preserve">Mechanistic relevance score (Stage 3)</w:t>
      </w:r>
    </w:p>
    <w:p>
      <w:pPr>
        <w:pStyle w:val="ListParagraph"/>
        <w:numPr>
          <w:ilvl w:val="0"/>
          <w:numId w:val="2"/>
        </w:numPr>
        <w:spacing w:after="100"/>
      </w:pPr>
      <w:r>
        <w:rPr>
          <w:rFonts w:ascii="Arial" w:cs="Arial" w:eastAsia="Arial" w:hAnsi="Arial"/>
          <w:sz w:val="24"/>
          <w:szCs w:val="24"/>
        </w:rPr>
        <w:t xml:space="preserve">Translational risk profile (Stage 4)</w:t>
      </w:r>
    </w:p>
    <w:p>
      <w:pPr>
        <w:pStyle w:val="ListParagraph"/>
        <w:numPr>
          <w:ilvl w:val="0"/>
          <w:numId w:val="2"/>
        </w:numPr>
        <w:spacing w:after="100"/>
      </w:pPr>
      <w:r>
        <w:rPr>
          <w:rFonts w:ascii="Arial" w:cs="Arial" w:eastAsia="Arial" w:hAnsi="Arial"/>
          <w:sz w:val="24"/>
          <w:szCs w:val="24"/>
        </w:rPr>
        <w:t xml:space="preserve">Historical Phase 2 failure rates by indication (if available)</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Bayesian model: </w:t>
      </w:r>
      <w:r>
        <w:rPr>
          <w:rFonts w:ascii="Arial" w:cs="Arial" w:eastAsia="Arial" w:hAnsi="Arial"/>
          <w:sz w:val="24"/>
          <w:szCs w:val="24"/>
        </w:rPr>
        <w:t xml:space="preserve">Integrate alignment and risk scores into failure probability.</w:t>
      </w:r>
    </w:p>
    <w:p>
      <w:pPr>
        <w:pStyle w:val="ListParagraph"/>
        <w:numPr>
          <w:ilvl w:val="0"/>
          <w:numId w:val="2"/>
        </w:numPr>
        <w:spacing w:after="100"/>
      </w:pPr>
      <w:r>
        <w:rPr>
          <w:rFonts w:ascii="Arial" w:cs="Arial" w:eastAsia="Arial" w:hAnsi="Arial"/>
          <w:b/>
          <w:bCs/>
          <w:sz w:val="24"/>
          <w:szCs w:val="24"/>
        </w:rPr>
        <w:t xml:space="preserve">Historical benchmark data (Tufts, Evaluate Pharma): </w:t>
      </w:r>
      <w:r>
        <w:rPr>
          <w:rFonts w:ascii="Arial" w:cs="Arial" w:eastAsia="Arial" w:hAnsi="Arial"/>
          <w:sz w:val="24"/>
          <w:szCs w:val="24"/>
        </w:rPr>
        <w:t xml:space="preserve">Indication-specific Phase 2 success rates.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Base case Phase 2 success rate by indication (e.g., neurology ~30%, orphan rare disease ~45%).</w:t>
      </w:r>
    </w:p>
    <w:p>
      <w:pPr>
        <w:pStyle w:val="ListParagraph"/>
        <w:numPr>
          <w:ilvl w:val="0"/>
          <w:numId w:val="2"/>
        </w:numPr>
        <w:spacing w:after="100"/>
      </w:pPr>
      <w:r>
        <w:rPr>
          <w:rFonts w:ascii="Arial" w:cs="Arial" w:eastAsia="Arial" w:hAnsi="Arial"/>
          <w:sz w:val="24"/>
          <w:szCs w:val="24"/>
        </w:rPr>
        <w:t xml:space="preserve">Adjust for alignment score: each point below 8/10 = +5-10% failure risk.</w:t>
      </w:r>
    </w:p>
    <w:p>
      <w:pPr>
        <w:pStyle w:val="ListParagraph"/>
        <w:numPr>
          <w:ilvl w:val="0"/>
          <w:numId w:val="2"/>
        </w:numPr>
        <w:spacing w:after="100"/>
      </w:pPr>
      <w:r>
        <w:rPr>
          <w:rFonts w:ascii="Arial" w:cs="Arial" w:eastAsia="Arial" w:hAnsi="Arial"/>
          <w:sz w:val="24"/>
          <w:szCs w:val="24"/>
        </w:rPr>
        <w:t xml:space="preserve">Adjust for mechanistic weakness: weak endpoint relevance = +10-15% failure risk.</w:t>
      </w:r>
    </w:p>
    <w:p>
      <w:pPr>
        <w:pStyle w:val="ListParagraph"/>
        <w:numPr>
          <w:ilvl w:val="0"/>
          <w:numId w:val="2"/>
        </w:numPr>
        <w:spacing w:after="100"/>
      </w:pPr>
      <w:r>
        <w:rPr>
          <w:rFonts w:ascii="Arial" w:cs="Arial" w:eastAsia="Arial" w:hAnsi="Arial"/>
          <w:sz w:val="24"/>
          <w:szCs w:val="24"/>
        </w:rPr>
        <w:t xml:space="preserve">Adjust for translational risks: high-risk = +20-30% failure risk.</w:t>
      </w:r>
    </w:p>
    <w:p>
      <w:pPr>
        <w:pStyle w:val="ListParagraph"/>
        <w:numPr>
          <w:ilvl w:val="0"/>
          <w:numId w:val="2"/>
        </w:numPr>
        <w:spacing w:after="100"/>
      </w:pPr>
      <w:r>
        <w:rPr>
          <w:rFonts w:ascii="Arial" w:cs="Arial" w:eastAsia="Arial" w:hAnsi="Arial"/>
          <w:sz w:val="24"/>
          <w:szCs w:val="24"/>
        </w:rPr>
        <w:t xml:space="preserve">Synthesize: final Phase 2 failure probability (low = &lt;20%, moderate = 20-50%, high = &gt;50%).</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Phase 2 failure probability estimate (base case %).</w:t>
      </w:r>
    </w:p>
    <w:p>
      <w:pPr>
        <w:pStyle w:val="ListParagraph"/>
        <w:numPr>
          <w:ilvl w:val="0"/>
          <w:numId w:val="2"/>
        </w:numPr>
        <w:spacing w:after="100"/>
      </w:pPr>
      <w:r>
        <w:rPr>
          <w:rFonts w:ascii="Arial" w:cs="Arial" w:eastAsia="Arial" w:hAnsi="Arial"/>
          <w:sz w:val="24"/>
          <w:szCs w:val="24"/>
        </w:rPr>
        <w:t xml:space="preserve">Probability range (pessimistic-optimistic scenarios).</w:t>
      </w:r>
    </w:p>
    <w:p>
      <w:pPr>
        <w:pStyle w:val="ListParagraph"/>
        <w:numPr>
          <w:ilvl w:val="0"/>
          <w:numId w:val="2"/>
        </w:numPr>
        <w:spacing w:after="100"/>
      </w:pPr>
      <w:r>
        <w:rPr>
          <w:rFonts w:ascii="Arial" w:cs="Arial" w:eastAsia="Arial" w:hAnsi="Arial"/>
          <w:sz w:val="24"/>
          <w:szCs w:val="24"/>
        </w:rPr>
        <w:t xml:space="preserve">Key risk drivers (alignment, mechanistic, translational).</w:t>
      </w:r>
    </w:p>
    <w:p>
      <w:pPr>
        <w:pStyle w:val="ListParagraph"/>
        <w:numPr>
          <w:ilvl w:val="0"/>
          <w:numId w:val="2"/>
        </w:numPr>
        <w:spacing w:after="100"/>
      </w:pPr>
      <w:r>
        <w:rPr>
          <w:rFonts w:ascii="Arial" w:cs="Arial" w:eastAsia="Arial" w:hAnsi="Arial"/>
          <w:sz w:val="24"/>
          <w:szCs w:val="24"/>
        </w:rPr>
        <w:t xml:space="preserve">Sensitivity analysis: which factors most influence failure risk?</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Risk estimate summary: [Base_Failure_Probability_%,  Pessimistic_Scenario_%, Optimistic_Scenario_%, Top_3_Risk_Drivers, Confidence_Level].</w:t>
      </w:r>
    </w:p>
    <w:p>
      <w:pPr>
        <w:pStyle w:val="Heading2"/>
        <w:spacing w:after="200" w:before="200"/>
      </w:pPr>
      <w:r>
        <w:t xml:space="preserve">Stage 6: Clinical De-Risking &amp; Biomarker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Recommend clinical trial adjustments and biomarker strategies to reduce Phase 2 failure risk and improve learning.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Translational risks identified (Stage 4)</w:t>
      </w:r>
    </w:p>
    <w:p>
      <w:pPr>
        <w:pStyle w:val="ListParagraph"/>
        <w:numPr>
          <w:ilvl w:val="0"/>
          <w:numId w:val="2"/>
        </w:numPr>
        <w:spacing w:after="100"/>
      </w:pPr>
      <w:r>
        <w:rPr>
          <w:rFonts w:ascii="Arial" w:cs="Arial" w:eastAsia="Arial" w:hAnsi="Arial"/>
          <w:sz w:val="24"/>
          <w:szCs w:val="24"/>
        </w:rPr>
        <w:t xml:space="preserve">Phase 2 failure probability (Stage 5)</w:t>
      </w:r>
    </w:p>
    <w:p>
      <w:pPr>
        <w:pStyle w:val="ListParagraph"/>
        <w:numPr>
          <w:ilvl w:val="0"/>
          <w:numId w:val="2"/>
        </w:numPr>
        <w:spacing w:after="100"/>
      </w:pPr>
      <w:r>
        <w:rPr>
          <w:rFonts w:ascii="Arial" w:cs="Arial" w:eastAsia="Arial" w:hAnsi="Arial"/>
          <w:sz w:val="24"/>
          <w:szCs w:val="24"/>
        </w:rPr>
        <w:t xml:space="preserve">Quiver phenotype details and available biomarker readouts</w:t>
      </w:r>
    </w:p>
    <w:p>
      <w:pPr>
        <w:pStyle w:val="ListParagraph"/>
        <w:numPr>
          <w:ilvl w:val="0"/>
          <w:numId w:val="2"/>
        </w:numPr>
        <w:spacing w:after="100"/>
      </w:pPr>
      <w:r>
        <w:rPr>
          <w:rFonts w:ascii="Arial" w:cs="Arial" w:eastAsia="Arial" w:hAnsi="Arial"/>
          <w:sz w:val="24"/>
          <w:szCs w:val="24"/>
        </w:rPr>
        <w:t xml:space="preserve">Regulatory guidance on biomarker-informed endpoints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FDA Biomarker Qualification Program: </w:t>
      </w:r>
      <w:r>
        <w:rPr>
          <w:rFonts w:ascii="Arial" w:cs="Arial" w:eastAsia="Arial" w:hAnsi="Arial"/>
          <w:sz w:val="24"/>
          <w:szCs w:val="24"/>
        </w:rPr>
        <w:t xml:space="preserve">Establish novel biomarkers for registration.</w:t>
      </w:r>
    </w:p>
    <w:p>
      <w:pPr>
        <w:pStyle w:val="ListParagraph"/>
        <w:numPr>
          <w:ilvl w:val="0"/>
          <w:numId w:val="2"/>
        </w:numPr>
        <w:spacing w:after="100"/>
      </w:pPr>
      <w:r>
        <w:rPr>
          <w:rFonts w:ascii="Arial" w:cs="Arial" w:eastAsia="Arial" w:hAnsi="Arial"/>
          <w:b/>
          <w:bCs/>
          <w:sz w:val="24"/>
          <w:szCs w:val="24"/>
        </w:rPr>
        <w:t xml:space="preserve">Patient-derived biomarker literature: </w:t>
      </w:r>
      <w:r>
        <w:rPr>
          <w:rFonts w:ascii="Arial" w:cs="Arial" w:eastAsia="Arial" w:hAnsi="Arial"/>
          <w:sz w:val="24"/>
          <w:szCs w:val="24"/>
        </w:rPr>
        <w:t xml:space="preserve">CSF, imaging, electrophysiology biomarkers.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For high-risk programs: recommend biomarker-informed Phase 2 enrichment (select patients with target pathway engagement).</w:t>
      </w:r>
    </w:p>
    <w:p>
      <w:pPr>
        <w:pStyle w:val="ListParagraph"/>
        <w:numPr>
          <w:ilvl w:val="0"/>
          <w:numId w:val="2"/>
        </w:numPr>
        <w:spacing w:after="100"/>
      </w:pPr>
      <w:r>
        <w:rPr>
          <w:rFonts w:ascii="Arial" w:cs="Arial" w:eastAsia="Arial" w:hAnsi="Arial"/>
          <w:sz w:val="24"/>
          <w:szCs w:val="24"/>
        </w:rPr>
        <w:t xml:space="preserve">Recommend mechanistic biomarker monitoring (e.g., EP biomarker, CSF markers, functional MRI) aligned with Quiver phenotype.</w:t>
      </w:r>
    </w:p>
    <w:p>
      <w:pPr>
        <w:pStyle w:val="ListParagraph"/>
        <w:numPr>
          <w:ilvl w:val="0"/>
          <w:numId w:val="2"/>
        </w:numPr>
        <w:spacing w:after="100"/>
      </w:pPr>
      <w:r>
        <w:rPr>
          <w:rFonts w:ascii="Arial" w:cs="Arial" w:eastAsia="Arial" w:hAnsi="Arial"/>
          <w:sz w:val="24"/>
          <w:szCs w:val="24"/>
        </w:rPr>
        <w:t xml:space="preserve">Suggest early stopping rules based on biomarker thresholds.</w:t>
      </w:r>
    </w:p>
    <w:p>
      <w:pPr>
        <w:pStyle w:val="ListParagraph"/>
        <w:numPr>
          <w:ilvl w:val="0"/>
          <w:numId w:val="2"/>
        </w:numPr>
        <w:spacing w:after="100"/>
      </w:pPr>
      <w:r>
        <w:rPr>
          <w:rFonts w:ascii="Arial" w:cs="Arial" w:eastAsia="Arial" w:hAnsi="Arial"/>
          <w:sz w:val="24"/>
          <w:szCs w:val="24"/>
        </w:rPr>
        <w:t xml:space="preserve">For genetic risk factors: recommend genotyping trial patients to assess modification of response.</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De-risking recommendations (trial design modifications, enrichment strategies).</w:t>
      </w:r>
    </w:p>
    <w:p>
      <w:pPr>
        <w:pStyle w:val="ListParagraph"/>
        <w:numPr>
          <w:ilvl w:val="0"/>
          <w:numId w:val="2"/>
        </w:numPr>
        <w:spacing w:after="100"/>
      </w:pPr>
      <w:r>
        <w:rPr>
          <w:rFonts w:ascii="Arial" w:cs="Arial" w:eastAsia="Arial" w:hAnsi="Arial"/>
          <w:sz w:val="24"/>
          <w:szCs w:val="24"/>
        </w:rPr>
        <w:t xml:space="preserve">Recommended biomarker panel (aligned with Quiver EP phenotype).</w:t>
      </w:r>
    </w:p>
    <w:p>
      <w:pPr>
        <w:pStyle w:val="ListParagraph"/>
        <w:numPr>
          <w:ilvl w:val="0"/>
          <w:numId w:val="2"/>
        </w:numPr>
        <w:spacing w:after="100"/>
      </w:pPr>
      <w:r>
        <w:rPr>
          <w:rFonts w:ascii="Arial" w:cs="Arial" w:eastAsia="Arial" w:hAnsi="Arial"/>
          <w:sz w:val="24"/>
          <w:szCs w:val="24"/>
        </w:rPr>
        <w:t xml:space="preserve">Biomarker collection and analysis protocol.</w:t>
      </w:r>
    </w:p>
    <w:p>
      <w:pPr>
        <w:pStyle w:val="ListParagraph"/>
        <w:numPr>
          <w:ilvl w:val="0"/>
          <w:numId w:val="2"/>
        </w:numPr>
        <w:spacing w:after="100"/>
      </w:pPr>
      <w:r>
        <w:rPr>
          <w:rFonts w:ascii="Arial" w:cs="Arial" w:eastAsia="Arial" w:hAnsi="Arial"/>
          <w:sz w:val="24"/>
          <w:szCs w:val="24"/>
        </w:rPr>
        <w:t xml:space="preserve">Go/no-go decision criteria based on biomarker thresholds.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Clinical strategy memo with sections: [Enrichment_Strategy, Biomarker_Panel, Collection_Protocol, Analysis_Plan, GoNoGo_Criteria].</w:t>
      </w:r>
    </w:p>
    <w:p>
      <w:pPr>
        <w:pStyle w:val="Heading2"/>
        <w:spacing w:after="200" w:before="200"/>
      </w:pPr>
      <w:r>
        <w:t xml:space="preserve">Tools &amp; Databases Summary</w:t>
      </w:r>
    </w:p>
    <w:p>
      <w:pPr>
        <w:pStyle w:val="ListParagraph"/>
        <w:numPr>
          <w:ilvl w:val="0"/>
          <w:numId w:val="2"/>
        </w:numPr>
        <w:spacing w:after="100"/>
      </w:pPr>
      <w:r>
        <w:rPr>
          <w:rFonts w:ascii="Arial" w:cs="Arial" w:eastAsia="Arial" w:hAnsi="Arial"/>
          <w:b/>
          <w:bCs/>
          <w:sz w:val="24"/>
          <w:szCs w:val="24"/>
        </w:rPr>
        <w:t xml:space="preserve">Quiver Bioscience Data Lake: </w:t>
      </w:r>
      <w:r>
        <w:rPr>
          <w:rFonts w:ascii="Arial" w:cs="Arial" w:eastAsia="Arial" w:hAnsi="Arial"/>
          <w:sz w:val="24"/>
          <w:szCs w:val="24"/>
        </w:rPr>
        <w:t xml:space="preserve">Retrieve EP phenotype profile for target gene.</w:t>
      </w:r>
    </w:p>
    <w:p>
      <w:pPr>
        <w:pStyle w:val="ListParagraph"/>
        <w:numPr>
          <w:ilvl w:val="0"/>
          <w:numId w:val="2"/>
        </w:numPr>
        <w:spacing w:after="100"/>
      </w:pPr>
      <w:r>
        <w:rPr>
          <w:rFonts w:ascii="Arial" w:cs="Arial" w:eastAsia="Arial" w:hAnsi="Arial"/>
          <w:b/>
          <w:bCs/>
          <w:sz w:val="24"/>
          <w:szCs w:val="24"/>
        </w:rPr>
        <w:t xml:space="preserve">ClinicalTrials.gov: </w:t>
      </w:r>
      <w:r>
        <w:rPr>
          <w:rFonts w:ascii="Arial" w:cs="Arial" w:eastAsia="Arial" w:hAnsi="Arial"/>
          <w:sz w:val="24"/>
          <w:szCs w:val="24"/>
        </w:rPr>
        <w:t xml:space="preserve">Phase 2 trial design, endpoints, enrollment.</w:t>
      </w:r>
    </w:p>
    <w:p>
      <w:pPr>
        <w:pStyle w:val="ListParagraph"/>
        <w:numPr>
          <w:ilvl w:val="0"/>
          <w:numId w:val="2"/>
        </w:numPr>
        <w:spacing w:after="100"/>
      </w:pPr>
      <w:r>
        <w:rPr>
          <w:rFonts w:ascii="Arial" w:cs="Arial" w:eastAsia="Arial" w:hAnsi="Arial"/>
          <w:b/>
          <w:bCs/>
          <w:sz w:val="24"/>
          <w:szCs w:val="24"/>
        </w:rPr>
        <w:t xml:space="preserve">Company press releases, SEC filings: </w:t>
      </w:r>
      <w:r>
        <w:rPr>
          <w:rFonts w:ascii="Arial" w:cs="Arial" w:eastAsia="Arial" w:hAnsi="Arial"/>
          <w:sz w:val="24"/>
          <w:szCs w:val="24"/>
        </w:rPr>
        <w:t xml:space="preserve">Program-specific clinical data.</w:t>
      </w:r>
    </w:p>
    <w:p>
      <w:pPr>
        <w:pStyle w:val="ListParagraph"/>
        <w:numPr>
          <w:ilvl w:val="0"/>
          <w:numId w:val="2"/>
        </w:numPr>
        <w:spacing w:after="100"/>
      </w:pPr>
      <w:r>
        <w:rPr>
          <w:rFonts w:ascii="Arial" w:cs="Arial" w:eastAsia="Arial" w:hAnsi="Arial"/>
          <w:b/>
          <w:bCs/>
          <w:sz w:val="24"/>
          <w:szCs w:val="24"/>
        </w:rPr>
        <w:t xml:space="preserve">PubMed, human genetic studies: </w:t>
      </w:r>
      <w:r>
        <w:rPr>
          <w:rFonts w:ascii="Arial" w:cs="Arial" w:eastAsia="Arial" w:hAnsi="Arial"/>
          <w:sz w:val="24"/>
          <w:szCs w:val="24"/>
        </w:rPr>
        <w:t xml:space="preserve">Disease-gene-phenotype associations.</w:t>
      </w:r>
    </w:p>
    <w:p>
      <w:pPr>
        <w:pStyle w:val="ListParagraph"/>
        <w:numPr>
          <w:ilvl w:val="0"/>
          <w:numId w:val="2"/>
        </w:numPr>
        <w:spacing w:after="100"/>
      </w:pPr>
      <w:r>
        <w:rPr>
          <w:rFonts w:ascii="Arial" w:cs="Arial" w:eastAsia="Arial" w:hAnsi="Arial"/>
          <w:b/>
          <w:bCs/>
          <w:sz w:val="24"/>
          <w:szCs w:val="24"/>
        </w:rPr>
        <w:t xml:space="preserve">AllenBrain, Human Brain Project: </w:t>
      </w:r>
      <w:r>
        <w:rPr>
          <w:rFonts w:ascii="Arial" w:cs="Arial" w:eastAsia="Arial" w:hAnsi="Arial"/>
          <w:sz w:val="24"/>
          <w:szCs w:val="24"/>
        </w:rPr>
        <w:t xml:space="preserve">Human neural phenotypes and transcriptomics.</w:t>
      </w:r>
    </w:p>
    <w:p>
      <w:pPr>
        <w:pStyle w:val="ListParagraph"/>
        <w:numPr>
          <w:ilvl w:val="0"/>
          <w:numId w:val="2"/>
        </w:numPr>
        <w:spacing w:after="100"/>
      </w:pPr>
      <w:r>
        <w:rPr>
          <w:rFonts w:ascii="Arial" w:cs="Arial" w:eastAsia="Arial" w:hAnsi="Arial"/>
          <w:b/>
          <w:bCs/>
          <w:sz w:val="24"/>
          <w:szCs w:val="24"/>
        </w:rPr>
        <w:t xml:space="preserve">Patient-derived iPSC databases: </w:t>
      </w:r>
      <w:r>
        <w:rPr>
          <w:rFonts w:ascii="Arial" w:cs="Arial" w:eastAsia="Arial" w:hAnsi="Arial"/>
          <w:sz w:val="24"/>
          <w:szCs w:val="24"/>
        </w:rPr>
        <w:t xml:space="preserve">Disease-relevant neuronal phenotypes.</w:t>
      </w:r>
    </w:p>
    <w:p>
      <w:pPr>
        <w:pStyle w:val="ListParagraph"/>
        <w:numPr>
          <w:ilvl w:val="0"/>
          <w:numId w:val="2"/>
        </w:numPr>
        <w:spacing w:after="100"/>
      </w:pPr>
      <w:r>
        <w:rPr>
          <w:rFonts w:ascii="Arial" w:cs="Arial" w:eastAsia="Arial" w:hAnsi="Arial"/>
          <w:b/>
          <w:bCs/>
          <w:sz w:val="24"/>
          <w:szCs w:val="24"/>
        </w:rPr>
        <w:t xml:space="preserve">Systems neuroscience literature: </w:t>
      </w:r>
      <w:r>
        <w:rPr>
          <w:rFonts w:ascii="Arial" w:cs="Arial" w:eastAsia="Arial" w:hAnsi="Arial"/>
          <w:sz w:val="24"/>
          <w:szCs w:val="24"/>
        </w:rPr>
        <w:t xml:space="preserve">Circuit-level and behavioral phenotype linkage.</w:t>
      </w:r>
    </w:p>
    <w:p>
      <w:pPr>
        <w:pStyle w:val="ListParagraph"/>
        <w:numPr>
          <w:ilvl w:val="0"/>
          <w:numId w:val="2"/>
        </w:numPr>
        <w:spacing w:after="100"/>
      </w:pPr>
      <w:r>
        <w:rPr>
          <w:rFonts w:ascii="Arial" w:cs="Arial" w:eastAsia="Arial" w:hAnsi="Arial"/>
          <w:b/>
          <w:bCs/>
          <w:sz w:val="24"/>
          <w:szCs w:val="24"/>
        </w:rPr>
        <w:t xml:space="preserve">Disease pathway databases (KEGG, Reactome): </w:t>
      </w:r>
      <w:r>
        <w:rPr>
          <w:rFonts w:ascii="Arial" w:cs="Arial" w:eastAsia="Arial" w:hAnsi="Arial"/>
          <w:sz w:val="24"/>
          <w:szCs w:val="24"/>
        </w:rPr>
        <w:t xml:space="preserve">Gene function and disease mechanism.</w:t>
      </w:r>
    </w:p>
    <w:p>
      <w:pPr>
        <w:pStyle w:val="ListParagraph"/>
        <w:numPr>
          <w:ilvl w:val="0"/>
          <w:numId w:val="2"/>
        </w:numPr>
        <w:spacing w:after="100"/>
      </w:pPr>
      <w:r>
        <w:rPr>
          <w:rFonts w:ascii="Arial" w:cs="Arial" w:eastAsia="Arial" w:hAnsi="Arial"/>
          <w:b/>
          <w:bCs/>
          <w:sz w:val="24"/>
          <w:szCs w:val="24"/>
        </w:rPr>
        <w:t xml:space="preserve">GWAS databases, gnomAD: </w:t>
      </w:r>
      <w:r>
        <w:rPr>
          <w:rFonts w:ascii="Arial" w:cs="Arial" w:eastAsia="Arial" w:hAnsi="Arial"/>
          <w:sz w:val="24"/>
          <w:szCs w:val="24"/>
        </w:rPr>
        <w:t xml:space="preserve">Human genetic heterogeneity in target gene.</w:t>
      </w:r>
    </w:p>
    <w:p>
      <w:pPr>
        <w:pStyle w:val="ListParagraph"/>
        <w:numPr>
          <w:ilvl w:val="0"/>
          <w:numId w:val="2"/>
        </w:numPr>
        <w:spacing w:after="100"/>
      </w:pPr>
      <w:r>
        <w:rPr>
          <w:rFonts w:ascii="Arial" w:cs="Arial" w:eastAsia="Arial" w:hAnsi="Arial"/>
          <w:b/>
          <w:bCs/>
          <w:sz w:val="24"/>
          <w:szCs w:val="24"/>
        </w:rPr>
        <w:t xml:space="preserve">Single-cell RNA-seq databases: </w:t>
      </w:r>
      <w:r>
        <w:rPr>
          <w:rFonts w:ascii="Arial" w:cs="Arial" w:eastAsia="Arial" w:hAnsi="Arial"/>
          <w:sz w:val="24"/>
          <w:szCs w:val="24"/>
        </w:rPr>
        <w:t xml:space="preserve">Cell-type-specific gene expression patterns.</w:t>
      </w:r>
    </w:p>
    <w:p>
      <w:pPr>
        <w:pStyle w:val="ListParagraph"/>
        <w:numPr>
          <w:ilvl w:val="0"/>
          <w:numId w:val="2"/>
        </w:numPr>
        <w:spacing w:after="100"/>
      </w:pPr>
      <w:r>
        <w:rPr>
          <w:rFonts w:ascii="Arial" w:cs="Arial" w:eastAsia="Arial" w:hAnsi="Arial"/>
          <w:b/>
          <w:bCs/>
          <w:sz w:val="24"/>
          <w:szCs w:val="24"/>
        </w:rPr>
        <w:t xml:space="preserve">Comparative neurobiology literature: </w:t>
      </w:r>
      <w:r>
        <w:rPr>
          <w:rFonts w:ascii="Arial" w:cs="Arial" w:eastAsia="Arial" w:hAnsi="Arial"/>
          <w:sz w:val="24"/>
          <w:szCs w:val="24"/>
        </w:rPr>
        <w:t xml:space="preserve">Human vs. rodent differences.</w:t>
      </w:r>
    </w:p>
    <w:p>
      <w:pPr>
        <w:pStyle w:val="ListParagraph"/>
        <w:numPr>
          <w:ilvl w:val="0"/>
          <w:numId w:val="2"/>
        </w:numPr>
        <w:spacing w:after="100"/>
      </w:pPr>
      <w:r>
        <w:rPr>
          <w:rFonts w:ascii="Arial" w:cs="Arial" w:eastAsia="Arial" w:hAnsi="Arial"/>
          <w:b/>
          <w:bCs/>
          <w:sz w:val="24"/>
          <w:szCs w:val="24"/>
        </w:rPr>
        <w:t xml:space="preserve">Bayesian model: </w:t>
      </w:r>
      <w:r>
        <w:rPr>
          <w:rFonts w:ascii="Arial" w:cs="Arial" w:eastAsia="Arial" w:hAnsi="Arial"/>
          <w:sz w:val="24"/>
          <w:szCs w:val="24"/>
        </w:rPr>
        <w:t xml:space="preserve">Integrate alignment and risk scores into failure probability.</w:t>
      </w:r>
    </w:p>
    <w:p>
      <w:pPr>
        <w:pStyle w:val="ListParagraph"/>
        <w:numPr>
          <w:ilvl w:val="0"/>
          <w:numId w:val="2"/>
        </w:numPr>
        <w:spacing w:after="100"/>
      </w:pPr>
      <w:r>
        <w:rPr>
          <w:rFonts w:ascii="Arial" w:cs="Arial" w:eastAsia="Arial" w:hAnsi="Arial"/>
          <w:b/>
          <w:bCs/>
          <w:sz w:val="24"/>
          <w:szCs w:val="24"/>
        </w:rPr>
        <w:t xml:space="preserve">Historical benchmark data (Tufts, Evaluate Pharma): </w:t>
      </w:r>
      <w:r>
        <w:rPr>
          <w:rFonts w:ascii="Arial" w:cs="Arial" w:eastAsia="Arial" w:hAnsi="Arial"/>
          <w:sz w:val="24"/>
          <w:szCs w:val="24"/>
        </w:rPr>
        <w:t xml:space="preserve">Indication-specific Phase 2 success rates.</w:t>
      </w:r>
    </w:p>
    <w:p>
      <w:pPr>
        <w:pStyle w:val="ListParagraph"/>
        <w:numPr>
          <w:ilvl w:val="0"/>
          <w:numId w:val="2"/>
        </w:numPr>
        <w:spacing w:after="100"/>
      </w:pPr>
      <w:r>
        <w:rPr>
          <w:rFonts w:ascii="Arial" w:cs="Arial" w:eastAsia="Arial" w:hAnsi="Arial"/>
          <w:b/>
          <w:bCs/>
          <w:sz w:val="24"/>
          <w:szCs w:val="24"/>
        </w:rPr>
        <w:t xml:space="preserve">FDA Biomarker Qualification Program: </w:t>
      </w:r>
      <w:r>
        <w:rPr>
          <w:rFonts w:ascii="Arial" w:cs="Arial" w:eastAsia="Arial" w:hAnsi="Arial"/>
          <w:sz w:val="24"/>
          <w:szCs w:val="24"/>
        </w:rPr>
        <w:t xml:space="preserve">Establish novel biomarkers for registration.</w:t>
      </w:r>
    </w:p>
    <w:p>
      <w:pPr>
        <w:pStyle w:val="ListParagraph"/>
        <w:numPr>
          <w:ilvl w:val="0"/>
          <w:numId w:val="2"/>
        </w:numPr>
        <w:spacing w:after="100"/>
      </w:pPr>
      <w:r>
        <w:rPr>
          <w:rFonts w:ascii="Arial" w:cs="Arial" w:eastAsia="Arial" w:hAnsi="Arial"/>
          <w:b/>
          <w:bCs/>
          <w:sz w:val="24"/>
          <w:szCs w:val="24"/>
        </w:rPr>
        <w:t xml:space="preserve">Patient-derived biomarker literature: </w:t>
      </w:r>
      <w:r>
        <w:rPr>
          <w:rFonts w:ascii="Arial" w:cs="Arial" w:eastAsia="Arial" w:hAnsi="Arial"/>
          <w:sz w:val="24"/>
          <w:szCs w:val="24"/>
        </w:rPr>
        <w:t xml:space="preserve">CSF, imaging, electrophysiology biomarkers.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2026-02-27T18:14:49.722Z</dcterms:created>
  <dcterms:modified xsi:type="dcterms:W3CDTF">2026-02-27T18:14:49.722Z</dcterms:modified>
</cp:coreProperties>
</file>

<file path=docProps/custom.xml><?xml version="1.0" encoding="utf-8"?>
<Properties xmlns="http://schemas.openxmlformats.org/officeDocument/2006/custom-properties" xmlns:vt="http://schemas.openxmlformats.org/officeDocument/2006/docPropsVTypes"/>
</file>