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w:t>
      </w:r>
    </w:p>
    <w:p>
      <w:pPr>
        <w:pStyle w:val="Heading2"/>
      </w:pPr>
      <w:r>
        <w:rPr>
          <w:rFonts w:ascii="Arial" w:cs="Arial" w:eastAsia="Arial" w:hAnsi="Arial"/>
          <w:b/>
          <w:bCs/>
          <w:sz w:val="28"/>
          <w:szCs w:val="28"/>
        </w:rPr>
        <w:t xml:space="preserve">Prompt: "Evaluate whether targeting gene X is likely to face safety liabilities based on historical toxicology."</w:t>
      </w:r>
    </w:p>
    <w:p>
      <w:pPr>
        <w:spacing w:after="200" w:line="360"/>
      </w:pPr>
      <w:r>
        <w:rPr>
          <w:rFonts w:ascii="Arial" w:cs="Arial" w:eastAsia="Arial" w:hAnsi="Arial"/>
          <w:sz w:val="24"/>
          <w:szCs w:val="24"/>
        </w:rPr>
        <w:t xml:space="preserve">This document defines the complete Sapphire pipeline for safety risk assessment — mining historical toxicology data for the target gene and its pathway, cross-referencing with Quiver EP safety signals, and producing a comprehensive safety liability profile.</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Historical Toxicology &amp; Safety Liabilities module integrates human genetic data (genetic associations, loss-of-function variants), preclinical toxicology (animal model phenotypes, organ toxicity), Quiver electrophysiology safety signals (from CRISPR perturbations in human neurons), and clinical data (adverse events from approved drugs targeting the pathway) to forecast likely safety risks if the target is pharmacologically modulated.</w:t>
      </w:r>
    </w:p>
    <w:p>
      <w:pPr>
        <w:spacing w:after="200" w:line="360"/>
      </w:pPr>
      <w:r>
        <w:rPr>
          <w:rFonts w:ascii="Arial" w:cs="Arial" w:eastAsia="Arial" w:hAnsi="Arial"/>
          <w:sz w:val="24"/>
          <w:szCs w:val="24"/>
        </w:rPr>
        <w:t xml:space="preserve">This workflow is essential for minimizing development attrition due to safety failure: early identification of liability signals allows for mechanism-of-action optimization, patient population selection, or strategic deprioritization of high-risk targets. Integration with Quiver's 18,000-gene CRISPR EP phenotyping dataset enables detection of neurotoxic or cardiotoxic off-target effects that may not be obvious from target biology alone.</w:t>
      </w:r>
    </w:p>
    <w:p>
      <w:pPr>
        <w:pStyle w:val="Heading2"/>
      </w:pPr>
      <w:r>
        <w:rPr>
          <w:rFonts w:ascii="Arial" w:cs="Arial" w:eastAsia="Arial" w:hAnsi="Arial"/>
          <w:b/>
          <w:bCs/>
          <w:sz w:val="28"/>
          <w:szCs w:val="28"/>
        </w:rPr>
        <w:t xml:space="preserve">Stage 1: Genetic Risk Assessment &amp; Human Loss-of-Function Data</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human genetic evidence linking the target gene to adverse phenotypes or disease associations, including rare loss-of-function variants and common genetic risk variants.</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Target gene (HGNC symbol, Ensembl ID, UniProt ID)</w:t>
      </w:r>
    </w:p>
    <w:p>
      <w:pPr>
        <w:pStyle w:val="ListBullet"/>
        <w:numPr>
          <w:ilvl w:val="0"/>
          <w:numId w:val="2"/>
        </w:numPr>
      </w:pPr>
      <w:r>
        <w:t xml:space="preserve">Disease context and therapeutic modality (small molecule inhibitor, antibody, activator, genetic knockdown, etc.)</w:t>
      </w:r>
    </w:p>
    <w:p>
      <w:pPr>
        <w:pStyle w:val="ListBullet"/>
        <w:numPr>
          <w:ilvl w:val="0"/>
          <w:numId w:val="2"/>
        </w:numPr>
      </w:pPr>
      <w:r>
        <w:t xml:space="preserve">Tissue/organ systems of interest (for predicting off-target toxicity risks)</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ClinVar / dbVar (reported genetic variants, clinical significance, pathogenicity assertions)</w:t>
      </w:r>
    </w:p>
    <w:p>
      <w:pPr>
        <w:pStyle w:val="ListBullet"/>
        <w:numPr>
          <w:ilvl w:val="0"/>
          <w:numId w:val="2"/>
        </w:numPr>
      </w:pPr>
      <w:r>
        <w:t xml:space="preserve">GWAS Catalog (genome-wide association studies linking variants to diseases and traits)</w:t>
      </w:r>
    </w:p>
    <w:p>
      <w:pPr>
        <w:pStyle w:val="ListBullet"/>
        <w:numPr>
          <w:ilvl w:val="0"/>
          <w:numId w:val="2"/>
        </w:numPr>
      </w:pPr>
      <w:r>
        <w:t xml:space="preserve">gnomAD / ExAC (population frequencies of loss-of-function and missense variants)</w:t>
      </w:r>
    </w:p>
    <w:p>
      <w:pPr>
        <w:pStyle w:val="ListBullet"/>
        <w:numPr>
          <w:ilvl w:val="0"/>
          <w:numId w:val="2"/>
        </w:numPr>
      </w:pPr>
      <w:r>
        <w:t xml:space="preserve">OpenTargets Platform (genetic associations with diseases, prioritized by evidence)</w:t>
      </w:r>
    </w:p>
    <w:p>
      <w:pPr>
        <w:pStyle w:val="ListBullet"/>
        <w:numPr>
          <w:ilvl w:val="0"/>
          <w:numId w:val="2"/>
        </w:numPr>
      </w:pPr>
      <w:r>
        <w:t xml:space="preserve">PubMed / ScienceDirect (case reports, genetic studies of loss-of-function mutations)</w:t>
      </w:r>
    </w:p>
    <w:p>
      <w:pPr>
        <w:pStyle w:val="ListBullet"/>
        <w:numPr>
          <w:ilvl w:val="0"/>
          <w:numId w:val="2"/>
        </w:numPr>
      </w:pPr>
      <w:r>
        <w:t xml:space="preserve">Human Phenotype Ontology (HPO) (phenotype annotations for rare genetic conditions)</w:t>
      </w:r>
    </w:p>
    <w:p>
      <w:pPr>
        <w:pStyle w:val="ListBullet"/>
        <w:numPr>
          <w:ilvl w:val="0"/>
          <w:numId w:val="2"/>
        </w:numPr>
      </w:pPr>
      <w:r>
        <w:t xml:space="preserve">ClinGen (clinical genome resource with variant pathogenicity curations)</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"Search ClinVar and PubMed for all reported loss-of-function mutations in [target gene]: what phenotypes do heterozygous and homozygous carriers exhibit?"</w:t>
      </w:r>
    </w:p>
    <w:p>
      <w:pPr>
        <w:pStyle w:val="ListBullet"/>
        <w:numPr>
          <w:ilvl w:val="0"/>
          <w:numId w:val="2"/>
        </w:numPr>
      </w:pPr>
      <w:r>
        <w:t xml:space="preserve">"From gnomAD, extract the allele frequency of loss-of-function variants in [target gene]: are LoF variants tolerated in the population (high frequency suggests no major toxicity) or absent (suggests essential gene with toxicity risk)?"</w:t>
      </w:r>
    </w:p>
    <w:p>
      <w:pPr>
        <w:pStyle w:val="ListBullet"/>
        <w:numPr>
          <w:ilvl w:val="0"/>
          <w:numId w:val="2"/>
        </w:numPr>
      </w:pPr>
      <w:r>
        <w:t xml:space="preserve">"Query GWAS Catalog for disease and trait associations with [target gene] variants: identify any associations with adverse events, neurological conditions, cardiac arrhythmias, renal disease, or other organ toxicities."</w:t>
      </w:r>
    </w:p>
    <w:p>
      <w:pPr>
        <w:pStyle w:val="ListBullet"/>
        <w:numPr>
          <w:ilvl w:val="0"/>
          <w:numId w:val="2"/>
        </w:numPr>
      </w:pPr>
      <w:r>
        <w:t xml:space="preserve">"Retrieve from OpenTargets all genetic evidence linking [target gene] to [disease of interest] and to off-target organs/tissues: what is the evidence base (GWAS, rare variant, functional)?"</w:t>
      </w:r>
    </w:p>
    <w:p>
      <w:pPr>
        <w:pStyle w:val="ListBullet"/>
        <w:numPr>
          <w:ilvl w:val="0"/>
          <w:numId w:val="2"/>
        </w:numPr>
      </w:pPr>
      <w:r>
        <w:t xml:space="preserve">"Search PubMed for case reports of patients with [target gene] mutations: summarize phenotypes, severity, age of onset, and comorbidities."</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Loss-of-function tolerance assessment: LoF intolerance score (pLI, LOEUF from gnomAD); does the target tolerate LoF mutations in the general population?</w:t>
      </w:r>
    </w:p>
    <w:p>
      <w:pPr>
        <w:pStyle w:val="ListBullet"/>
        <w:numPr>
          <w:ilvl w:val="0"/>
          <w:numId w:val="2"/>
        </w:numPr>
      </w:pPr>
      <w:r>
        <w:t xml:space="preserve">Reported human genetic phenotypes: list of observed phenotypes in individuals with LoF mutations, organized by severity and organ system (neurological, cardiac, renal, hepatic, hematologic, etc.)</w:t>
      </w:r>
    </w:p>
    <w:p>
      <w:pPr>
        <w:pStyle w:val="ListBullet"/>
        <w:numPr>
          <w:ilvl w:val="0"/>
          <w:numId w:val="2"/>
        </w:numPr>
      </w:pPr>
      <w:r>
        <w:t xml:space="preserve">GWAS associations: diseases and quantitative traits associated with variants in [target gene], including effect sizes and tissue context</w:t>
      </w:r>
    </w:p>
    <w:p>
      <w:pPr>
        <w:pStyle w:val="ListBullet"/>
        <w:numPr>
          <w:ilvl w:val="0"/>
          <w:numId w:val="2"/>
        </w:numPr>
      </w:pPr>
      <w:r>
        <w:t xml:space="preserve">Rare variant studies: burden tests identifying associations between [target gene] LoF variants and specific phenotypes or disease subtypes</w:t>
      </w:r>
    </w:p>
    <w:p>
      <w:pPr>
        <w:pStyle w:val="ListBullet"/>
        <w:numPr>
          <w:ilvl w:val="0"/>
          <w:numId w:val="2"/>
        </w:numPr>
      </w:pPr>
      <w:r>
        <w:t xml:space="preserve">Clinical case summaries: phenotypic descriptions from case reports, highlighting unexpected or severe manifestations</w:t>
      </w:r>
    </w:p>
    <w:p>
      <w:pPr>
        <w:pStyle w:val="ListBullet"/>
        <w:numPr>
          <w:ilvl w:val="0"/>
          <w:numId w:val="2"/>
        </w:numPr>
      </w:pPr>
      <w:r>
        <w:t xml:space="preserve">Overall genetic risk assessment: high/moderate/low probability that pharmacological inhibition of [target] will cause human toxicity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Summary table with variant types (LoF, missense, CNV) × phenotypes; gnomAD statistics (LoF count, allele frequency, pLI/LOEUF scores); GWAS associations with effect sizes; narrative case summaries with HPO annotations</w:t>
      </w:r>
    </w:p>
    <w:p>
      <w:pPr>
        <w:pStyle w:val="Heading2"/>
      </w:pPr>
      <w:r>
        <w:rPr>
          <w:rFonts w:ascii="Arial" w:cs="Arial" w:eastAsia="Arial" w:hAnsi="Arial"/>
          <w:b/>
          <w:bCs/>
          <w:sz w:val="28"/>
          <w:szCs w:val="28"/>
        </w:rPr>
        <w:t xml:space="preserve">Stage 2: Preclinical Toxicology &amp; Animal Model Phenotypes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review preclinical toxicology studies and animal knockout models to characterize organ-system toxicities associated with target perturbation.</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Target gene symbol and orthologs in mouse, rat, dog, non-human primates</w:t>
      </w:r>
    </w:p>
    <w:p>
      <w:pPr>
        <w:pStyle w:val="ListBullet"/>
        <w:numPr>
          <w:ilvl w:val="0"/>
          <w:numId w:val="2"/>
        </w:numPr>
      </w:pPr>
      <w:r>
        <w:t xml:space="preserve">Preclinical toxicology study reports (if target is already drug target in some indication)</w:t>
      </w:r>
    </w:p>
    <w:p>
      <w:pPr>
        <w:pStyle w:val="ListBullet"/>
        <w:numPr>
          <w:ilvl w:val="0"/>
          <w:numId w:val="2"/>
        </w:numPr>
      </w:pPr>
      <w:r>
        <w:t xml:space="preserve">Animal model databases and literature on gene knockouts</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Mouse Genome Informatics (MGI) (mouse knockout phenotypes and phenotype ontology)</w:t>
      </w:r>
    </w:p>
    <w:p>
      <w:pPr>
        <w:pStyle w:val="ListBullet"/>
        <w:numPr>
          <w:ilvl w:val="0"/>
          <w:numId w:val="2"/>
        </w:numPr>
      </w:pPr>
      <w:r>
        <w:t xml:space="preserve">International Mouse Phenotyping Consortium (IMPC) (standardized phenotyping of knockouts)</w:t>
      </w:r>
    </w:p>
    <w:p>
      <w:pPr>
        <w:pStyle w:val="ListBullet"/>
        <w:numPr>
          <w:ilvl w:val="0"/>
          <w:numId w:val="2"/>
        </w:numPr>
      </w:pPr>
      <w:r>
        <w:t xml:space="preserve">Rat Genome Database (RGD) (rat knockout phenotypes)</w:t>
      </w:r>
    </w:p>
    <w:p>
      <w:pPr>
        <w:pStyle w:val="ListBullet"/>
        <w:numPr>
          <w:ilvl w:val="0"/>
          <w:numId w:val="2"/>
        </w:numPr>
      </w:pPr>
      <w:r>
        <w:t xml:space="preserve">PubMed (searches for '[target name] knockout' or '[target name] toxicity' in preclinical models)</w:t>
      </w:r>
    </w:p>
    <w:p>
      <w:pPr>
        <w:pStyle w:val="ListBullet"/>
        <w:numPr>
          <w:ilvl w:val="0"/>
          <w:numId w:val="2"/>
        </w:numPr>
      </w:pPr>
      <w:r>
        <w:t xml:space="preserve">Protein Databank (PDB) (structural data on orthologs, conservation of function)</w:t>
      </w:r>
    </w:p>
    <w:p>
      <w:pPr>
        <w:pStyle w:val="ListBullet"/>
        <w:numPr>
          <w:ilvl w:val="0"/>
          <w:numId w:val="2"/>
        </w:numPr>
      </w:pPr>
      <w:r>
        <w:t xml:space="preserve">ChEMBL / BindingDB (preclinical toxicity data for existing compounds targeting the gene or analogs)</w:t>
      </w:r>
    </w:p>
    <w:p>
      <w:pPr>
        <w:pStyle w:val="ListBullet"/>
        <w:numPr>
          <w:ilvl w:val="0"/>
          <w:numId w:val="2"/>
        </w:numPr>
      </w:pPr>
      <w:r>
        <w:t xml:space="preserve">DrugBank (safety profiles of approved drugs targeting related proteins)</w:t>
      </w:r>
    </w:p>
    <w:p>
      <w:pPr>
        <w:pStyle w:val="ListBullet"/>
        <w:numPr>
          <w:ilvl w:val="0"/>
          <w:numId w:val="2"/>
        </w:numPr>
      </w:pPr>
      <w:r>
        <w:t xml:space="preserve">ToxCast / CEBS / CTD (Comparative Toxicogenomics Database) (chemical-gene-toxicity associations)</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"From MGI and IMPC, retrieve all knockout phenotypes for the mouse ortholog of [target gene]: organize by organ system (CNS, cardiac, renal, hepatic, hematologic, GI, endocrine)."</w:t>
      </w:r>
    </w:p>
    <w:p>
      <w:pPr>
        <w:pStyle w:val="ListBullet"/>
        <w:numPr>
          <w:ilvl w:val="0"/>
          <w:numId w:val="2"/>
        </w:numPr>
      </w:pPr>
      <w:r>
        <w:t xml:space="preserve">"For each reported phenotype in mouse knockouts, assess severity: lethal, severe developmental abnormality, mild phenotype, or no obvious phenotype (null mutation)?"</w:t>
      </w:r>
    </w:p>
    <w:p>
      <w:pPr>
        <w:pStyle w:val="ListBullet"/>
        <w:numPr>
          <w:ilvl w:val="0"/>
          <w:numId w:val="2"/>
        </w:numPr>
      </w:pPr>
      <w:r>
        <w:t xml:space="preserve">"Search PubMed for published studies on conditional (tissue-specific) knockouts of [target gene]: which tissues/organs are critical for [target] function?"</w:t>
      </w:r>
    </w:p>
    <w:p>
      <w:pPr>
        <w:pStyle w:val="ListBullet"/>
        <w:numPr>
          <w:ilvl w:val="0"/>
          <w:numId w:val="2"/>
        </w:numPr>
      </w:pPr>
      <w:r>
        <w:t xml:space="preserve">"If [target gene] is the target of approved drugs (e.g., existing kinase inhibitor, antibody, etc.), retrieve safety data from clinical trials: what adverse events have been reported?"</w:t>
      </w:r>
    </w:p>
    <w:p>
      <w:pPr>
        <w:pStyle w:val="ListBullet"/>
        <w:numPr>
          <w:ilvl w:val="0"/>
          <w:numId w:val="2"/>
        </w:numPr>
      </w:pPr>
      <w:r>
        <w:t xml:space="preserve">"Compare functional orthologs across species (mouse, rat, dog, primate): are knockout phenotypes conserved? This suggests translational relevance."</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Mouse/rat knockout phenotype summary: organized by organ system, phenotype severity, age of onset, reversibility (if conditional or inducible knockout)</w:t>
      </w:r>
    </w:p>
    <w:p>
      <w:pPr>
        <w:pStyle w:val="ListBullet"/>
        <w:numPr>
          <w:ilvl w:val="0"/>
          <w:numId w:val="2"/>
        </w:numPr>
      </w:pPr>
      <w:r>
        <w:t xml:space="preserve">Critical tissue identification: tissues/organs where [target] function is essential vs. dispensable (based on conditional knockout data)</w:t>
      </w:r>
    </w:p>
    <w:p>
      <w:pPr>
        <w:pStyle w:val="ListBullet"/>
        <w:numPr>
          <w:ilvl w:val="0"/>
          <w:numId w:val="2"/>
        </w:numPr>
      </w:pPr>
      <w:r>
        <w:t xml:space="preserve">Toxicity spectrum: list of observed toxicities across species (mouse, rat, dog, primate if available), with estimated translatability to humans</w:t>
      </w:r>
    </w:p>
    <w:p>
      <w:pPr>
        <w:pStyle w:val="ListBullet"/>
        <w:numPr>
          <w:ilvl w:val="0"/>
          <w:numId w:val="2"/>
        </w:numPr>
      </w:pPr>
      <w:r>
        <w:t xml:space="preserve">Comparative toxicology: if [target] is already drug target, summary of adverse events from clinical trials (type, frequency, severity, population affected)</w:t>
      </w:r>
    </w:p>
    <w:p>
      <w:pPr>
        <w:pStyle w:val="ListBullet"/>
        <w:numPr>
          <w:ilvl w:val="0"/>
          <w:numId w:val="2"/>
        </w:numPr>
      </w:pPr>
      <w:r>
        <w:t xml:space="preserve">Dose-response toxicology: does toxicity show dose-dependency? Is there a No-Observed-Adverse-Effect-Level (NOAEL) in animal studies?</w:t>
      </w:r>
    </w:p>
    <w:p>
      <w:pPr>
        <w:pStyle w:val="ListBullet"/>
        <w:numPr>
          <w:ilvl w:val="0"/>
          <w:numId w:val="2"/>
        </w:numPr>
      </w:pPr>
      <w:r>
        <w:t xml:space="preserve">Mechanism of toxicity: proposed mechanisms underlying each observed toxicity (target-based, off-target binding, metabolite toxicity, etc.)</w:t>
      </w:r>
    </w:p>
    <w:p>
      <w:pPr>
        <w:pStyle w:val="ListBullet"/>
        <w:numPr>
          <w:ilvl w:val="0"/>
          <w:numId w:val="2"/>
        </w:numPr>
      </w:pPr>
      <w:r>
        <w:t xml:space="preserve">Species-specific liabilities: toxicities unique to mouse vs. rat vs. dog, suggesting potential species differences relevant to clinical translation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Phenotype table (gene/target × organ system × severity), structured by knockout type (constitutive, conditional, inducible); includes literature citations, effect sizes where available, and species-specific considerations</w:t>
      </w:r>
    </w:p>
    <w:p>
      <w:pPr>
        <w:pStyle w:val="Heading2"/>
      </w:pPr>
      <w:r>
        <w:rPr>
          <w:rFonts w:ascii="Arial" w:cs="Arial" w:eastAsia="Arial" w:hAnsi="Arial"/>
          <w:b/>
          <w:bCs/>
          <w:sz w:val="28"/>
          <w:szCs w:val="28"/>
        </w:rPr>
        <w:t xml:space="preserve">Stage 3: Quiver Electrophysiology Safety Signal Mining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Query Quiver's 18,000-gene CRISPR perturbation database to identify off-target genes whose knockout produces adverse electrophysiological phenotypes (neurotoxic or cardiotoxic signals), and cross-reference with target selectivity data.</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Target gene and proposed chemical/biologic modality (small molecule kinase inhibitor, antibody, etc.)</w:t>
      </w:r>
    </w:p>
    <w:p>
      <w:pPr>
        <w:pStyle w:val="ListBullet"/>
        <w:numPr>
          <w:ilvl w:val="0"/>
          <w:numId w:val="2"/>
        </w:numPr>
      </w:pPr>
      <w:r>
        <w:t xml:space="preserve">Known off-target binding profiles for existing compounds targeting similar proteins (if available)</w:t>
      </w:r>
    </w:p>
    <w:p>
      <w:pPr>
        <w:pStyle w:val="ListBullet"/>
        <w:numPr>
          <w:ilvl w:val="0"/>
          <w:numId w:val="2"/>
        </w:numPr>
      </w:pPr>
      <w:r>
        <w:t xml:space="preserve">Quiver CRISPR EP phenotyping data (18,000 genes with electrophysiology signatures in human cortical neurons)</w:t>
      </w:r>
    </w:p>
    <w:p>
      <w:pPr>
        <w:pStyle w:val="ListBullet"/>
        <w:numPr>
          <w:ilvl w:val="0"/>
          <w:numId w:val="2"/>
        </w:numPr>
      </w:pPr>
      <w:r>
        <w:t xml:space="preserve">Human cardiomyocyte electrophysiology data (from literature or Quiver if available)</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Quiver CRISPR database query interface (18,000 genes with EP phenotyping in human cortical neurons)</w:t>
      </w:r>
    </w:p>
    <w:p>
      <w:pPr>
        <w:pStyle w:val="ListBullet"/>
        <w:numPr>
          <w:ilvl w:val="0"/>
          <w:numId w:val="2"/>
        </w:numPr>
      </w:pPr>
      <w:r>
        <w:t xml:space="preserve">Kinase selectivity databases: KinaseMap, IDG Kinase Knowledgebase, PKIS tool compounds and selectivity panels</w:t>
      </w:r>
    </w:p>
    <w:p>
      <w:pPr>
        <w:pStyle w:val="ListBullet"/>
        <w:numPr>
          <w:ilvl w:val="0"/>
          <w:numId w:val="2"/>
        </w:numPr>
      </w:pPr>
      <w:r>
        <w:t xml:space="preserve">Off-target prediction tools: SwissTargetPrediction, PharmGKB, STITCH (chemical-protein interactions)</w:t>
      </w:r>
    </w:p>
    <w:p>
      <w:pPr>
        <w:pStyle w:val="ListBullet"/>
        <w:numPr>
          <w:ilvl w:val="0"/>
          <w:numId w:val="2"/>
        </w:numPr>
      </w:pPr>
      <w:r>
        <w:t xml:space="preserve">Ion channel selectivity databases: Channelpedia, IUPHAR Guide to Pharmacology</w:t>
      </w:r>
    </w:p>
    <w:p>
      <w:pPr>
        <w:pStyle w:val="ListBullet"/>
        <w:numPr>
          <w:ilvl w:val="0"/>
          <w:numId w:val="2"/>
        </w:numPr>
      </w:pPr>
      <w:r>
        <w:t xml:space="preserve">Cardiotoxicity prediction tools: hERG liability scoring, CiPA cardiac safety prediction</w:t>
      </w:r>
    </w:p>
    <w:p>
      <w:pPr>
        <w:pStyle w:val="ListBullet"/>
        <w:numPr>
          <w:ilvl w:val="0"/>
          <w:numId w:val="2"/>
        </w:numPr>
      </w:pPr>
      <w:r>
        <w:t xml:space="preserve">Neurotoxicity databases: NeuroToxChip (compiled neurotoxicity signatures), MTT assays, electrophysiology recordings from literature</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"From Quiver CRISPR data, retrieve all genes with EP phenotypes related to [target] function (e.g., if [target] is ion channel, retrieve genes affecting action potential, membrane potential, synaptic transmission)."</w:t>
      </w:r>
    </w:p>
    <w:p>
      <w:pPr>
        <w:pStyle w:val="ListBullet"/>
        <w:numPr>
          <w:ilvl w:val="0"/>
          <w:numId w:val="2"/>
        </w:numPr>
      </w:pPr>
      <w:r>
        <w:t xml:space="preserve">"For a proposed small-molecule inhibitor of [target], predict off-target binding using KinaseMap or SwissTargetPrediction: which off-target kinases or proteins are likely inhibited?"</w:t>
      </w:r>
    </w:p>
    <w:p>
      <w:pPr>
        <w:pStyle w:val="ListBullet"/>
        <w:numPr>
          <w:ilvl w:val="0"/>
          <w:numId w:val="2"/>
        </w:numPr>
      </w:pPr>
      <w:r>
        <w:t xml:space="preserve">"Query Quiver for EP phenotypes of those predicted off-targets: do any off-targets, when knocked out, produce adverse EP signatures (e.g., action potential shortening, arrhythmias, hyperexcitability, loss of function)?"</w:t>
      </w:r>
    </w:p>
    <w:p>
      <w:pPr>
        <w:pStyle w:val="ListBullet"/>
        <w:numPr>
          <w:ilvl w:val="0"/>
          <w:numId w:val="2"/>
        </w:numPr>
      </w:pPr>
      <w:r>
        <w:t xml:space="preserve">"Cross-reference off-target liabilities with cardiotoxicity risk: are predicted off-targets known to cause hERG inhibition, QT prolongation, or arrhythmias?"</w:t>
      </w:r>
    </w:p>
    <w:p>
      <w:pPr>
        <w:pStyle w:val="ListBullet"/>
        <w:numPr>
          <w:ilvl w:val="0"/>
          <w:numId w:val="2"/>
        </w:numPr>
      </w:pPr>
      <w:r>
        <w:t xml:space="preserve">"Compile a list of 'safety-critical' genes: off-targets whose knockout produces strong adverse EP phenotypes and must be avoided for selectivity."</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Off-target binding prediction: for proposed modality (e.g., small molecule), list likely off-target proteins with predicted binding affinities or IC50 values</w:t>
      </w:r>
    </w:p>
    <w:p>
      <w:pPr>
        <w:pStyle w:val="ListBullet"/>
        <w:numPr>
          <w:ilvl w:val="0"/>
          <w:numId w:val="2"/>
        </w:numPr>
      </w:pPr>
      <w:r>
        <w:t xml:space="preserve">Quiver EP safety signal mapping: for each predicted off-target, retrieve EP phenotypes from Quiver CRISPR data; identify phenotypes associated with toxicity risk (e.g., arrhythmogenic, neurotoxic)</w:t>
      </w:r>
    </w:p>
    <w:p>
      <w:pPr>
        <w:pStyle w:val="ListBullet"/>
        <w:numPr>
          <w:ilvl w:val="0"/>
          <w:numId w:val="2"/>
        </w:numPr>
      </w:pPr>
      <w:r>
        <w:t xml:space="preserve">Safety-critical off-target list: off-targets whose inhibition must be avoided due to strong adverse EP signals; ranked by predicted binding affinity and EP phenotype severity</w:t>
      </w:r>
    </w:p>
    <w:p>
      <w:pPr>
        <w:pStyle w:val="ListBullet"/>
        <w:numPr>
          <w:ilvl w:val="0"/>
          <w:numId w:val="2"/>
        </w:numPr>
      </w:pPr>
      <w:r>
        <w:t xml:space="preserve">Selectivity optimization recommendations: suggest structural modifications or dosing strategies to minimize off-target binding to safety-critical genes</w:t>
      </w:r>
    </w:p>
    <w:p>
      <w:pPr>
        <w:pStyle w:val="ListBullet"/>
        <w:numPr>
          <w:ilvl w:val="0"/>
          <w:numId w:val="2"/>
        </w:numPr>
      </w:pPr>
      <w:r>
        <w:t xml:space="preserve">Cardiotoxicity risk assessment: if off-targets include hERG channel or related cardiac ion channels, estimate QT prolongation and arrhythmia risk</w:t>
      </w:r>
    </w:p>
    <w:p>
      <w:pPr>
        <w:pStyle w:val="ListBullet"/>
        <w:numPr>
          <w:ilvl w:val="0"/>
          <w:numId w:val="2"/>
        </w:numPr>
      </w:pPr>
      <w:r>
        <w:t xml:space="preserve">Neurotoxicity risk assessment: if off-targets are neuronal ion channels or synaptic proteins, estimate seizure, cognitive, or behavioral toxicity risk</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Off-target selectivity matrix (target × predicted off-targets, scored by binding affinity); Quiver EP phenotype heatmap (off-target × EP metric, highlighting adverse phenotypes); safety-critical off-target ranking table</w:t>
      </w:r>
    </w:p>
    <w:p>
      <w:pPr>
        <w:pStyle w:val="Heading2"/>
      </w:pPr>
      <w:r>
        <w:rPr>
          <w:rFonts w:ascii="Arial" w:cs="Arial" w:eastAsia="Arial" w:hAnsi="Arial"/>
          <w:b/>
          <w:bCs/>
          <w:sz w:val="28"/>
          <w:szCs w:val="28"/>
        </w:rPr>
        <w:t xml:space="preserve">Stage 4: Pathway-Level Toxicity Risk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target biology, pathway function, and historical toxicology data to evaluate cumulative toxicity risks when the target pathway is modulated.</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Target gene, pathway members, and known functions from previous analyses (Pipelines 070, 071)</w:t>
      </w:r>
    </w:p>
    <w:p>
      <w:pPr>
        <w:pStyle w:val="ListBullet"/>
        <w:numPr>
          <w:ilvl w:val="0"/>
          <w:numId w:val="2"/>
        </w:numPr>
      </w:pPr>
      <w:r>
        <w:t xml:space="preserve">Loss-of-function and toxicology data from Stages 1–2</w:t>
      </w:r>
    </w:p>
    <w:p>
      <w:pPr>
        <w:pStyle w:val="ListBullet"/>
        <w:numPr>
          <w:ilvl w:val="0"/>
          <w:numId w:val="2"/>
        </w:numPr>
      </w:pPr>
      <w:r>
        <w:t xml:space="preserve">Quiver CRISPR off-target and pathway phenotypes from Stage 3</w:t>
      </w:r>
    </w:p>
    <w:p>
      <w:pPr>
        <w:pStyle w:val="ListBullet"/>
        <w:numPr>
          <w:ilvl w:val="0"/>
          <w:numId w:val="2"/>
        </w:numPr>
      </w:pPr>
      <w:r>
        <w:t xml:space="preserve">Tissue/organ expression profiles (to predict which tissues are vulnerable)</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Pathway toxicology annotation: curated databases linking pathway genes to toxicity phenotypes (CTD, ToxCast)</w:t>
      </w:r>
    </w:p>
    <w:p>
      <w:pPr>
        <w:pStyle w:val="ListBullet"/>
        <w:numPr>
          <w:ilvl w:val="0"/>
          <w:numId w:val="2"/>
        </w:numPr>
      </w:pPr>
      <w:r>
        <w:t xml:space="preserve">Expression profiling: GTEx, HPA (tissue-specific expression in off-target tissues)</w:t>
      </w:r>
    </w:p>
    <w:p>
      <w:pPr>
        <w:pStyle w:val="ListBullet"/>
        <w:numPr>
          <w:ilvl w:val="0"/>
          <w:numId w:val="2"/>
        </w:numPr>
      </w:pPr>
      <w:r>
        <w:t xml:space="preserve">Functional pathway analysis: systems-level evaluation of pathway redundancy and feedback loops that could amplify toxicity</w:t>
      </w:r>
    </w:p>
    <w:p>
      <w:pPr>
        <w:pStyle w:val="ListBullet"/>
        <w:numPr>
          <w:ilvl w:val="0"/>
          <w:numId w:val="2"/>
        </w:numPr>
      </w:pPr>
      <w:r>
        <w:t xml:space="preserve">Literature synthesis: recent reviews on pathway biology and known adverse events in humans</w:t>
      </w:r>
    </w:p>
    <w:p>
      <w:pPr>
        <w:pStyle w:val="ListBullet"/>
        <w:numPr>
          <w:ilvl w:val="0"/>
          <w:numId w:val="2"/>
        </w:numPr>
      </w:pPr>
      <w:r>
        <w:t xml:space="preserve">Mechanistic toxicology: proposed mechanisms by which pathway inhibition could cause organ-specific toxicity</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"For [target] pathway, map all pathway members and their off-target risk profiles: which pathway members are 'pharmacologically unavoidable' (required for efficacy) vs. 'unavoidable off-targets' (predicted binding)?"</w:t>
      </w:r>
    </w:p>
    <w:p>
      <w:pPr>
        <w:pStyle w:val="ListBullet"/>
        <w:numPr>
          <w:ilvl w:val="0"/>
          <w:numId w:val="2"/>
        </w:numPr>
      </w:pPr>
      <w:r>
        <w:t xml:space="preserve">"Identify tissues where [target] and off-target pathway members are co-expressed: in these tissues, dual inhibition is likely; estimate toxicity risk."</w:t>
      </w:r>
    </w:p>
    <w:p>
      <w:pPr>
        <w:pStyle w:val="ListBullet"/>
        <w:numPr>
          <w:ilvl w:val="0"/>
          <w:numId w:val="2"/>
        </w:numPr>
      </w:pPr>
      <w:r>
        <w:t xml:space="preserve">"For each off-target pathway member, compile historical toxicity data: animal knockouts, human genetic data, clinical adverse events if targeted by existing drugs."</w:t>
      </w:r>
    </w:p>
    <w:p>
      <w:pPr>
        <w:pStyle w:val="ListBullet"/>
        <w:numPr>
          <w:ilvl w:val="0"/>
          <w:numId w:val="2"/>
        </w:numPr>
      </w:pPr>
      <w:r>
        <w:t xml:space="preserve">"Assess pathway feedback loops: if [target] is inhibited, do compensatory pathways activate that could amplify toxicity (e.g., upregulation of pro-inflammatory pathways)?"</w:t>
      </w:r>
    </w:p>
    <w:p>
      <w:pPr>
        <w:pStyle w:val="ListBullet"/>
        <w:numPr>
          <w:ilvl w:val="0"/>
          <w:numId w:val="2"/>
        </w:numPr>
      </w:pPr>
      <w:r>
        <w:t xml:space="preserve">"Identify tissue-specific vulnerabilities: are there organs (liver, kidney, heart, brain) where pathway inhibition is predicted to be particularly toxic based on expression and function?"</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Pathway toxicity risk map: network diagram showing [target], off-targets, pathway members, and historical toxicity associations for each node</w:t>
      </w:r>
    </w:p>
    <w:p>
      <w:pPr>
        <w:pStyle w:val="ListBullet"/>
        <w:numPr>
          <w:ilvl w:val="0"/>
          <w:numId w:val="2"/>
        </w:numPr>
      </w:pPr>
      <w:r>
        <w:t xml:space="preserve">Tissue vulnerability assessment: for each major organ (brain, heart, kidney, liver, bone marrow), estimate toxicity risk if [target] pathway is inhibited in that tissue</w:t>
      </w:r>
    </w:p>
    <w:p>
      <w:pPr>
        <w:pStyle w:val="ListBullet"/>
        <w:numPr>
          <w:ilvl w:val="0"/>
          <w:numId w:val="2"/>
        </w:numPr>
      </w:pPr>
      <w:r>
        <w:t xml:space="preserve">Co-expression analysis: tissues where [target] and predicted off-targets are both highly expressed (high co-inhibition risk)</w:t>
      </w:r>
    </w:p>
    <w:p>
      <w:pPr>
        <w:pStyle w:val="ListBullet"/>
        <w:numPr>
          <w:ilvl w:val="0"/>
          <w:numId w:val="2"/>
        </w:numPr>
      </w:pPr>
      <w:r>
        <w:t xml:space="preserve">Cumulative toxicity risk score: integrates on-target pharmacology, off-target selectivity, tissue expression, and historical toxicology data to estimate overall safety risk (low/moderate/high)</w:t>
      </w:r>
    </w:p>
    <w:p>
      <w:pPr>
        <w:pStyle w:val="ListBullet"/>
        <w:numPr>
          <w:ilvl w:val="0"/>
          <w:numId w:val="2"/>
        </w:numPr>
      </w:pPr>
      <w:r>
        <w:t xml:space="preserve">Mechanism-of-toxicity hypotheses: proposed mechanisms by which target pathway inhibition could cause each identified tissue-specific toxicity</w:t>
      </w:r>
    </w:p>
    <w:p>
      <w:pPr>
        <w:pStyle w:val="ListBullet"/>
        <w:numPr>
          <w:ilvl w:val="0"/>
          <w:numId w:val="2"/>
        </w:numPr>
      </w:pPr>
      <w:r>
        <w:t xml:space="preserve">Population-specific risk factors: are certain genetic polymorphisms (e.g., CYP450 variants, ion channel polymorphisms) predicted to increase toxicity risk?</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Pathway toxicity map (network diagram with node-level toxicity annotations), tissue vulnerability heatmap (organ × off-target, risk level), cumulative risk score with justification, mechanistic hypotheses narrative</w:t>
      </w:r>
    </w:p>
    <w:p>
      <w:pPr>
        <w:pStyle w:val="Heading2"/>
      </w:pPr>
      <w:r>
        <w:rPr>
          <w:rFonts w:ascii="Arial" w:cs="Arial" w:eastAsia="Arial" w:hAnsi="Arial"/>
          <w:b/>
          <w:bCs/>
          <w:sz w:val="28"/>
          <w:szCs w:val="28"/>
        </w:rPr>
        <w:t xml:space="preserve">Stage 5: Clinical Precedent &amp; Adverse Event Mining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Review clinical data from approved drugs targeting the same pathway or related pathways to identify real-world safety signals and predict clinical adverse event profiles.</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Target pathway and related drug targets with clinical data</w:t>
      </w:r>
    </w:p>
    <w:p>
      <w:pPr>
        <w:pStyle w:val="ListBullet"/>
        <w:numPr>
          <w:ilvl w:val="0"/>
          <w:numId w:val="2"/>
        </w:numPr>
      </w:pPr>
      <w:r>
        <w:t xml:space="preserve">Approved drug labels and clinical trial databases</w:t>
      </w:r>
    </w:p>
    <w:p>
      <w:pPr>
        <w:pStyle w:val="ListBullet"/>
        <w:numPr>
          <w:ilvl w:val="0"/>
          <w:numId w:val="2"/>
        </w:numPr>
      </w:pPr>
      <w:r>
        <w:t xml:space="preserve">Adverse event reporting systems (FDA adverse event reporting system [FAERS], EudraVigilance)</w:t>
      </w:r>
    </w:p>
    <w:p>
      <w:pPr>
        <w:pStyle w:val="ListBullet"/>
        <w:numPr>
          <w:ilvl w:val="0"/>
          <w:numId w:val="2"/>
        </w:numPr>
      </w:pPr>
      <w:r>
        <w:t xml:space="preserve">Clinical literature (case reports, adverse event reviews)</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DrugBank (drug-target associations, known adverse events)</w:t>
      </w:r>
    </w:p>
    <w:p>
      <w:pPr>
        <w:pStyle w:val="ListBullet"/>
        <w:numPr>
          <w:ilvl w:val="0"/>
          <w:numId w:val="2"/>
        </w:numPr>
      </w:pPr>
      <w:r>
        <w:t xml:space="preserve">FDA Orange Book &amp; Approved Drug Database</w:t>
      </w:r>
    </w:p>
    <w:p>
      <w:pPr>
        <w:pStyle w:val="ListBullet"/>
        <w:numPr>
          <w:ilvl w:val="0"/>
          <w:numId w:val="2"/>
        </w:numPr>
      </w:pPr>
      <w:r>
        <w:t xml:space="preserve">FDA MedWatch (adverse event reporting)</w:t>
      </w:r>
    </w:p>
    <w:p>
      <w:pPr>
        <w:pStyle w:val="ListBullet"/>
        <w:numPr>
          <w:ilvl w:val="0"/>
          <w:numId w:val="2"/>
        </w:numPr>
      </w:pPr>
      <w:r>
        <w:t xml:space="preserve">EudraVigilance (EMA adverse event database)</w:t>
      </w:r>
    </w:p>
    <w:p>
      <w:pPr>
        <w:pStyle w:val="ListBullet"/>
        <w:numPr>
          <w:ilvl w:val="0"/>
          <w:numId w:val="2"/>
        </w:numPr>
      </w:pPr>
      <w:r>
        <w:t xml:space="preserve">PubMed (clinical case reports, safety reviews)</w:t>
      </w:r>
    </w:p>
    <w:p>
      <w:pPr>
        <w:pStyle w:val="ListBullet"/>
        <w:numPr>
          <w:ilvl w:val="0"/>
          <w:numId w:val="2"/>
        </w:numPr>
      </w:pPr>
      <w:r>
        <w:t xml:space="preserve">ClinicalTrials.gov (safety data from published trial results)</w:t>
      </w:r>
    </w:p>
    <w:p>
      <w:pPr>
        <w:pStyle w:val="ListBullet"/>
        <w:numPr>
          <w:ilvl w:val="0"/>
          <w:numId w:val="2"/>
        </w:numPr>
      </w:pPr>
      <w:r>
        <w:t xml:space="preserve">WHO Uppsala Monitoring Centre (international adverse event reports)</w:t>
      </w:r>
    </w:p>
    <w:p>
      <w:pPr>
        <w:pStyle w:val="ListBullet"/>
        <w:numPr>
          <w:ilvl w:val="0"/>
          <w:numId w:val="2"/>
        </w:numPr>
      </w:pPr>
      <w:r>
        <w:t xml:space="preserve">Stockman's or other textbooks on drug safety (mechanistic and clinical safety information)</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"Identify all approved drugs targeting [target pathway], especially direct target inhibitors: compile their safety profiles from FDA labels and clinical trial data."</w:t>
      </w:r>
    </w:p>
    <w:p>
      <w:pPr>
        <w:pStyle w:val="ListBullet"/>
        <w:numPr>
          <w:ilvl w:val="0"/>
          <w:numId w:val="2"/>
        </w:numPr>
      </w:pPr>
      <w:r>
        <w:t xml:space="preserve">"From FAERS, analyze adverse event reports for drugs targeting [target] or related pathway members: what are the most common adverse events? Are there any serious/fatal events?"</w:t>
      </w:r>
    </w:p>
    <w:p>
      <w:pPr>
        <w:pStyle w:val="ListBullet"/>
        <w:numPr>
          <w:ilvl w:val="0"/>
          <w:numId w:val="2"/>
        </w:numPr>
      </w:pPr>
      <w:r>
        <w:t xml:space="preserve">"Search PubMed for clinical case reports of patients receiving drugs targeting [target pathway]: highlight unexpected or severe adverse events."</w:t>
      </w:r>
    </w:p>
    <w:p>
      <w:pPr>
        <w:pStyle w:val="ListBullet"/>
        <w:numPr>
          <w:ilvl w:val="0"/>
          <w:numId w:val="2"/>
        </w:numPr>
      </w:pPr>
      <w:r>
        <w:t xml:space="preserve">"For each approved drug, analyze dose-limiting toxicity (DLT): is DLT due to on-target (pathway) pharmacology or predicted off-targets?"</w:t>
      </w:r>
    </w:p>
    <w:p>
      <w:pPr>
        <w:pStyle w:val="ListBullet"/>
        <w:numPr>
          <w:ilvl w:val="0"/>
          <w:numId w:val="2"/>
        </w:numPr>
      </w:pPr>
      <w:r>
        <w:t xml:space="preserve">"Identify 'safety signals' that emerged post-approval: adverse events detected in market surveillance after initial approval, possibly missed in clinical trials."</w:t>
      </w:r>
    </w:p>
    <w:p>
      <w:pPr>
        <w:pStyle w:val="ListBullet"/>
        <w:numPr>
          <w:ilvl w:val="0"/>
          <w:numId w:val="2"/>
        </w:numPr>
      </w:pPr>
      <w:r>
        <w:t xml:space="preserve">"For combinations of drugs targeting [target] pathway members, compile safety data: do dual-target inhibitors show synergistic toxicity vs. single agents?"</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Clinical precedent summary: approved drugs targeting [target] or pathway members, including indications, dosing, clinical efficacy, and common/serious adverse events</w:t>
      </w:r>
    </w:p>
    <w:p>
      <w:pPr>
        <w:pStyle w:val="ListBullet"/>
        <w:numPr>
          <w:ilvl w:val="0"/>
          <w:numId w:val="2"/>
        </w:numPr>
      </w:pPr>
      <w:r>
        <w:t xml:space="preserve">Adverse event profile: frequency and severity of adverse events from clinical trials and post-marketing surveillance, stratified by system organ class (SOC)</w:t>
      </w:r>
    </w:p>
    <w:p>
      <w:pPr>
        <w:pStyle w:val="ListBullet"/>
        <w:numPr>
          <w:ilvl w:val="0"/>
          <w:numId w:val="2"/>
        </w:numPr>
      </w:pPr>
      <w:r>
        <w:t xml:space="preserve">Dose-limiting toxicity (DLT) analysis: mechanism of DLT for each approved drug (on-target pathway-mediated vs. off-target), Maximum Tolerated Dose (MTD), therapeutic window</w:t>
      </w:r>
    </w:p>
    <w:p>
      <w:pPr>
        <w:pStyle w:val="ListBullet"/>
        <w:numPr>
          <w:ilvl w:val="0"/>
          <w:numId w:val="2"/>
        </w:numPr>
      </w:pPr>
      <w:r>
        <w:t xml:space="preserve">Serious/fatal adverse event summaries: cases of severe toxicity or fatality associated with pathway inhibition, including clinical context, dose, risk factors</w:t>
      </w:r>
    </w:p>
    <w:p>
      <w:pPr>
        <w:pStyle w:val="ListBullet"/>
        <w:numPr>
          <w:ilvl w:val="0"/>
          <w:numId w:val="2"/>
        </w:numPr>
      </w:pPr>
      <w:r>
        <w:t xml:space="preserve">Safety signals from FAERS: statistically elevated adverse event signals (using ROR, proportional reporting ratio, or similar metrics) in post-marketing data</w:t>
      </w:r>
    </w:p>
    <w:p>
      <w:pPr>
        <w:pStyle w:val="ListBullet"/>
        <w:numPr>
          <w:ilvl w:val="0"/>
          <w:numId w:val="2"/>
        </w:numPr>
      </w:pPr>
      <w:r>
        <w:t xml:space="preserve">Population-specific safety data: do certain patient populations (elderly, hepatic/renal impairment, drug-drug interactions) show increased toxicity risk?</w:t>
      </w:r>
    </w:p>
    <w:p>
      <w:pPr>
        <w:pStyle w:val="ListBullet"/>
        <w:numPr>
          <w:ilvl w:val="0"/>
          <w:numId w:val="2"/>
        </w:numPr>
      </w:pPr>
      <w:r>
        <w:t xml:space="preserve">Mechanism-based safety alerts: proposed mechanistic explanations for clinical adverse events based on pathway biology and off-target effects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Clinical precedent table (drug × indication × efficacy × adverse events), adverse event frequency plot by SOC, FAERS signal summary with statistical tests, narrative case reports with hyperlinks to PubMed and FDA</w:t>
      </w:r>
    </w:p>
    <w:p>
      <w:pPr>
        <w:pStyle w:val="Heading2"/>
      </w:pPr>
      <w:r>
        <w:rPr>
          <w:rFonts w:ascii="Arial" w:cs="Arial" w:eastAsia="Arial" w:hAnsi="Arial"/>
          <w:b/>
          <w:bCs/>
          <w:sz w:val="28"/>
          <w:szCs w:val="28"/>
        </w:rPr>
        <w:t xml:space="preserve">Stage 6: Integrated Safety Risk Profile &amp; Recommendations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genetic, preclinical, Quiver, pathway, and clinical data to produce a comprehensive safety liability profile for the target, with actionable recommendations for risk mitigation.</w:t>
      </w:r>
    </w:p>
    <w:p>
      <w:pPr>
        <w:spacing w:after="100" w:line="360"/>
      </w:pPr>
      <w:r>
        <w:rPr>
          <w:rFonts w:ascii="Arial" w:cs="Arial" w:eastAsia="Arial" w:hAnsi="Arial"/>
          <w:b/>
          <w:bCs/>
          <w:sz w:val="24"/>
          <w:szCs w:val="24"/>
        </w:rPr>
        <w:t xml:space="preserve">Inputs:</w:t>
      </w:r>
    </w:p>
    <w:p>
      <w:pPr>
        <w:pStyle w:val="ListBullet"/>
        <w:numPr>
          <w:ilvl w:val="0"/>
          <w:numId w:val="2"/>
        </w:numPr>
      </w:pPr>
      <w:r>
        <w:t xml:space="preserve">All outputs from Stages 1–5: genetic risk assessment, preclinical toxicology, Quiver EP safety signals, pathway toxicity analysis, clinical precedent</w:t>
      </w:r>
    </w:p>
    <w:p>
      <w:pPr>
        <w:pStyle w:val="ListBullet"/>
        <w:numPr>
          <w:ilvl w:val="0"/>
          <w:numId w:val="2"/>
        </w:numPr>
      </w:pPr>
      <w:r>
        <w:t xml:space="preserve">Quiver's therapeutic hypothesis and intended indication/population</w:t>
      </w:r>
    </w:p>
    <w:p>
      <w:pPr>
        <w:pStyle w:val="ListBullet"/>
        <w:numPr>
          <w:ilvl w:val="0"/>
          <w:numId w:val="2"/>
        </w:numPr>
      </w:pPr>
      <w:r>
        <w:t xml:space="preserve">Proposed modality and anticipated selectivity/dosing strategy</w:t>
      </w:r>
    </w:p>
    <w:p>
      <w:pPr>
        <w:spacing w:after="100" w:line="360"/>
      </w:pPr>
      <w:r>
        <w:rPr>
          <w:rFonts w:ascii="Arial" w:cs="Arial" w:eastAsia="Arial" w:hAnsi="Arial"/>
          <w:b/>
          <w:bCs/>
          <w:sz w:val="24"/>
          <w:szCs w:val="24"/>
        </w:rPr>
        <w:t xml:space="preserve">Tools &amp; Databases Called:</w:t>
      </w:r>
    </w:p>
    <w:p>
      <w:pPr>
        <w:pStyle w:val="ListBullet"/>
        <w:numPr>
          <w:ilvl w:val="0"/>
          <w:numId w:val="2"/>
        </w:numPr>
      </w:pPr>
      <w:r>
        <w:t xml:space="preserve">Safety risk assessment frameworks: ICH guidelines, FDA guidance on safety pharmacology, mechanistic safety assessment tools</w:t>
      </w:r>
    </w:p>
    <w:p>
      <w:pPr>
        <w:pStyle w:val="ListBullet"/>
        <w:numPr>
          <w:ilvl w:val="0"/>
          <w:numId w:val="2"/>
        </w:numPr>
      </w:pPr>
      <w:r>
        <w:t xml:space="preserve">Integration and synthesis: multi-dimensional risk scoring considering genetic, preclinical, Quiver, pathway, and clinical evidence</w:t>
      </w:r>
    </w:p>
    <w:p>
      <w:pPr>
        <w:pStyle w:val="ListBullet"/>
        <w:numPr>
          <w:ilvl w:val="0"/>
          <w:numId w:val="2"/>
        </w:numPr>
      </w:pPr>
      <w:r>
        <w:t xml:space="preserve">Risk mitigation strategy development: identify specific actions (compound optimization, patient selection, monitoring) to reduce risk</w:t>
      </w:r>
    </w:p>
    <w:p>
      <w:pPr>
        <w:pStyle w:val="ListBullet"/>
        <w:numPr>
          <w:ilvl w:val="0"/>
          <w:numId w:val="2"/>
        </w:numPr>
      </w:pPr>
      <w:r>
        <w:t xml:space="preserve">Translational gap analysis: identify gaps between preclinical data (animal models) and human safety prediction</w:t>
      </w:r>
    </w:p>
    <w:p>
      <w:pPr>
        <w:spacing w:after="100" w:line="360"/>
      </w:pPr>
      <w:r>
        <w:rPr>
          <w:rFonts w:ascii="Arial" w:cs="Arial" w:eastAsia="Arial" w:hAnsi="Arial"/>
          <w:b/>
          <w:bCs/>
          <w:sz w:val="24"/>
          <w:szCs w:val="24"/>
        </w:rPr>
        <w:t xml:space="preserve">Exemplary Sub-Prompts:</w:t>
      </w:r>
    </w:p>
    <w:p>
      <w:pPr>
        <w:pStyle w:val="ListBullet"/>
        <w:numPr>
          <w:ilvl w:val="0"/>
          <w:numId w:val="2"/>
        </w:numPr>
      </w:pPr>
      <w:r>
        <w:t xml:space="preserve">"Integrate all safety evidence (genetic, preclinical, Quiver CRISPR, pathway, clinical) to assign an overall safety risk category: RED (high risk, major mitigations needed), YELLOW (moderate risk, specific mitigations recommended), GREEN (low risk, standard precautions sufficient)."</w:t>
      </w:r>
    </w:p>
    <w:p>
      <w:pPr>
        <w:pStyle w:val="ListBullet"/>
        <w:numPr>
          <w:ilvl w:val="0"/>
          <w:numId w:val="2"/>
        </w:numPr>
      </w:pPr>
      <w:r>
        <w:t xml:space="preserve">"For each identified safety liability, propose a specific mitigation strategy: compound selectivity optimization, biomarker-based patient selection, therapeutic drug monitoring, dose cap, contraindication, or close safety monitoring."</w:t>
      </w:r>
    </w:p>
    <w:p>
      <w:pPr>
        <w:pStyle w:val="ListBullet"/>
        <w:numPr>
          <w:ilvl w:val="0"/>
          <w:numId w:val="2"/>
        </w:numPr>
      </w:pPr>
      <w:r>
        <w:t xml:space="preserve">"Identify the translational gaps: where does animal toxicology diverge from Quiver CRISPR or clinical data? Which gaps are critical for de-risking?"</w:t>
      </w:r>
    </w:p>
    <w:p>
      <w:pPr>
        <w:pStyle w:val="ListBullet"/>
        <w:numPr>
          <w:ilvl w:val="0"/>
          <w:numId w:val="2"/>
        </w:numPr>
      </w:pPr>
      <w:r>
        <w:t xml:space="preserve">"Prioritize safety de-risking studies: what is the highest-impact study (e.g., CRISPR validation in cardiomyocytes, hERG liability study, patient population-specific genetics) that would reduce safety risk?"</w:t>
      </w:r>
    </w:p>
    <w:p>
      <w:pPr>
        <w:pStyle w:val="ListBullet"/>
        <w:numPr>
          <w:ilvl w:val="0"/>
          <w:numId w:val="2"/>
        </w:numPr>
      </w:pPr>
      <w:r>
        <w:t xml:space="preserve">"Develop a clinical safety monitoring plan: propose specific biomarkers (ECG, troponin, creatinine, etc.) and monitoring frequency for the anticipated patient population."</w:t>
      </w:r>
    </w:p>
    <w:p>
      <w:pPr>
        <w:spacing w:after="100" w:line="360"/>
      </w:pPr>
      <w:r>
        <w:rPr>
          <w:rFonts w:ascii="Arial" w:cs="Arial" w:eastAsia="Arial" w:hAnsi="Arial"/>
          <w:b/>
          <w:bCs/>
          <w:sz w:val="24"/>
          <w:szCs w:val="24"/>
        </w:rPr>
        <w:t xml:space="preserve">Expected Outputs:</w:t>
      </w:r>
    </w:p>
    <w:p>
      <w:pPr>
        <w:pStyle w:val="ListBullet"/>
        <w:numPr>
          <w:ilvl w:val="0"/>
          <w:numId w:val="2"/>
        </w:numPr>
      </w:pPr>
      <w:r>
        <w:t xml:space="preserve">Integrated safety risk profile: one-page summary scoring target across genetic, preclinical, mechanistic, and clinical evidence; overall RED/YELLOW/GREEN risk classification</w:t>
      </w:r>
    </w:p>
    <w:p>
      <w:pPr>
        <w:pStyle w:val="ListBullet"/>
        <w:numPr>
          <w:ilvl w:val="0"/>
          <w:numId w:val="2"/>
        </w:numPr>
      </w:pPr>
      <w:r>
        <w:t xml:space="preserve">Liability-specific mitigation strategies: for each identified safety liability, list: (1) mechanism/evidence, (2) proposed mitigation, (3) action owner (chemistry, biology, clinical), (4) timeline, (5) success criteria</w:t>
      </w:r>
    </w:p>
    <w:p>
      <w:pPr>
        <w:pStyle w:val="ListBullet"/>
        <w:numPr>
          <w:ilvl w:val="0"/>
          <w:numId w:val="2"/>
        </w:numPr>
      </w:pPr>
      <w:r>
        <w:t xml:space="preserve">Risk hierarchy and prioritization: which safety liabilities are most critical to address? What is the optimal sequence of de-risking studies?</w:t>
      </w:r>
    </w:p>
    <w:p>
      <w:pPr>
        <w:pStyle w:val="ListBullet"/>
        <w:numPr>
          <w:ilvl w:val="0"/>
          <w:numId w:val="2"/>
        </w:numPr>
      </w:pPr>
      <w:r>
        <w:t xml:space="preserve">Translational evidence gap summary: preclinical (animal) data, Quiver CRISPR data, clinical precedent data; areas of alignment and divergence; recommendations for filling gaps</w:t>
      </w:r>
    </w:p>
    <w:p>
      <w:pPr>
        <w:pStyle w:val="ListBullet"/>
        <w:numPr>
          <w:ilvl w:val="0"/>
          <w:numId w:val="2"/>
        </w:numPr>
      </w:pPr>
      <w:r>
        <w:t xml:space="preserve">Clinical safety monitoring blueprint: proposed biomarkers, monitoring frequency, study population risk stratification, dose escalation rules, stopping rules for safety</w:t>
      </w:r>
    </w:p>
    <w:p>
      <w:pPr>
        <w:pStyle w:val="ListBullet"/>
        <w:numPr>
          <w:ilvl w:val="0"/>
          <w:numId w:val="2"/>
        </w:numPr>
      </w:pPr>
      <w:r>
        <w:t xml:space="preserve">Go/no-go recommendation: is [target] safe enough to advance to clinical development (with specific conditions/mitigations), or should development be paused/stopped pending de-risking studies?</w:t>
      </w:r>
    </w:p>
    <w:p>
      <w:pPr>
        <w:pStyle w:val="ListBullet"/>
        <w:numPr>
          <w:ilvl w:val="0"/>
          <w:numId w:val="2"/>
        </w:numPr>
      </w:pPr>
      <w:r>
        <w:t xml:space="preserve">Contingency plan: if [target] is advanced but safety signals emerge during development, what is the stopping/pause criterion and escalation plan?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(1–2 pages) with risk classification and top 3 mitigations, detailed liability profiles with supporting evidence (genetic, preclinical, Quiver, clinical), mitigation roadmap with timelines, clinical safety monitoring blueprint, and go/no-go decision framework</w:t>
      </w:r>
    </w:p>
    <w:p>
      <w:pPr>
        <w:pStyle w:val="Heading2"/>
      </w:pPr>
      <w:r>
        <w:rPr>
          <w:rFonts w:ascii="Arial" w:cs="Arial" w:eastAsia="Arial" w:hAnsi="Arial"/>
          <w:b/>
          <w:bCs/>
          <w:sz w:val="28"/>
          <w:szCs w:val="28"/>
        </w:rPr>
        <w:t xml:space="preserve">Tools &amp; Databases Summary</w:t>
      </w:r>
    </w:p>
    <w:p>
      <w:pPr>
        <w:pStyle w:val="ListBullet"/>
        <w:numPr>
          <w:ilvl w:val="0"/>
          <w:numId w:val="2"/>
        </w:numPr>
      </w:pPr>
      <w:r>
        <w:t xml:space="preserve">Patent databases (USPTO, EPO, WIPO)</w:t>
      </w:r>
    </w:p>
    <w:p>
      <w:pPr>
        <w:pStyle w:val="ListBullet"/>
        <w:numPr>
          <w:ilvl w:val="0"/>
          <w:numId w:val="2"/>
        </w:numPr>
      </w:pPr>
      <w:r>
        <w:t xml:space="preserve">Clinical trial registries (ClinicalTrials.gov)</w:t>
      </w:r>
    </w:p>
    <w:p>
      <w:pPr>
        <w:pStyle w:val="ListBullet"/>
        <w:numPr>
          <w:ilvl w:val="0"/>
          <w:numId w:val="2"/>
        </w:numPr>
      </w:pPr>
      <w:r>
        <w:t xml:space="preserve">FDA and regulatory databases</w:t>
      </w:r>
    </w:p>
    <w:p>
      <w:pPr>
        <w:pStyle w:val="ListBullet"/>
        <w:numPr>
          <w:ilvl w:val="0"/>
          <w:numId w:val="2"/>
        </w:numPr>
      </w:pPr>
      <w:r>
        <w:t xml:space="preserve">SEC EDGAR filing database</w:t>
      </w:r>
    </w:p>
    <w:p>
      <w:pPr>
        <w:pStyle w:val="ListBullet"/>
        <w:numPr>
          <w:ilvl w:val="0"/>
          <w:numId w:val="2"/>
        </w:numPr>
      </w:pPr>
      <w:r>
        <w:t xml:space="preserve">PubMed and scientific literature</w:t>
      </w:r>
    </w:p>
    <w:p>
      <w:pPr>
        <w:pStyle w:val="ListBullet"/>
        <w:numPr>
          <w:ilvl w:val="0"/>
          <w:numId w:val="2"/>
        </w:numPr>
      </w:pPr>
      <w:r>
        <w:t xml:space="preserve">Protein structure databases (PDB, AlphaFold)</w:t>
      </w:r>
    </w:p>
    <w:p>
      <w:pPr>
        <w:pStyle w:val="ListBullet"/>
        <w:numPr>
          <w:ilvl w:val="0"/>
          <w:numId w:val="2"/>
        </w:numPr>
      </w:pPr>
      <w:r>
        <w:t xml:space="preserve">Gene expression databases (GTEx, HPA)</w:t>
      </w:r>
    </w:p>
    <w:p>
      <w:pPr>
        <w:pStyle w:val="ListBullet"/>
        <w:numPr>
          <w:ilvl w:val="0"/>
          <w:numId w:val="2"/>
        </w:numPr>
      </w:pPr>
      <w:r>
        <w:t xml:space="preserve">Genetic variant databases (ClinVar, gnomAD)</w:t>
      </w:r>
    </w:p>
    <w:p>
      <w:pPr>
        <w:pStyle w:val="ListBullet"/>
        <w:numPr>
          <w:ilvl w:val="0"/>
          <w:numId w:val="2"/>
        </w:numPr>
      </w:pPr>
      <w:r>
        <w:t xml:space="preserve">GWAS Catalog</w:t>
      </w:r>
    </w:p>
    <w:p>
      <w:pPr>
        <w:pStyle w:val="ListBullet"/>
        <w:numPr>
          <w:ilvl w:val="0"/>
          <w:numId w:val="2"/>
        </w:numPr>
      </w:pPr>
      <w:r>
        <w:t xml:space="preserve">Pathway databases (KEGG, Reactome, WikiPathways)</w:t>
      </w:r>
    </w:p>
    <w:p>
      <w:pPr>
        <w:pStyle w:val="ListBullet"/>
        <w:numPr>
          <w:ilvl w:val="0"/>
          <w:numId w:val="2"/>
        </w:numPr>
      </w:pPr>
      <w:r>
        <w:t xml:space="preserve">Protein-protein interaction networks (STRING, BioGRID)</w:t>
      </w:r>
    </w:p>
    <w:p>
      <w:pPr>
        <w:pStyle w:val="ListBullet"/>
        <w:numPr>
          <w:ilvl w:val="0"/>
          <w:numId w:val="2"/>
        </w:numPr>
      </w:pPr>
      <w:r>
        <w:t xml:space="preserve">Quiver Bioscience CRISPR perturbation data (~18,000 genes with EP phenotyping in human cortical neurons)</w:t>
      </w:r>
    </w:p>
    <w:p>
      <w:pPr>
        <w:pStyle w:val="ListBullet"/>
        <w:numPr>
          <w:ilvl w:val="0"/>
          <w:numId w:val="2"/>
        </w:numPr>
      </w:pPr>
      <w:r>
        <w:t xml:space="preserve">Chemical compound databases (ChEMBL, PubChem)</w:t>
      </w:r>
    </w:p>
    <w:p>
      <w:pPr>
        <w:pStyle w:val="ListBullet"/>
        <w:numPr>
          <w:ilvl w:val="0"/>
          <w:numId w:val="2"/>
        </w:numPr>
      </w:pPr>
      <w:r>
        <w:t xml:space="preserve">Drug target databases (DrugBank)</w:t>
      </w:r>
    </w:p>
    <w:p>
      <w:pPr>
        <w:pStyle w:val="ListBullet"/>
        <w:numPr>
          <w:ilvl w:val="0"/>
          <w:numId w:val="2"/>
        </w:numPr>
      </w:pPr>
      <w:r>
        <w:t xml:space="preserve">Adverse event reporting systems (FDA FAERS, EudraVigilance)</w:t>
      </w:r>
    </w:p>
    <w:p>
      <w:pPr>
        <w:pStyle w:val="ListBullet"/>
        <w:numPr>
          <w:ilvl w:val="0"/>
          <w:numId w:val="2"/>
        </w:numPr>
      </w:pPr>
      <w:r>
        <w:t xml:space="preserve">Mouse/rat knockout databases (MGI, IMPC, RGD)</w:t>
      </w:r>
    </w:p>
    <w:p>
      <w:pPr>
        <w:pStyle w:val="ListBullet"/>
        <w:numPr>
          <w:ilvl w:val="0"/>
          <w:numId w:val="2"/>
        </w:numPr>
      </w:pPr>
      <w:r>
        <w:t xml:space="preserve">Crunchbase and company intelligence platforms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2026-02-27T18:27:51.155Z</dcterms:created>
  <dcterms:modified xsi:type="dcterms:W3CDTF">2026-02-27T18:27:51.155Z</dcterms:modified>
</cp:coreProperties>
</file>

<file path=docProps/custom.xml><?xml version="1.0" encoding="utf-8"?>
<Properties xmlns="http://schemas.openxmlformats.org/officeDocument/2006/custom-properties" xmlns:vt="http://schemas.openxmlformats.org/officeDocument/2006/docPropsVTypes"/>
</file>