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200" w:line="360"/>
      </w:pPr>
      <w:r>
        <w:t xml:space="preserve">Sapphire Pipeline Workflow</w:t>
      </w:r>
    </w:p>
    <w:p>
      <w:pPr>
        <w:pStyle w:val="Heading2"/>
        <w:pStyle w:val="Heading2"/>
        <w:spacing w:after="200" w:line="360"/>
      </w:pPr>
      <w:r>
        <w:t xml:space="preserve">Pipeline 073: ASO vs Small Molecule Regulatory &amp; Commercial Strategy</w:t>
      </w:r>
    </w:p>
    <w:p>
      <w:pPr>
        <w:spacing w:after="200" w:line="360"/>
      </w:pPr>
      <w:r>
        <w:rPr>
          <w:rFonts w:ascii="Arial" w:cs="Arial" w:eastAsia="Arial" w:hAnsi="Arial"/>
          <w:b w:val="false"/>
          <w:bCs w:val="false"/>
          <w:sz w:val="24"/>
          <w:szCs w:val="24"/>
        </w:rPr>
        <w:t xml:space="preserve">This pipeline evaluates the comparative regulatory, manufacturing, and commercial feasibility of antisense oligonucleotide (ASO) versus small molecule modalities for a given gene target. It synthesizes FDA guidance documents, clinical precedent data, manufacturing complexity metrics, and market landscape intelligence to recommend the optimal modality based on target biology, competitive positioning, and long-term revenue potential.</w:t>
      </w:r>
    </w:p>
    <w:p>
      <w:pPr>
        <w:pStyle w:val="Heading2"/>
        <w:pStyle w:val="Heading2"/>
        <w:spacing w:after="200" w:line="360"/>
      </w:pPr>
      <w:r>
        <w:t xml:space="preserve">Pipeline Overview</w:t>
      </w:r>
    </w:p>
    <w:p>
      <w:pPr>
        <w:spacing w:after="200" w:line="360"/>
      </w:pPr>
      <w:r>
        <w:rPr>
          <w:rFonts w:ascii="Arial" w:cs="Arial" w:eastAsia="Arial" w:hAnsi="Arial"/>
          <w:b w:val="false"/>
          <w:bCs w:val="false"/>
          <w:sz w:val="24"/>
          <w:szCs w:val="24"/>
        </w:rPr>
        <w:t xml:space="preserve">The ASO vs Small Molecule comparison framework is critical for gene target evaluation in drug discovery, as the chosen modality determines regulatory timelines (typically 6-8 years for ASO, 8-12 years for small molecule), manufacturing complexity, cost-of-goods structure, and market exclusivity strategy. Quiver-derived targets may be optimally addressed by either modality depending on target tractability (druggability scoring), tissue accessibility (CNS penetration, organ distribution), and existing competitive landscape.</w:t>
      </w:r>
    </w:p>
    <w:p>
      <w:pPr>
        <w:spacing w:after="200" w:line="360"/>
      </w:pPr>
      <w:r>
        <w:rPr>
          <w:rFonts w:ascii="Arial" w:cs="Arial" w:eastAsia="Arial" w:hAnsi="Arial"/>
          <w:b w:val="false"/>
          <w:bCs w:val="false"/>
          <w:sz w:val="24"/>
          <w:szCs w:val="24"/>
        </w:rPr>
        <w:t xml:space="preserve">This workflow integrates multi-domain analysis spanning regulatory science (FDA Orange Book precedent, breakthrough therapy designation eligibility), clinical pharmacology (PK/PD modeling, safety databases), manufacturing science (CMC requirements, synthesis scalability), intellectual property strategy (patent freedom-to-operate, exclusivity windows), and health economics (pricing benchmarks, reimbursement likelihood).</w:t>
      </w:r>
    </w:p>
    <w:p>
      <w:pPr>
        <w:pStyle w:val="Heading2"/>
        <w:pStyle w:val="Heading2"/>
        <w:spacing w:after="200" w:line="360"/>
      </w:pPr>
      <w:r>
        <w:t xml:space="preserve">Stage 1: Target Biology &amp; Druggability Assessment</w:t>
      </w:r>
    </w:p>
    <w:p>
      <w:pPr>
        <w:spacing w:after="200" w:line="360"/>
      </w:pPr>
      <w:r>
        <w:rPr>
          <w:rFonts w:ascii="Arial" w:cs="Arial" w:eastAsia="Arial" w:hAnsi="Arial"/>
          <w:b w:val="false"/>
          <w:bCs w:val="false"/>
          <w:sz w:val="24"/>
          <w:szCs w:val="24"/>
        </w:rPr>
        <w:t xml:space="preserve">Purpose: Establish baseline druggability metrics for the gene target across both ASO and small molecule modalities, including target essentiality, expression pattern, subcellular localization, and known protein-protein interactions. This foundational analysis informs subsequent modality-specific evaluation by quantifying the biological constraints that favor or disfavor each approach.</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Quiver EP phenotype data for target gene (effect size, pathway enrichment)</w:t>
      </w:r>
    </w:p>
    <w:p>
      <w:pPr>
        <w:pStyle w:val="ListParagraph"/>
        <w:numPr>
          <w:ilvl w:val="0"/>
          <w:numId w:val="1"/>
        </w:numPr>
        <w:spacing w:after="100" w:line="360"/>
      </w:pPr>
      <w:r>
        <w:rPr>
          <w:rFonts w:ascii="Arial" w:cs="Arial" w:eastAsia="Arial" w:hAnsi="Arial"/>
          <w:sz w:val="24"/>
          <w:szCs w:val="24"/>
        </w:rPr>
        <w:t xml:space="preserve">Target protein sequence, structure, and known domains (UniProt, AlphaFold)</w:t>
      </w:r>
    </w:p>
    <w:p>
      <w:pPr>
        <w:pStyle w:val="ListParagraph"/>
        <w:numPr>
          <w:ilvl w:val="0"/>
          <w:numId w:val="1"/>
        </w:numPr>
        <w:spacing w:after="100" w:line="360"/>
      </w:pPr>
      <w:r>
        <w:rPr>
          <w:rFonts w:ascii="Arial" w:cs="Arial" w:eastAsia="Arial" w:hAnsi="Arial"/>
          <w:sz w:val="24"/>
          <w:szCs w:val="24"/>
        </w:rPr>
        <w:t xml:space="preserve">mRNA expression profile across tissues (GTEx, Human Protein Atlas)</w:t>
      </w:r>
    </w:p>
    <w:p>
      <w:pPr>
        <w:pStyle w:val="ListParagraph"/>
        <w:numPr>
          <w:ilvl w:val="0"/>
          <w:numId w:val="1"/>
        </w:numPr>
        <w:spacing w:after="100" w:line="360"/>
      </w:pPr>
      <w:r>
        <w:rPr>
          <w:rFonts w:ascii="Arial" w:cs="Arial" w:eastAsia="Arial" w:hAnsi="Arial"/>
          <w:sz w:val="24"/>
          <w:szCs w:val="24"/>
        </w:rPr>
        <w:t xml:space="preserve">Known protein-protein interactions and regulatory networks (STRING, BioGRID)</w:t>
      </w:r>
    </w:p>
    <w:p>
      <w:pPr>
        <w:pStyle w:val="ListParagraph"/>
        <w:numPr>
          <w:ilvl w:val="0"/>
          <w:numId w:val="1"/>
        </w:numPr>
        <w:spacing w:after="100" w:line="360"/>
      </w:pPr>
      <w:r>
        <w:rPr>
          <w:rFonts w:ascii="Arial" w:cs="Arial" w:eastAsia="Arial" w:hAnsi="Arial"/>
          <w:sz w:val="24"/>
          <w:szCs w:val="24"/>
        </w:rPr>
        <w:t xml:space="preserve">Functional validation data (knockout phenotype, haploinsufficiency prediction)</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**UniProt**: Comprehensive protein sequence, structure, and functional annotation resource</w:t>
      </w:r>
    </w:p>
    <w:p>
      <w:pPr>
        <w:pStyle w:val="ListParagraph"/>
        <w:numPr>
          <w:ilvl w:val="0"/>
          <w:numId w:val="1"/>
        </w:numPr>
        <w:spacing w:after="100" w:line="360"/>
      </w:pPr>
      <w:r>
        <w:rPr>
          <w:rFonts w:ascii="Arial" w:cs="Arial" w:eastAsia="Arial" w:hAnsi="Arial"/>
          <w:sz w:val="24"/>
          <w:szCs w:val="24"/>
        </w:rPr>
        <w:t xml:space="preserve">**AlphaFold**: AI-predicted 3D protein structures enabling small molecule binding pocket identification</w:t>
      </w:r>
    </w:p>
    <w:p>
      <w:pPr>
        <w:pStyle w:val="ListParagraph"/>
        <w:numPr>
          <w:ilvl w:val="0"/>
          <w:numId w:val="1"/>
        </w:numPr>
        <w:spacing w:after="100" w:line="360"/>
      </w:pPr>
      <w:r>
        <w:rPr>
          <w:rFonts w:ascii="Arial" w:cs="Arial" w:eastAsia="Arial" w:hAnsi="Arial"/>
          <w:sz w:val="24"/>
          <w:szCs w:val="24"/>
        </w:rPr>
        <w:t xml:space="preserve">**GTEx Portal**: Tissue-specific gene expression atlas informing target accessibility</w:t>
      </w:r>
    </w:p>
    <w:p>
      <w:pPr>
        <w:pStyle w:val="ListParagraph"/>
        <w:numPr>
          <w:ilvl w:val="0"/>
          <w:numId w:val="1"/>
        </w:numPr>
        <w:spacing w:after="100" w:line="360"/>
      </w:pPr>
      <w:r>
        <w:rPr>
          <w:rFonts w:ascii="Arial" w:cs="Arial" w:eastAsia="Arial" w:hAnsi="Arial"/>
          <w:sz w:val="24"/>
          <w:szCs w:val="24"/>
        </w:rPr>
        <w:t xml:space="preserve">**Human Protein Atlas**: Immunohistochemistry and transcript-level expression across cell types</w:t>
      </w:r>
    </w:p>
    <w:p>
      <w:pPr>
        <w:pStyle w:val="ListParagraph"/>
        <w:numPr>
          <w:ilvl w:val="0"/>
          <w:numId w:val="1"/>
        </w:numPr>
        <w:spacing w:after="100" w:line="360"/>
      </w:pPr>
      <w:r>
        <w:rPr>
          <w:rFonts w:ascii="Arial" w:cs="Arial" w:eastAsia="Arial" w:hAnsi="Arial"/>
          <w:sz w:val="24"/>
          <w:szCs w:val="24"/>
        </w:rPr>
        <w:t xml:space="preserve">**STRING Database**: Protein-protein interaction network mapping for target hub analysis</w:t>
      </w:r>
    </w:p>
    <w:p>
      <w:pPr>
        <w:pStyle w:val="ListParagraph"/>
        <w:numPr>
          <w:ilvl w:val="0"/>
          <w:numId w:val="1"/>
        </w:numPr>
        <w:spacing w:after="100" w:line="360"/>
      </w:pPr>
      <w:r>
        <w:rPr>
          <w:rFonts w:ascii="Arial" w:cs="Arial" w:eastAsia="Arial" w:hAnsi="Arial"/>
          <w:sz w:val="24"/>
          <w:szCs w:val="24"/>
        </w:rPr>
        <w:t xml:space="preserve">**DeepDive Druggability Scoring**: Machine learning predictions of small molecule druggability</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What is the predicted 3D structure of the target protein, and are there druggable pockets?</w:t>
      </w:r>
    </w:p>
    <w:p>
      <w:pPr>
        <w:pStyle w:val="ListParagraph"/>
        <w:numPr>
          <w:ilvl w:val="0"/>
          <w:numId w:val="1"/>
        </w:numPr>
        <w:spacing w:after="100" w:line="360"/>
      </w:pPr>
      <w:r>
        <w:rPr>
          <w:rFonts w:ascii="Arial" w:cs="Arial" w:eastAsia="Arial" w:hAnsi="Arial"/>
          <w:sz w:val="24"/>
          <w:szCs w:val="24"/>
        </w:rPr>
        <w:t xml:space="preserve">What tissue-specific expression patterns would favor ASO vs small molecule administration?</w:t>
      </w:r>
    </w:p>
    <w:p>
      <w:pPr>
        <w:pStyle w:val="ListParagraph"/>
        <w:numPr>
          <w:ilvl w:val="0"/>
          <w:numId w:val="1"/>
        </w:numPr>
        <w:spacing w:after="100" w:line="360"/>
      </w:pPr>
      <w:r>
        <w:rPr>
          <w:rFonts w:ascii="Arial" w:cs="Arial" w:eastAsia="Arial" w:hAnsi="Arial"/>
          <w:sz w:val="24"/>
          <w:szCs w:val="24"/>
        </w:rPr>
        <w:t xml:space="preserve">Is the target involved in protein-protein interactions that small molecules could disrupt?</w:t>
      </w:r>
    </w:p>
    <w:p>
      <w:pPr>
        <w:pStyle w:val="ListParagraph"/>
        <w:numPr>
          <w:ilvl w:val="0"/>
          <w:numId w:val="1"/>
        </w:numPr>
        <w:spacing w:after="100" w:line="360"/>
      </w:pPr>
      <w:r>
        <w:rPr>
          <w:rFonts w:ascii="Arial" w:cs="Arial" w:eastAsia="Arial" w:hAnsi="Arial"/>
          <w:sz w:val="24"/>
          <w:szCs w:val="24"/>
        </w:rPr>
        <w:t xml:space="preserve">What is the predicted haploinsufficiency tolerance and optimal knockdown depth?</w:t>
      </w:r>
    </w:p>
    <w:p>
      <w:pPr>
        <w:pStyle w:val="ListParagraph"/>
        <w:numPr>
          <w:ilvl w:val="0"/>
          <w:numId w:val="1"/>
        </w:numPr>
        <w:spacing w:after="100" w:line="360"/>
      </w:pPr>
      <w:r>
        <w:rPr>
          <w:rFonts w:ascii="Arial" w:cs="Arial" w:eastAsia="Arial" w:hAnsi="Arial"/>
          <w:sz w:val="24"/>
          <w:szCs w:val="24"/>
        </w:rPr>
        <w:t xml:space="preserve">Are there structural variants affecting small molecule selectivity or ASO targeting?</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Druggability score (0-100) for small molecule tractability with confidence intervals</w:t>
      </w:r>
    </w:p>
    <w:p>
      <w:pPr>
        <w:pStyle w:val="ListParagraph"/>
        <w:numPr>
          <w:ilvl w:val="0"/>
          <w:numId w:val="1"/>
        </w:numPr>
        <w:spacing w:after="100" w:line="360"/>
      </w:pPr>
      <w:r>
        <w:rPr>
          <w:rFonts w:ascii="Arial" w:cs="Arial" w:eastAsia="Arial" w:hAnsi="Arial"/>
          <w:sz w:val="24"/>
          <w:szCs w:val="24"/>
        </w:rPr>
        <w:t xml:space="preserve">ASO knockdown feasibility assessment including optimal targeting regions</w:t>
      </w:r>
    </w:p>
    <w:p>
      <w:pPr>
        <w:pStyle w:val="ListParagraph"/>
        <w:numPr>
          <w:ilvl w:val="0"/>
          <w:numId w:val="1"/>
        </w:numPr>
        <w:spacing w:after="100" w:line="360"/>
      </w:pPr>
      <w:r>
        <w:rPr>
          <w:rFonts w:ascii="Arial" w:cs="Arial" w:eastAsia="Arial" w:hAnsi="Arial"/>
          <w:sz w:val="24"/>
          <w:szCs w:val="24"/>
        </w:rPr>
        <w:t xml:space="preserve">Tissue expression heatmap and subcellular localization predictions</w:t>
      </w:r>
    </w:p>
    <w:p>
      <w:pPr>
        <w:pStyle w:val="ListParagraph"/>
        <w:numPr>
          <w:ilvl w:val="0"/>
          <w:numId w:val="1"/>
        </w:numPr>
        <w:spacing w:after="100" w:line="360"/>
      </w:pPr>
      <w:r>
        <w:rPr>
          <w:rFonts w:ascii="Arial" w:cs="Arial" w:eastAsia="Arial" w:hAnsi="Arial"/>
          <w:sz w:val="24"/>
          <w:szCs w:val="24"/>
        </w:rPr>
        <w:t xml:space="preserve">Protein interaction network diagram with hub identification</w:t>
      </w:r>
    </w:p>
    <w:p>
      <w:pPr>
        <w:pStyle w:val="ListParagraph"/>
        <w:numPr>
          <w:ilvl w:val="0"/>
          <w:numId w:val="1"/>
        </w:numPr>
        <w:spacing w:after="100" w:line="360"/>
      </w:pPr>
      <w:r>
        <w:rPr>
          <w:rFonts w:ascii="Arial" w:cs="Arial" w:eastAsia="Arial" w:hAnsi="Arial"/>
          <w:sz w:val="24"/>
          <w:szCs w:val="24"/>
        </w:rPr>
        <w:t xml:space="preserve">Functional constraint metrics (pLI, loss-of-function intolerance)</w:t>
      </w:r>
    </w:p>
    <w:p>
      <w:pPr>
        <w:pStyle w:val="ListParagraph"/>
        <w:numPr>
          <w:ilvl w:val="0"/>
          <w:numId w:val="1"/>
        </w:numPr>
        <w:spacing w:after="100" w:line="360"/>
      </w:pPr>
      <w:r>
        <w:rPr>
          <w:rFonts w:ascii="Arial" w:cs="Arial" w:eastAsia="Arial" w:hAnsi="Arial"/>
          <w:sz w:val="24"/>
          <w:szCs w:val="24"/>
        </w:rPr>
        <w:t xml:space="preserve">Preliminary modality preference ranking with justification</w:t>
      </w:r>
    </w:p>
    <w:p>
      <w:pPr>
        <w:spacing w:after="200" w:line="360"/>
      </w:pPr>
      <w:r>
        <w:rPr>
          <w:rFonts w:ascii="Arial" w:cs="Arial" w:eastAsia="Arial" w:hAnsi="Arial"/>
          <w:b w:val="false"/>
          <w:bCs w:val="false"/>
          <w:sz w:val="24"/>
          <w:szCs w:val="24"/>
        </w:rPr>
        <w:t xml:space="preserve">Format: Comparative table (small molecule vs ASO columns) with numeric scores, interaction network visualization, and tissue expression heatmap; summary paragraph recommending which modality merits deeper exploration.</w:t>
      </w:r>
    </w:p>
    <w:p>
      <w:pPr>
        <w:pStyle w:val="Heading2"/>
        <w:pStyle w:val="Heading2"/>
        <w:spacing w:after="200" w:line="360"/>
      </w:pPr>
      <w:r>
        <w:t xml:space="preserve">Stage 2: Regulatory Pathway &amp; Precedent Analysis</w:t>
      </w:r>
    </w:p>
    <w:p>
      <w:pPr>
        <w:spacing w:after="200" w:line="360"/>
      </w:pPr>
      <w:r>
        <w:rPr>
          <w:rFonts w:ascii="Arial" w:cs="Arial" w:eastAsia="Arial" w:hAnsi="Arial"/>
          <w:b w:val="false"/>
          <w:bCs w:val="false"/>
          <w:sz w:val="24"/>
          <w:szCs w:val="24"/>
        </w:rPr>
        <w:t xml:space="preserve">Purpose: Map the regulatory approval pathway for each modality by synthesizing FDA guidance documents, clinical trial precedent, and approval timelines from analogous programs. This stage quantifies the time-to-IND, Phase I-III duration, and post-marketing requirements, directly impacting go/no-go decision-making and commercial launch timelines.</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Target indication and therapeutic area (CNS, oncology, rare genetic disease)</w:t>
      </w:r>
    </w:p>
    <w:p>
      <w:pPr>
        <w:pStyle w:val="ListParagraph"/>
        <w:numPr>
          <w:ilvl w:val="0"/>
          <w:numId w:val="1"/>
        </w:numPr>
        <w:spacing w:after="100" w:line="360"/>
      </w:pPr>
      <w:r>
        <w:rPr>
          <w:rFonts w:ascii="Arial" w:cs="Arial" w:eastAsia="Arial" w:hAnsi="Arial"/>
          <w:sz w:val="24"/>
          <w:szCs w:val="24"/>
        </w:rPr>
        <w:t xml:space="preserve">Competitive clinical trial data for related targets (ClinicalTrials.gov, press releases)</w:t>
      </w:r>
    </w:p>
    <w:p>
      <w:pPr>
        <w:pStyle w:val="ListParagraph"/>
        <w:numPr>
          <w:ilvl w:val="0"/>
          <w:numId w:val="1"/>
        </w:numPr>
        <w:spacing w:after="100" w:line="360"/>
      </w:pPr>
      <w:r>
        <w:rPr>
          <w:rFonts w:ascii="Arial" w:cs="Arial" w:eastAsia="Arial" w:hAnsi="Arial"/>
          <w:sz w:val="24"/>
          <w:szCs w:val="24"/>
        </w:rPr>
        <w:t xml:space="preserve">FDA guidance documents (ASO guidance, small molecule guidance, rare disease pathways)</w:t>
      </w:r>
    </w:p>
    <w:p>
      <w:pPr>
        <w:pStyle w:val="ListParagraph"/>
        <w:numPr>
          <w:ilvl w:val="0"/>
          <w:numId w:val="1"/>
        </w:numPr>
        <w:spacing w:after="100" w:line="360"/>
      </w:pPr>
      <w:r>
        <w:rPr>
          <w:rFonts w:ascii="Arial" w:cs="Arial" w:eastAsia="Arial" w:hAnsi="Arial"/>
          <w:sz w:val="24"/>
          <w:szCs w:val="24"/>
        </w:rPr>
        <w:t xml:space="preserve">Recent ASO and small molecule NDA/BLA approvals with indication, sponsor, timeline</w:t>
      </w:r>
    </w:p>
    <w:p>
      <w:pPr>
        <w:pStyle w:val="ListParagraph"/>
        <w:numPr>
          <w:ilvl w:val="0"/>
          <w:numId w:val="1"/>
        </w:numPr>
        <w:spacing w:after="100" w:line="360"/>
      </w:pPr>
      <w:r>
        <w:rPr>
          <w:rFonts w:ascii="Arial" w:cs="Arial" w:eastAsia="Arial" w:hAnsi="Arial"/>
          <w:sz w:val="24"/>
          <w:szCs w:val="24"/>
        </w:rPr>
        <w:t xml:space="preserve">Patient population size, diagnostic criteria, and natural history data</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**ClinicalTrials.gov**: Official NIH registry with trial data, phases, enrollment, outcomes</w:t>
      </w:r>
    </w:p>
    <w:p>
      <w:pPr>
        <w:pStyle w:val="ListParagraph"/>
        <w:numPr>
          <w:ilvl w:val="0"/>
          <w:numId w:val="1"/>
        </w:numPr>
        <w:spacing w:after="100" w:line="360"/>
      </w:pPr>
      <w:r>
        <w:rPr>
          <w:rFonts w:ascii="Arial" w:cs="Arial" w:eastAsia="Arial" w:hAnsi="Arial"/>
          <w:sz w:val="24"/>
          <w:szCs w:val="24"/>
        </w:rPr>
        <w:t xml:space="preserve">**FDA Orange Book**: Approved drugs with patent/exclusivity data and exclusivity windows</w:t>
      </w:r>
    </w:p>
    <w:p>
      <w:pPr>
        <w:pStyle w:val="ListParagraph"/>
        <w:numPr>
          <w:ilvl w:val="0"/>
          <w:numId w:val="1"/>
        </w:numPr>
        <w:spacing w:after="100" w:line="360"/>
      </w:pPr>
      <w:r>
        <w:rPr>
          <w:rFonts w:ascii="Arial" w:cs="Arial" w:eastAsia="Arial" w:hAnsi="Arial"/>
          <w:sz w:val="24"/>
          <w:szCs w:val="24"/>
        </w:rPr>
        <w:t xml:space="preserve">**FDA Guidance Documents**: Modality-specific guidance on ASO, nonclinical assessment, CMC</w:t>
      </w:r>
    </w:p>
    <w:p>
      <w:pPr>
        <w:pStyle w:val="ListParagraph"/>
        <w:numPr>
          <w:ilvl w:val="0"/>
          <w:numId w:val="1"/>
        </w:numPr>
        <w:spacing w:after="100" w:line="360"/>
      </w:pPr>
      <w:r>
        <w:rPr>
          <w:rFonts w:ascii="Arial" w:cs="Arial" w:eastAsia="Arial" w:hAnsi="Arial"/>
          <w:sz w:val="24"/>
          <w:szCs w:val="24"/>
        </w:rPr>
        <w:t xml:space="preserve">**Cortellis**: Integrated clinical trial and regulatory intelligence platform</w:t>
      </w:r>
    </w:p>
    <w:p>
      <w:pPr>
        <w:pStyle w:val="ListParagraph"/>
        <w:numPr>
          <w:ilvl w:val="0"/>
          <w:numId w:val="1"/>
        </w:numPr>
        <w:spacing w:after="100" w:line="360"/>
      </w:pPr>
      <w:r>
        <w:rPr>
          <w:rFonts w:ascii="Arial" w:cs="Arial" w:eastAsia="Arial" w:hAnsi="Arial"/>
          <w:sz w:val="24"/>
          <w:szCs w:val="24"/>
        </w:rPr>
        <w:t xml:space="preserve">**Orphanet/NORD Databases**: Rare disease epidemiology and natural history</w:t>
      </w:r>
    </w:p>
    <w:p>
      <w:pPr>
        <w:pStyle w:val="ListParagraph"/>
        <w:numPr>
          <w:ilvl w:val="0"/>
          <w:numId w:val="1"/>
        </w:numPr>
        <w:spacing w:after="100" w:line="360"/>
      </w:pPr>
      <w:r>
        <w:rPr>
          <w:rFonts w:ascii="Arial" w:cs="Arial" w:eastAsia="Arial" w:hAnsi="Arial"/>
          <w:sz w:val="24"/>
          <w:szCs w:val="24"/>
        </w:rPr>
        <w:t xml:space="preserve">**Pharmaprojects**: Commercial pipeline tracking with regulatory milestones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What is the typical Phase I-III timeline for ASO vs small molecule programs?</w:t>
      </w:r>
    </w:p>
    <w:p>
      <w:pPr>
        <w:pStyle w:val="ListParagraph"/>
        <w:numPr>
          <w:ilvl w:val="0"/>
          <w:numId w:val="1"/>
        </w:numPr>
        <w:spacing w:after="100" w:line="360"/>
      </w:pPr>
      <w:r>
        <w:rPr>
          <w:rFonts w:ascii="Arial" w:cs="Arial" w:eastAsia="Arial" w:hAnsi="Arial"/>
          <w:sz w:val="24"/>
          <w:szCs w:val="24"/>
        </w:rPr>
        <w:t xml:space="preserve">Has the FDA issued breakthrough therapy designation for similar programs?</w:t>
      </w:r>
    </w:p>
    <w:p>
      <w:pPr>
        <w:pStyle w:val="ListParagraph"/>
        <w:numPr>
          <w:ilvl w:val="0"/>
          <w:numId w:val="1"/>
        </w:numPr>
        <w:spacing w:after="100" w:line="360"/>
      </w:pPr>
      <w:r>
        <w:rPr>
          <w:rFonts w:ascii="Arial" w:cs="Arial" w:eastAsia="Arial" w:hAnsi="Arial"/>
          <w:sz w:val="24"/>
          <w:szCs w:val="24"/>
        </w:rPr>
        <w:t xml:space="preserve">What CMC requirements does the FDA expect for each modality?</w:t>
      </w:r>
    </w:p>
    <w:p>
      <w:pPr>
        <w:pStyle w:val="ListParagraph"/>
        <w:numPr>
          <w:ilvl w:val="0"/>
          <w:numId w:val="1"/>
        </w:numPr>
        <w:spacing w:after="100" w:line="360"/>
      </w:pPr>
      <w:r>
        <w:rPr>
          <w:rFonts w:ascii="Arial" w:cs="Arial" w:eastAsia="Arial" w:hAnsi="Arial"/>
          <w:sz w:val="24"/>
          <w:szCs w:val="24"/>
        </w:rPr>
        <w:t xml:space="preserve">Are there precedent approvals for the target indication, and what safety signals emerged?</w:t>
      </w:r>
    </w:p>
    <w:p>
      <w:pPr>
        <w:pStyle w:val="ListParagraph"/>
        <w:numPr>
          <w:ilvl w:val="0"/>
          <w:numId w:val="1"/>
        </w:numPr>
        <w:spacing w:after="100" w:line="360"/>
      </w:pPr>
      <w:r>
        <w:rPr>
          <w:rFonts w:ascii="Arial" w:cs="Arial" w:eastAsia="Arial" w:hAnsi="Arial"/>
          <w:sz w:val="24"/>
          <w:szCs w:val="24"/>
        </w:rPr>
        <w:t xml:space="preserve">What patient population size qualifies for orphan drug status?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Regulatory timeline projection (IND-to-NDA) for ASO vs small molecule</w:t>
      </w:r>
    </w:p>
    <w:p>
      <w:pPr>
        <w:pStyle w:val="ListParagraph"/>
        <w:numPr>
          <w:ilvl w:val="0"/>
          <w:numId w:val="1"/>
        </w:numPr>
        <w:spacing w:after="100" w:line="360"/>
      </w:pPr>
      <w:r>
        <w:rPr>
          <w:rFonts w:ascii="Arial" w:cs="Arial" w:eastAsia="Arial" w:hAnsi="Arial"/>
          <w:sz w:val="24"/>
          <w:szCs w:val="24"/>
        </w:rPr>
        <w:t xml:space="preserve">FDA guidance requirements comparison table (CMC, nonclinical, clinical endpoints)</w:t>
      </w:r>
    </w:p>
    <w:p>
      <w:pPr>
        <w:pStyle w:val="ListParagraph"/>
        <w:numPr>
          <w:ilvl w:val="0"/>
          <w:numId w:val="1"/>
        </w:numPr>
        <w:spacing w:after="100" w:line="360"/>
      </w:pPr>
      <w:r>
        <w:rPr>
          <w:rFonts w:ascii="Arial" w:cs="Arial" w:eastAsia="Arial" w:hAnsi="Arial"/>
          <w:sz w:val="24"/>
          <w:szCs w:val="24"/>
        </w:rPr>
        <w:t xml:space="preserve">Precedent approval data with timelines, sponsor, indication, exclusivity</w:t>
      </w:r>
    </w:p>
    <w:p>
      <w:pPr>
        <w:pStyle w:val="ListParagraph"/>
        <w:numPr>
          <w:ilvl w:val="0"/>
          <w:numId w:val="1"/>
        </w:numPr>
        <w:spacing w:after="100" w:line="360"/>
      </w:pPr>
      <w:r>
        <w:rPr>
          <w:rFonts w:ascii="Arial" w:cs="Arial" w:eastAsia="Arial" w:hAnsi="Arial"/>
          <w:sz w:val="24"/>
          <w:szCs w:val="24"/>
        </w:rPr>
        <w:t xml:space="preserve">Breakthrough/fast-track/orphan drug eligibility assessment</w:t>
      </w:r>
    </w:p>
    <w:p>
      <w:pPr>
        <w:pStyle w:val="ListParagraph"/>
        <w:numPr>
          <w:ilvl w:val="0"/>
          <w:numId w:val="1"/>
        </w:numPr>
        <w:spacing w:after="100" w:line="360"/>
      </w:pPr>
      <w:r>
        <w:rPr>
          <w:rFonts w:ascii="Arial" w:cs="Arial" w:eastAsia="Arial" w:hAnsi="Arial"/>
          <w:sz w:val="24"/>
          <w:szCs w:val="24"/>
        </w:rPr>
        <w:t xml:space="preserve">Patient population sizing and therapeutic opportunity estimate</w:t>
      </w:r>
    </w:p>
    <w:p>
      <w:pPr>
        <w:pStyle w:val="ListParagraph"/>
        <w:numPr>
          <w:ilvl w:val="0"/>
          <w:numId w:val="1"/>
        </w:numPr>
        <w:spacing w:after="100" w:line="360"/>
      </w:pPr>
      <w:r>
        <w:rPr>
          <w:rFonts w:ascii="Arial" w:cs="Arial" w:eastAsia="Arial" w:hAnsi="Arial"/>
          <w:sz w:val="24"/>
          <w:szCs w:val="24"/>
        </w:rPr>
        <w:t xml:space="preserve">Risk assessment matrix for regulatory pathway challenges</w:t>
      </w:r>
    </w:p>
    <w:p>
      <w:pPr>
        <w:spacing w:after="200" w:line="360"/>
      </w:pPr>
      <w:r>
        <w:rPr>
          <w:rFonts w:ascii="Arial" w:cs="Arial" w:eastAsia="Arial" w:hAnsi="Arial"/>
          <w:b w:val="false"/>
          <w:bCs w:val="false"/>
          <w:sz w:val="24"/>
          <w:szCs w:val="24"/>
        </w:rPr>
        <w:t xml:space="preserve">Format: Regulatory timeline Gantt chart (IND, Phase I-III milestones) comparing modalities; precedent approval table; regulatory risk matrix.</w:t>
      </w:r>
    </w:p>
    <w:p>
      <w:pPr>
        <w:pStyle w:val="Heading2"/>
        <w:pStyle w:val="Heading2"/>
        <w:spacing w:after="200" w:line="360"/>
      </w:pPr>
      <w:r>
        <w:t xml:space="preserve">Stage 3: Manufacturing &amp; CMC Complexity Analysis</w:t>
      </w:r>
    </w:p>
    <w:p>
      <w:pPr>
        <w:spacing w:after="200" w:line="360"/>
      </w:pPr>
      <w:r>
        <w:rPr>
          <w:rFonts w:ascii="Arial" w:cs="Arial" w:eastAsia="Arial" w:hAnsi="Arial"/>
          <w:b w:val="false"/>
          <w:bCs w:val="false"/>
          <w:sz w:val="24"/>
          <w:szCs w:val="24"/>
        </w:rPr>
        <w:t xml:space="preserve">Purpose: Quantify the manufacturing scalability, cost of goods (COGS), regulatory chemistry requirements, and supply chain dependencies for each modality. ASO manufacturing typically requires oligonucleotide synthesis platforms, while small molecules leverage standard organic chemistry; this stage determines feasibility and unit economics at therapeutic scale.</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Target ASO or small molecule chemical structure and synthesis complexity</w:t>
      </w:r>
    </w:p>
    <w:p>
      <w:pPr>
        <w:pStyle w:val="ListParagraph"/>
        <w:numPr>
          <w:ilvl w:val="0"/>
          <w:numId w:val="1"/>
        </w:numPr>
        <w:spacing w:after="100" w:line="360"/>
      </w:pPr>
      <w:r>
        <w:rPr>
          <w:rFonts w:ascii="Arial" w:cs="Arial" w:eastAsia="Arial" w:hAnsi="Arial"/>
          <w:sz w:val="24"/>
          <w:szCs w:val="24"/>
        </w:rPr>
        <w:t xml:space="preserve">Dosing regimen and target patient population size (annual prevalence)</w:t>
      </w:r>
    </w:p>
    <w:p>
      <w:pPr>
        <w:pStyle w:val="ListParagraph"/>
        <w:numPr>
          <w:ilvl w:val="0"/>
          <w:numId w:val="1"/>
        </w:numPr>
        <w:spacing w:after="100" w:line="360"/>
      </w:pPr>
      <w:r>
        <w:rPr>
          <w:rFonts w:ascii="Arial" w:cs="Arial" w:eastAsia="Arial" w:hAnsi="Arial"/>
          <w:sz w:val="24"/>
          <w:szCs w:val="24"/>
        </w:rPr>
        <w:t xml:space="preserve">Manufacturing platform availability (ASO synthesis, small molecule synthesis, formulation)</w:t>
      </w:r>
    </w:p>
    <w:p>
      <w:pPr>
        <w:pStyle w:val="ListParagraph"/>
        <w:numPr>
          <w:ilvl w:val="0"/>
          <w:numId w:val="1"/>
        </w:numPr>
        <w:spacing w:after="100" w:line="360"/>
      </w:pPr>
      <w:r>
        <w:rPr>
          <w:rFonts w:ascii="Arial" w:cs="Arial" w:eastAsia="Arial" w:hAnsi="Arial"/>
          <w:sz w:val="24"/>
          <w:szCs w:val="24"/>
        </w:rPr>
        <w:t xml:space="preserve">Raw material costs and supplier landscape (nucleotide phosphoramidites vs organic reagents)</w:t>
      </w:r>
    </w:p>
    <w:p>
      <w:pPr>
        <w:pStyle w:val="ListParagraph"/>
        <w:numPr>
          <w:ilvl w:val="0"/>
          <w:numId w:val="1"/>
        </w:numPr>
        <w:spacing w:after="100" w:line="360"/>
      </w:pPr>
      <w:r>
        <w:rPr>
          <w:rFonts w:ascii="Arial" w:cs="Arial" w:eastAsia="Arial" w:hAnsi="Arial"/>
          <w:sz w:val="24"/>
          <w:szCs w:val="24"/>
        </w:rPr>
        <w:t xml:space="preserve">Regulatory requirement expectations (analytical methods, stability, impurity profiling)</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**Ionis/Antisense Manufacturing Precedent**: Case studies documenting ASO scale-up, yields, COGS</w:t>
      </w:r>
    </w:p>
    <w:p>
      <w:pPr>
        <w:pStyle w:val="ListParagraph"/>
        <w:numPr>
          <w:ilvl w:val="0"/>
          <w:numId w:val="1"/>
        </w:numPr>
        <w:spacing w:after="100" w:line="360"/>
      </w:pPr>
      <w:r>
        <w:rPr>
          <w:rFonts w:ascii="Arial" w:cs="Arial" w:eastAsia="Arial" w:hAnsi="Arial"/>
          <w:sz w:val="24"/>
          <w:szCs w:val="24"/>
        </w:rPr>
        <w:t xml:space="preserve">**Chemical Suppliers (Chemglass, Sigma)**: Real-time pricing and supply chain data</w:t>
      </w:r>
    </w:p>
    <w:p>
      <w:pPr>
        <w:pStyle w:val="ListParagraph"/>
        <w:numPr>
          <w:ilvl w:val="0"/>
          <w:numId w:val="1"/>
        </w:numPr>
        <w:spacing w:after="100" w:line="360"/>
      </w:pPr>
      <w:r>
        <w:rPr>
          <w:rFonts w:ascii="Arial" w:cs="Arial" w:eastAsia="Arial" w:hAnsi="Arial"/>
          <w:sz w:val="24"/>
          <w:szCs w:val="24"/>
        </w:rPr>
        <w:t xml:space="preserve">**FDA CMC Guidance**: Regulatory requirements for chemistry, manufacturing, controls</w:t>
      </w:r>
    </w:p>
    <w:p>
      <w:pPr>
        <w:pStyle w:val="ListParagraph"/>
        <w:numPr>
          <w:ilvl w:val="0"/>
          <w:numId w:val="1"/>
        </w:numPr>
        <w:spacing w:after="100" w:line="360"/>
      </w:pPr>
      <w:r>
        <w:rPr>
          <w:rFonts w:ascii="Arial" w:cs="Arial" w:eastAsia="Arial" w:hAnsi="Arial"/>
          <w:sz w:val="24"/>
          <w:szCs w:val="24"/>
        </w:rPr>
        <w:t xml:space="preserve">**Contract Manufacturing Organization (CMO) Databases**: Quotations and capability assessments</w:t>
      </w:r>
    </w:p>
    <w:p>
      <w:pPr>
        <w:pStyle w:val="ListParagraph"/>
        <w:numPr>
          <w:ilvl w:val="0"/>
          <w:numId w:val="1"/>
        </w:numPr>
        <w:spacing w:after="100" w:line="360"/>
      </w:pPr>
      <w:r>
        <w:rPr>
          <w:rFonts w:ascii="Arial" w:cs="Arial" w:eastAsia="Arial" w:hAnsi="Arial"/>
          <w:sz w:val="24"/>
          <w:szCs w:val="24"/>
        </w:rPr>
        <w:t xml:space="preserve">**Published Synthesis Literature (SciFinder, PubMed)**: Synthetic routes, yields, manufacturing case studies</w:t>
      </w:r>
    </w:p>
    <w:p>
      <w:pPr>
        <w:pStyle w:val="ListParagraph"/>
        <w:numPr>
          <w:ilvl w:val="0"/>
          <w:numId w:val="1"/>
        </w:numPr>
        <w:spacing w:after="100" w:line="360"/>
      </w:pPr>
      <w:r>
        <w:rPr>
          <w:rFonts w:ascii="Arial" w:cs="Arial" w:eastAsia="Arial" w:hAnsi="Arial"/>
          <w:sz w:val="24"/>
          <w:szCs w:val="24"/>
        </w:rPr>
        <w:t xml:space="preserve">**IQVIA Manufacturing Intelligence**: COGS benchmarking for approved drugs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What is the predicted cost-of-goods-sold (COGS) at commercial scale?</w:t>
      </w:r>
    </w:p>
    <w:p>
      <w:pPr>
        <w:pStyle w:val="ListParagraph"/>
        <w:numPr>
          <w:ilvl w:val="0"/>
          <w:numId w:val="1"/>
        </w:numPr>
        <w:spacing w:after="100" w:line="360"/>
      </w:pPr>
      <w:r>
        <w:rPr>
          <w:rFonts w:ascii="Arial" w:cs="Arial" w:eastAsia="Arial" w:hAnsi="Arial"/>
          <w:sz w:val="24"/>
          <w:szCs w:val="24"/>
        </w:rPr>
        <w:t xml:space="preserve">Which CMOs have demonstrated expertise and capacity for target scale?</w:t>
      </w:r>
    </w:p>
    <w:p>
      <w:pPr>
        <w:pStyle w:val="ListParagraph"/>
        <w:numPr>
          <w:ilvl w:val="0"/>
          <w:numId w:val="1"/>
        </w:numPr>
        <w:spacing w:after="100" w:line="360"/>
      </w:pPr>
      <w:r>
        <w:rPr>
          <w:rFonts w:ascii="Arial" w:cs="Arial" w:eastAsia="Arial" w:hAnsi="Arial"/>
          <w:sz w:val="24"/>
          <w:szCs w:val="24"/>
        </w:rPr>
        <w:t xml:space="preserve">What analytical methods and stability protocols will the FDA require?</w:t>
      </w:r>
    </w:p>
    <w:p>
      <w:pPr>
        <w:pStyle w:val="ListParagraph"/>
        <w:numPr>
          <w:ilvl w:val="0"/>
          <w:numId w:val="1"/>
        </w:numPr>
        <w:spacing w:after="100" w:line="360"/>
      </w:pPr>
      <w:r>
        <w:rPr>
          <w:rFonts w:ascii="Arial" w:cs="Arial" w:eastAsia="Arial" w:hAnsi="Arial"/>
          <w:sz w:val="24"/>
          <w:szCs w:val="24"/>
        </w:rPr>
        <w:t xml:space="preserve">Are there raw material supply constraints or single-supplier risks?</w:t>
      </w:r>
    </w:p>
    <w:p>
      <w:pPr>
        <w:pStyle w:val="ListParagraph"/>
        <w:numPr>
          <w:ilvl w:val="0"/>
          <w:numId w:val="1"/>
        </w:numPr>
        <w:spacing w:after="100" w:line="360"/>
      </w:pPr>
      <w:r>
        <w:rPr>
          <w:rFonts w:ascii="Arial" w:cs="Arial" w:eastAsia="Arial" w:hAnsi="Arial"/>
          <w:sz w:val="24"/>
          <w:szCs w:val="24"/>
        </w:rPr>
        <w:t xml:space="preserve">What formulation challenges require optimization and testing?</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COGS estimate (per patient annually) at 1,000, 10,000, 100,000 patient scale</w:t>
      </w:r>
    </w:p>
    <w:p>
      <w:pPr>
        <w:pStyle w:val="ListParagraph"/>
        <w:numPr>
          <w:ilvl w:val="0"/>
          <w:numId w:val="1"/>
        </w:numPr>
        <w:spacing w:after="100" w:line="360"/>
      </w:pPr>
      <w:r>
        <w:rPr>
          <w:rFonts w:ascii="Arial" w:cs="Arial" w:eastAsia="Arial" w:hAnsi="Arial"/>
          <w:sz w:val="24"/>
          <w:szCs w:val="24"/>
        </w:rPr>
        <w:t xml:space="preserve">Manufacturing process flowchart with bottlenecks and risk areas</w:t>
      </w:r>
    </w:p>
    <w:p>
      <w:pPr>
        <w:pStyle w:val="ListParagraph"/>
        <w:numPr>
          <w:ilvl w:val="0"/>
          <w:numId w:val="1"/>
        </w:numPr>
        <w:spacing w:after="100" w:line="360"/>
      </w:pPr>
      <w:r>
        <w:rPr>
          <w:rFonts w:ascii="Arial" w:cs="Arial" w:eastAsia="Arial" w:hAnsi="Arial"/>
          <w:sz w:val="24"/>
          <w:szCs w:val="24"/>
        </w:rPr>
        <w:t xml:space="preserve">CMO capability assessment with timelines for technology transfer</w:t>
      </w:r>
    </w:p>
    <w:p>
      <w:pPr>
        <w:pStyle w:val="ListParagraph"/>
        <w:numPr>
          <w:ilvl w:val="0"/>
          <w:numId w:val="1"/>
        </w:numPr>
        <w:spacing w:after="100" w:line="360"/>
      </w:pPr>
      <w:r>
        <w:rPr>
          <w:rFonts w:ascii="Arial" w:cs="Arial" w:eastAsia="Arial" w:hAnsi="Arial"/>
          <w:sz w:val="24"/>
          <w:szCs w:val="24"/>
        </w:rPr>
        <w:t xml:space="preserve">Analytical testing requirements matrix (impurities, stability, potency)</w:t>
      </w:r>
    </w:p>
    <w:p>
      <w:pPr>
        <w:pStyle w:val="ListParagraph"/>
        <w:numPr>
          <w:ilvl w:val="0"/>
          <w:numId w:val="1"/>
        </w:numPr>
        <w:spacing w:after="100" w:line="360"/>
      </w:pPr>
      <w:r>
        <w:rPr>
          <w:rFonts w:ascii="Arial" w:cs="Arial" w:eastAsia="Arial" w:hAnsi="Arial"/>
          <w:sz w:val="24"/>
          <w:szCs w:val="24"/>
        </w:rPr>
        <w:t xml:space="preserve">Supply chain risk assessment for critical materials</w:t>
      </w:r>
    </w:p>
    <w:p>
      <w:pPr>
        <w:pStyle w:val="ListParagraph"/>
        <w:numPr>
          <w:ilvl w:val="0"/>
          <w:numId w:val="1"/>
        </w:numPr>
        <w:spacing w:after="100" w:line="360"/>
      </w:pPr>
      <w:r>
        <w:rPr>
          <w:rFonts w:ascii="Arial" w:cs="Arial" w:eastAsia="Arial" w:hAnsi="Arial"/>
          <w:sz w:val="24"/>
          <w:szCs w:val="24"/>
        </w:rPr>
        <w:t xml:space="preserve">Formulation and delivery challenges comparison</w:t>
      </w:r>
    </w:p>
    <w:p>
      <w:pPr>
        <w:spacing w:after="200" w:line="360"/>
      </w:pPr>
      <w:r>
        <w:rPr>
          <w:rFonts w:ascii="Arial" w:cs="Arial" w:eastAsia="Arial" w:hAnsi="Arial"/>
          <w:b w:val="false"/>
          <w:bCs w:val="false"/>
          <w:sz w:val="24"/>
          <w:szCs w:val="24"/>
        </w:rPr>
        <w:t xml:space="preserve">Format: COGS comparison chart (multiple scales), process flowchart with risk annotations, CMO assessment table, analytical requirements matrix.</w:t>
      </w:r>
    </w:p>
    <w:p>
      <w:pPr>
        <w:pStyle w:val="Heading2"/>
        <w:pStyle w:val="Heading2"/>
        <w:spacing w:after="200" w:line="360"/>
      </w:pPr>
      <w:r>
        <w:t xml:space="preserve">Stage 4: Intellectual Property &amp; Patent Strategy</w:t>
      </w:r>
    </w:p>
    <w:p>
      <w:pPr>
        <w:spacing w:after="200" w:line="360"/>
      </w:pPr>
      <w:r>
        <w:rPr>
          <w:rFonts w:ascii="Arial" w:cs="Arial" w:eastAsia="Arial" w:hAnsi="Arial"/>
          <w:b w:val="false"/>
          <w:bCs w:val="false"/>
          <w:sz w:val="24"/>
          <w:szCs w:val="24"/>
        </w:rPr>
        <w:t xml:space="preserve">Purpose: Assess freedom-to-operate, patent landscape, and exclusivity opportunities for each modality, including target composition-of-matter patents, use patents, formulation IP, and regulatory exclusivity. This stage quantifies the competitive IP moat and potential generic competition timeline.</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Target gene name and proposed therapeutic compound structure</w:t>
      </w:r>
    </w:p>
    <w:p>
      <w:pPr>
        <w:pStyle w:val="ListParagraph"/>
        <w:numPr>
          <w:ilvl w:val="0"/>
          <w:numId w:val="1"/>
        </w:numPr>
        <w:spacing w:after="100" w:line="360"/>
      </w:pPr>
      <w:r>
        <w:rPr>
          <w:rFonts w:ascii="Arial" w:cs="Arial" w:eastAsia="Arial" w:hAnsi="Arial"/>
          <w:sz w:val="24"/>
          <w:szCs w:val="24"/>
        </w:rPr>
        <w:t xml:space="preserve">Existing patent landscape from prior art searches (competitor filings, expired patents)</w:t>
      </w:r>
    </w:p>
    <w:p>
      <w:pPr>
        <w:pStyle w:val="ListParagraph"/>
        <w:numPr>
          <w:ilvl w:val="0"/>
          <w:numId w:val="1"/>
        </w:numPr>
        <w:spacing w:after="100" w:line="360"/>
      </w:pPr>
      <w:r>
        <w:rPr>
          <w:rFonts w:ascii="Arial" w:cs="Arial" w:eastAsia="Arial" w:hAnsi="Arial"/>
          <w:sz w:val="24"/>
          <w:szCs w:val="24"/>
        </w:rPr>
        <w:t xml:space="preserve">Proposed indication and patient population for orphan drug/pediatric exclusivity</w:t>
      </w:r>
    </w:p>
    <w:p>
      <w:pPr>
        <w:pStyle w:val="ListParagraph"/>
        <w:numPr>
          <w:ilvl w:val="0"/>
          <w:numId w:val="1"/>
        </w:numPr>
        <w:spacing w:after="100" w:line="360"/>
      </w:pPr>
      <w:r>
        <w:rPr>
          <w:rFonts w:ascii="Arial" w:cs="Arial" w:eastAsia="Arial" w:hAnsi="Arial"/>
          <w:sz w:val="24"/>
          <w:szCs w:val="24"/>
        </w:rPr>
        <w:t xml:space="preserve">Clinical development timeline and regulatory exclusivity windows</w:t>
      </w:r>
    </w:p>
    <w:p>
      <w:pPr>
        <w:pStyle w:val="ListParagraph"/>
        <w:numPr>
          <w:ilvl w:val="0"/>
          <w:numId w:val="1"/>
        </w:numPr>
        <w:spacing w:after="100" w:line="360"/>
      </w:pPr>
      <w:r>
        <w:rPr>
          <w:rFonts w:ascii="Arial" w:cs="Arial" w:eastAsia="Arial" w:hAnsi="Arial"/>
          <w:sz w:val="24"/>
          <w:szCs w:val="24"/>
        </w:rPr>
        <w:t xml:space="preserve">ASO sequence design or small molecule scaffold novelty</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**Google Patents / USPTO**: Free patent search with full-text for prior art identification</w:t>
      </w:r>
    </w:p>
    <w:p>
      <w:pPr>
        <w:pStyle w:val="ListParagraph"/>
        <w:numPr>
          <w:ilvl w:val="0"/>
          <w:numId w:val="1"/>
        </w:numPr>
        <w:spacing w:after="100" w:line="360"/>
      </w:pPr>
      <w:r>
        <w:rPr>
          <w:rFonts w:ascii="Arial" w:cs="Arial" w:eastAsia="Arial" w:hAnsi="Arial"/>
          <w:sz w:val="24"/>
          <w:szCs w:val="24"/>
        </w:rPr>
        <w:t xml:space="preserve">**Espacenet (EPO Patent Database)**: European patent coverage and international families</w:t>
      </w:r>
    </w:p>
    <w:p>
      <w:pPr>
        <w:pStyle w:val="ListParagraph"/>
        <w:numPr>
          <w:ilvl w:val="0"/>
          <w:numId w:val="1"/>
        </w:numPr>
        <w:spacing w:after="100" w:line="360"/>
      </w:pPr>
      <w:r>
        <w:rPr>
          <w:rFonts w:ascii="Arial" w:cs="Arial" w:eastAsia="Arial" w:hAnsi="Arial"/>
          <w:sz w:val="24"/>
          <w:szCs w:val="24"/>
        </w:rPr>
        <w:t xml:space="preserve">**DrugBank / PubChem**: Chemical structure matching and approved drug database</w:t>
      </w:r>
    </w:p>
    <w:p>
      <w:pPr>
        <w:pStyle w:val="ListParagraph"/>
        <w:numPr>
          <w:ilvl w:val="0"/>
          <w:numId w:val="1"/>
        </w:numPr>
        <w:spacing w:after="100" w:line="360"/>
      </w:pPr>
      <w:r>
        <w:rPr>
          <w:rFonts w:ascii="Arial" w:cs="Arial" w:eastAsia="Arial" w:hAnsi="Arial"/>
          <w:sz w:val="24"/>
          <w:szCs w:val="24"/>
        </w:rPr>
        <w:t xml:space="preserve">**FDA Orange Book**: Approved drug patent listings with expiration dates</w:t>
      </w:r>
    </w:p>
    <w:p>
      <w:pPr>
        <w:pStyle w:val="ListParagraph"/>
        <w:numPr>
          <w:ilvl w:val="0"/>
          <w:numId w:val="1"/>
        </w:numPr>
        <w:spacing w:after="100" w:line="360"/>
      </w:pPr>
      <w:r>
        <w:rPr>
          <w:rFonts w:ascii="Arial" w:cs="Arial" w:eastAsia="Arial" w:hAnsi="Arial"/>
          <w:sz w:val="24"/>
          <w:szCs w:val="24"/>
        </w:rPr>
        <w:t xml:space="preserve">**Cortellis IP Module**: Patent and regulatory exclusivity tracking</w:t>
      </w:r>
    </w:p>
    <w:p>
      <w:pPr>
        <w:pStyle w:val="ListParagraph"/>
        <w:numPr>
          <w:ilvl w:val="0"/>
          <w:numId w:val="1"/>
        </w:numPr>
        <w:spacing w:after="100" w:line="360"/>
      </w:pPr>
      <w:r>
        <w:rPr>
          <w:rFonts w:ascii="Arial" w:cs="Arial" w:eastAsia="Arial" w:hAnsi="Arial"/>
          <w:sz w:val="24"/>
          <w:szCs w:val="24"/>
        </w:rPr>
        <w:t xml:space="preserve">**Patent Counsel Databases (Questel, LexisNexis)**: Advanced patent analytics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Are there existing patents covering the target that would block our modality?</w:t>
      </w:r>
    </w:p>
    <w:p>
      <w:pPr>
        <w:pStyle w:val="ListParagraph"/>
        <w:numPr>
          <w:ilvl w:val="0"/>
          <w:numId w:val="1"/>
        </w:numPr>
        <w:spacing w:after="100" w:line="360"/>
      </w:pPr>
      <w:r>
        <w:rPr>
          <w:rFonts w:ascii="Arial" w:cs="Arial" w:eastAsia="Arial" w:hAnsi="Arial"/>
          <w:sz w:val="24"/>
          <w:szCs w:val="24"/>
        </w:rPr>
        <w:t xml:space="preserve">What patent protection windows are available for composition-of-matter?</w:t>
      </w:r>
    </w:p>
    <w:p>
      <w:pPr>
        <w:pStyle w:val="ListParagraph"/>
        <w:numPr>
          <w:ilvl w:val="0"/>
          <w:numId w:val="1"/>
        </w:numPr>
        <w:spacing w:after="100" w:line="360"/>
      </w:pPr>
      <w:r>
        <w:rPr>
          <w:rFonts w:ascii="Arial" w:cs="Arial" w:eastAsia="Arial" w:hAnsi="Arial"/>
          <w:sz w:val="24"/>
          <w:szCs w:val="24"/>
        </w:rPr>
        <w:t xml:space="preserve">Does the indication qualify for orphan drug status and 7-year exclusivity?</w:t>
      </w:r>
    </w:p>
    <w:p>
      <w:pPr>
        <w:pStyle w:val="ListParagraph"/>
        <w:numPr>
          <w:ilvl w:val="0"/>
          <w:numId w:val="1"/>
        </w:numPr>
        <w:spacing w:after="100" w:line="360"/>
      </w:pPr>
      <w:r>
        <w:rPr>
          <w:rFonts w:ascii="Arial" w:cs="Arial" w:eastAsia="Arial" w:hAnsi="Arial"/>
          <w:sz w:val="24"/>
          <w:szCs w:val="24"/>
        </w:rPr>
        <w:t xml:space="preserve">What generic or biosimilar competition timelines should we project?</w:t>
      </w:r>
    </w:p>
    <w:p>
      <w:pPr>
        <w:pStyle w:val="ListParagraph"/>
        <w:numPr>
          <w:ilvl w:val="0"/>
          <w:numId w:val="1"/>
        </w:numPr>
        <w:spacing w:after="100" w:line="360"/>
      </w:pPr>
      <w:r>
        <w:rPr>
          <w:rFonts w:ascii="Arial" w:cs="Arial" w:eastAsia="Arial" w:hAnsi="Arial"/>
          <w:sz w:val="24"/>
          <w:szCs w:val="24"/>
        </w:rPr>
        <w:t xml:space="preserve">Are there freedom-to-operate risks requiring licensing?</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Freedom-to-operate (FTO) opinion with patent landscape map</w:t>
      </w:r>
    </w:p>
    <w:p>
      <w:pPr>
        <w:pStyle w:val="ListParagraph"/>
        <w:numPr>
          <w:ilvl w:val="0"/>
          <w:numId w:val="1"/>
        </w:numPr>
        <w:spacing w:after="100" w:line="360"/>
      </w:pPr>
      <w:r>
        <w:rPr>
          <w:rFonts w:ascii="Arial" w:cs="Arial" w:eastAsia="Arial" w:hAnsi="Arial"/>
          <w:sz w:val="24"/>
          <w:szCs w:val="24"/>
        </w:rPr>
        <w:t xml:space="preserve">Patent family tree showing all patent types with expiration dates</w:t>
      </w:r>
    </w:p>
    <w:p>
      <w:pPr>
        <w:pStyle w:val="ListParagraph"/>
        <w:numPr>
          <w:ilvl w:val="0"/>
          <w:numId w:val="1"/>
        </w:numPr>
        <w:spacing w:after="100" w:line="360"/>
      </w:pPr>
      <w:r>
        <w:rPr>
          <w:rFonts w:ascii="Arial" w:cs="Arial" w:eastAsia="Arial" w:hAnsi="Arial"/>
          <w:sz w:val="24"/>
          <w:szCs w:val="24"/>
        </w:rPr>
        <w:t xml:space="preserve">Regulatory exclusivity calendar (orphan drug, pediatric, data exclusivity)</w:t>
      </w:r>
    </w:p>
    <w:p>
      <w:pPr>
        <w:pStyle w:val="ListParagraph"/>
        <w:numPr>
          <w:ilvl w:val="0"/>
          <w:numId w:val="1"/>
        </w:numPr>
        <w:spacing w:after="100" w:line="360"/>
      </w:pPr>
      <w:r>
        <w:rPr>
          <w:rFonts w:ascii="Arial" w:cs="Arial" w:eastAsia="Arial" w:hAnsi="Arial"/>
          <w:sz w:val="24"/>
          <w:szCs w:val="24"/>
        </w:rPr>
        <w:t xml:space="preserve">Generic competition projection timeline</w:t>
      </w:r>
    </w:p>
    <w:p>
      <w:pPr>
        <w:pStyle w:val="ListParagraph"/>
        <w:numPr>
          <w:ilvl w:val="0"/>
          <w:numId w:val="1"/>
        </w:numPr>
        <w:spacing w:after="100" w:line="360"/>
      </w:pPr>
      <w:r>
        <w:rPr>
          <w:rFonts w:ascii="Arial" w:cs="Arial" w:eastAsia="Arial" w:hAnsi="Arial"/>
          <w:sz w:val="24"/>
          <w:szCs w:val="24"/>
        </w:rPr>
        <w:t xml:space="preserve">IP strategy recommendation (file patents, secure exclusivity, licensing)</w:t>
      </w:r>
    </w:p>
    <w:p>
      <w:pPr>
        <w:pStyle w:val="ListParagraph"/>
        <w:numPr>
          <w:ilvl w:val="0"/>
          <w:numId w:val="1"/>
        </w:numPr>
        <w:spacing w:after="100" w:line="360"/>
      </w:pPr>
      <w:r>
        <w:rPr>
          <w:rFonts w:ascii="Arial" w:cs="Arial" w:eastAsia="Arial" w:hAnsi="Arial"/>
          <w:sz w:val="24"/>
          <w:szCs w:val="24"/>
        </w:rPr>
        <w:t xml:space="preserve">Comparative patent moat strength assessment (ASO vs small molecule)</w:t>
      </w:r>
    </w:p>
    <w:p>
      <w:pPr>
        <w:spacing w:after="200" w:line="360"/>
      </w:pPr>
      <w:r>
        <w:rPr>
          <w:rFonts w:ascii="Arial" w:cs="Arial" w:eastAsia="Arial" w:hAnsi="Arial"/>
          <w:b w:val="false"/>
          <w:bCs w:val="false"/>
          <w:sz w:val="24"/>
          <w:szCs w:val="24"/>
        </w:rPr>
        <w:t xml:space="preserve">Format: Patent landscape visualization with blocking patents, exclusivity timeline chart, FTO opinion summary with risk matrix.</w:t>
      </w:r>
    </w:p>
    <w:p>
      <w:pPr>
        <w:pStyle w:val="Heading2"/>
        <w:pStyle w:val="Heading2"/>
        <w:spacing w:after="200" w:line="360"/>
      </w:pPr>
      <w:r>
        <w:t xml:space="preserve">Stage 5: Clinical Pharmacology &amp; Safety Profile Projection</w:t>
      </w:r>
    </w:p>
    <w:p>
      <w:pPr>
        <w:spacing w:after="200" w:line="360"/>
      </w:pPr>
      <w:r>
        <w:rPr>
          <w:rFonts w:ascii="Arial" w:cs="Arial" w:eastAsia="Arial" w:hAnsi="Arial"/>
          <w:b w:val="false"/>
          <w:bCs w:val="false"/>
          <w:sz w:val="24"/>
          <w:szCs w:val="24"/>
        </w:rPr>
        <w:t xml:space="preserve">Purpose: Synthesize published PK/PD data, safety databases, and modality-specific toxicology profiles to project realistic safety windows and efficacy dosing. ASO programs typically emphasize liver, kidney, and immune tolerance, while small molecules require comprehensive organ toxicity assessment; this stage enables clinical trial design and risk mitigation planning.</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Published PK/PD data for analogous programs in same indication</w:t>
      </w:r>
    </w:p>
    <w:p>
      <w:pPr>
        <w:pStyle w:val="ListParagraph"/>
        <w:numPr>
          <w:ilvl w:val="0"/>
          <w:numId w:val="1"/>
        </w:numPr>
        <w:spacing w:after="100" w:line="360"/>
      </w:pPr>
      <w:r>
        <w:rPr>
          <w:rFonts w:ascii="Arial" w:cs="Arial" w:eastAsia="Arial" w:hAnsi="Arial"/>
          <w:sz w:val="24"/>
          <w:szCs w:val="24"/>
        </w:rPr>
        <w:t xml:space="preserve">Target tissue distribution and CNS penetration requirements</w:t>
      </w:r>
    </w:p>
    <w:p>
      <w:pPr>
        <w:pStyle w:val="ListParagraph"/>
        <w:numPr>
          <w:ilvl w:val="0"/>
          <w:numId w:val="1"/>
        </w:numPr>
        <w:spacing w:after="100" w:line="360"/>
      </w:pPr>
      <w:r>
        <w:rPr>
          <w:rFonts w:ascii="Arial" w:cs="Arial" w:eastAsia="Arial" w:hAnsi="Arial"/>
          <w:sz w:val="24"/>
          <w:szCs w:val="24"/>
        </w:rPr>
        <w:t xml:space="preserve">Known off-target effects or secondary pharmacology considerations</w:t>
      </w:r>
    </w:p>
    <w:p>
      <w:pPr>
        <w:pStyle w:val="ListParagraph"/>
        <w:numPr>
          <w:ilvl w:val="0"/>
          <w:numId w:val="1"/>
        </w:numPr>
        <w:spacing w:after="100" w:line="360"/>
      </w:pPr>
      <w:r>
        <w:rPr>
          <w:rFonts w:ascii="Arial" w:cs="Arial" w:eastAsia="Arial" w:hAnsi="Arial"/>
          <w:sz w:val="24"/>
          <w:szCs w:val="24"/>
        </w:rPr>
        <w:t xml:space="preserve">Regulatory toxicology guidelines for modality (ASO Guidance, ICH guidelines)</w:t>
      </w:r>
    </w:p>
    <w:p>
      <w:pPr>
        <w:pStyle w:val="ListParagraph"/>
        <w:numPr>
          <w:ilvl w:val="0"/>
          <w:numId w:val="1"/>
        </w:numPr>
        <w:spacing w:after="100" w:line="360"/>
      </w:pPr>
      <w:r>
        <w:rPr>
          <w:rFonts w:ascii="Arial" w:cs="Arial" w:eastAsia="Arial" w:hAnsi="Arial"/>
          <w:sz w:val="24"/>
          <w:szCs w:val="24"/>
        </w:rPr>
        <w:t xml:space="preserve">Patient comorbidities and potential drug-drug interactions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**DrugBank**: PK/PD, toxicity, and drug-drug interaction data</w:t>
      </w:r>
    </w:p>
    <w:p>
      <w:pPr>
        <w:pStyle w:val="ListParagraph"/>
        <w:numPr>
          <w:ilvl w:val="0"/>
          <w:numId w:val="1"/>
        </w:numPr>
        <w:spacing w:after="100" w:line="360"/>
      </w:pPr>
      <w:r>
        <w:rPr>
          <w:rFonts w:ascii="Arial" w:cs="Arial" w:eastAsia="Arial" w:hAnsi="Arial"/>
          <w:sz w:val="24"/>
          <w:szCs w:val="24"/>
        </w:rPr>
        <w:t xml:space="preserve">**PubMed/MedLine**: Clinical trial publications and safety reports</w:t>
      </w:r>
    </w:p>
    <w:p>
      <w:pPr>
        <w:pStyle w:val="ListParagraph"/>
        <w:numPr>
          <w:ilvl w:val="0"/>
          <w:numId w:val="1"/>
        </w:numPr>
        <w:spacing w:after="100" w:line="360"/>
      </w:pPr>
      <w:r>
        <w:rPr>
          <w:rFonts w:ascii="Arial" w:cs="Arial" w:eastAsia="Arial" w:hAnsi="Arial"/>
          <w:sz w:val="24"/>
          <w:szCs w:val="24"/>
        </w:rPr>
        <w:t xml:space="preserve">**SwissADME**: ADME properties prediction for small molecule candidates</w:t>
      </w:r>
    </w:p>
    <w:p>
      <w:pPr>
        <w:pStyle w:val="ListParagraph"/>
        <w:numPr>
          <w:ilvl w:val="0"/>
          <w:numId w:val="1"/>
        </w:numPr>
        <w:spacing w:after="100" w:line="360"/>
      </w:pPr>
      <w:r>
        <w:rPr>
          <w:rFonts w:ascii="Arial" w:cs="Arial" w:eastAsia="Arial" w:hAnsi="Arial"/>
          <w:sz w:val="24"/>
          <w:szCs w:val="24"/>
        </w:rPr>
        <w:t xml:space="preserve">**FDA Safety Database (FAERS)**: Post-marketing adverse event reports</w:t>
      </w:r>
    </w:p>
    <w:p>
      <w:pPr>
        <w:pStyle w:val="ListParagraph"/>
        <w:numPr>
          <w:ilvl w:val="0"/>
          <w:numId w:val="1"/>
        </w:numPr>
        <w:spacing w:after="100" w:line="360"/>
      </w:pPr>
      <w:r>
        <w:rPr>
          <w:rFonts w:ascii="Arial" w:cs="Arial" w:eastAsia="Arial" w:hAnsi="Arial"/>
          <w:sz w:val="24"/>
          <w:szCs w:val="24"/>
        </w:rPr>
        <w:t xml:space="preserve">**Integrated Safety Databases**: Toxicology summaries from IND/clinical protocols</w:t>
      </w:r>
    </w:p>
    <w:p>
      <w:pPr>
        <w:pStyle w:val="ListParagraph"/>
        <w:numPr>
          <w:ilvl w:val="0"/>
          <w:numId w:val="1"/>
        </w:numPr>
        <w:spacing w:after="100" w:line="360"/>
      </w:pPr>
      <w:r>
        <w:rPr>
          <w:rFonts w:ascii="Arial" w:cs="Arial" w:eastAsia="Arial" w:hAnsi="Arial"/>
          <w:sz w:val="24"/>
          <w:szCs w:val="24"/>
        </w:rPr>
        <w:t xml:space="preserve">**PK/PD Modeling Platforms (Certara, Simcyp)**: Physiologically-based PK modeling</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What is the projected steady-state exposure (Cmax, Cmin, AUC)?</w:t>
      </w:r>
    </w:p>
    <w:p>
      <w:pPr>
        <w:pStyle w:val="ListParagraph"/>
        <w:numPr>
          <w:ilvl w:val="0"/>
          <w:numId w:val="1"/>
        </w:numPr>
        <w:spacing w:after="100" w:line="360"/>
      </w:pPr>
      <w:r>
        <w:rPr>
          <w:rFonts w:ascii="Arial" w:cs="Arial" w:eastAsia="Arial" w:hAnsi="Arial"/>
          <w:sz w:val="24"/>
          <w:szCs w:val="24"/>
        </w:rPr>
        <w:t xml:space="preserve">Which organs represent the critical toxicity windows for dose escalation?</w:t>
      </w:r>
    </w:p>
    <w:p>
      <w:pPr>
        <w:pStyle w:val="ListParagraph"/>
        <w:numPr>
          <w:ilvl w:val="0"/>
          <w:numId w:val="1"/>
        </w:numPr>
        <w:spacing w:after="100" w:line="360"/>
      </w:pPr>
      <w:r>
        <w:rPr>
          <w:rFonts w:ascii="Arial" w:cs="Arial" w:eastAsia="Arial" w:hAnsi="Arial"/>
          <w:sz w:val="24"/>
          <w:szCs w:val="24"/>
        </w:rPr>
        <w:t xml:space="preserve">Are there modality-specific safety signals (ASO immune, complement)?</w:t>
      </w:r>
    </w:p>
    <w:p>
      <w:pPr>
        <w:pStyle w:val="ListParagraph"/>
        <w:numPr>
          <w:ilvl w:val="0"/>
          <w:numId w:val="1"/>
        </w:numPr>
        <w:spacing w:after="100" w:line="360"/>
      </w:pPr>
      <w:r>
        <w:rPr>
          <w:rFonts w:ascii="Arial" w:cs="Arial" w:eastAsia="Arial" w:hAnsi="Arial"/>
          <w:sz w:val="24"/>
          <w:szCs w:val="24"/>
        </w:rPr>
        <w:t xml:space="preserve">What drug-drug interactions are expected with common comedications?</w:t>
      </w:r>
    </w:p>
    <w:p>
      <w:pPr>
        <w:pStyle w:val="ListParagraph"/>
        <w:numPr>
          <w:ilvl w:val="0"/>
          <w:numId w:val="1"/>
        </w:numPr>
        <w:spacing w:after="100" w:line="360"/>
      </w:pPr>
      <w:r>
        <w:rPr>
          <w:rFonts w:ascii="Arial" w:cs="Arial" w:eastAsia="Arial" w:hAnsi="Arial"/>
          <w:sz w:val="24"/>
          <w:szCs w:val="24"/>
        </w:rPr>
        <w:t xml:space="preserve">Does the population impose dose adjustment requirements?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PK/PD projection model with Cmax, Cmin, half-life, tissue concentrations</w:t>
      </w:r>
    </w:p>
    <w:p>
      <w:pPr>
        <w:pStyle w:val="ListParagraph"/>
        <w:numPr>
          <w:ilvl w:val="0"/>
          <w:numId w:val="1"/>
        </w:numPr>
        <w:spacing w:after="100" w:line="360"/>
      </w:pPr>
      <w:r>
        <w:rPr>
          <w:rFonts w:ascii="Arial" w:cs="Arial" w:eastAsia="Arial" w:hAnsi="Arial"/>
          <w:sz w:val="24"/>
          <w:szCs w:val="24"/>
        </w:rPr>
        <w:t xml:space="preserve">Organ-specific toxicity risk assessment (liver, kidney, CNS safety)</w:t>
      </w:r>
    </w:p>
    <w:p>
      <w:pPr>
        <w:pStyle w:val="ListParagraph"/>
        <w:numPr>
          <w:ilvl w:val="0"/>
          <w:numId w:val="1"/>
        </w:numPr>
        <w:spacing w:after="100" w:line="360"/>
      </w:pPr>
      <w:r>
        <w:rPr>
          <w:rFonts w:ascii="Arial" w:cs="Arial" w:eastAsia="Arial" w:hAnsi="Arial"/>
          <w:sz w:val="24"/>
          <w:szCs w:val="24"/>
        </w:rPr>
        <w:t xml:space="preserve">Modality-specific safety monitoring plan (ASO markers vs CYP interactions)</w:t>
      </w:r>
    </w:p>
    <w:p>
      <w:pPr>
        <w:pStyle w:val="ListParagraph"/>
        <w:numPr>
          <w:ilvl w:val="0"/>
          <w:numId w:val="1"/>
        </w:numPr>
        <w:spacing w:after="100" w:line="360"/>
      </w:pPr>
      <w:r>
        <w:rPr>
          <w:rFonts w:ascii="Arial" w:cs="Arial" w:eastAsia="Arial" w:hAnsi="Arial"/>
          <w:sz w:val="24"/>
          <w:szCs w:val="24"/>
        </w:rPr>
        <w:t xml:space="preserve">Predicted safe starting dose and dose escalation pathway for Phase I</w:t>
      </w:r>
    </w:p>
    <w:p>
      <w:pPr>
        <w:pStyle w:val="ListParagraph"/>
        <w:numPr>
          <w:ilvl w:val="0"/>
          <w:numId w:val="1"/>
        </w:numPr>
        <w:spacing w:after="100" w:line="360"/>
      </w:pPr>
      <w:r>
        <w:rPr>
          <w:rFonts w:ascii="Arial" w:cs="Arial" w:eastAsia="Arial" w:hAnsi="Arial"/>
          <w:sz w:val="24"/>
          <w:szCs w:val="24"/>
        </w:rPr>
        <w:t xml:space="preserve">Drug-drug interaction risk table for common comedications</w:t>
      </w:r>
    </w:p>
    <w:p>
      <w:pPr>
        <w:pStyle w:val="ListParagraph"/>
        <w:numPr>
          <w:ilvl w:val="0"/>
          <w:numId w:val="1"/>
        </w:numPr>
        <w:spacing w:after="100" w:line="360"/>
      </w:pPr>
      <w:r>
        <w:rPr>
          <w:rFonts w:ascii="Arial" w:cs="Arial" w:eastAsia="Arial" w:hAnsi="Arial"/>
          <w:sz w:val="24"/>
          <w:szCs w:val="24"/>
        </w:rPr>
        <w:t xml:space="preserve">Special population dosing recommendations (pediatrics, hepatic, renal)</w:t>
      </w:r>
    </w:p>
    <w:p>
      <w:pPr>
        <w:spacing w:after="200" w:line="360"/>
      </w:pPr>
      <w:r>
        <w:rPr>
          <w:rFonts w:ascii="Arial" w:cs="Arial" w:eastAsia="Arial" w:hAnsi="Arial"/>
          <w:b w:val="false"/>
          <w:bCs w:val="false"/>
          <w:sz w:val="24"/>
          <w:szCs w:val="24"/>
        </w:rPr>
        <w:t xml:space="preserve">Format: PK/PD modeling output with exposure-response curve, organ toxicity risk heatmap, dose-escalation table.</w:t>
      </w:r>
    </w:p>
    <w:p>
      <w:pPr>
        <w:pStyle w:val="Heading2"/>
        <w:pStyle w:val="Heading2"/>
        <w:spacing w:after="200" w:line="360"/>
      </w:pPr>
      <w:r>
        <w:t xml:space="preserve">Stage 6: Pricing, Reimbursement &amp; Commercial Viability</w:t>
      </w:r>
    </w:p>
    <w:p>
      <w:pPr>
        <w:spacing w:after="200" w:line="360"/>
      </w:pPr>
      <w:r>
        <w:rPr>
          <w:rFonts w:ascii="Arial" w:cs="Arial" w:eastAsia="Arial" w:hAnsi="Arial"/>
          <w:b w:val="false"/>
          <w:bCs w:val="false"/>
          <w:sz w:val="24"/>
          <w:szCs w:val="24"/>
        </w:rPr>
        <w:t xml:space="preserve">Purpose: Project net present value (NPV), peak sales potential, pricing benchmarks, and payer reimbursement likelihood for each modality using health economics frameworks. This stage synthesizes COGS, manufacturing timelines, patent exclusivity windows, competitive landscape, and patient population size into a 10-year financial projection informing go/no-go decisions.</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Target patient population size and disease prevalence/incidence data</w:t>
      </w:r>
    </w:p>
    <w:p>
      <w:pPr>
        <w:pStyle w:val="ListParagraph"/>
        <w:numPr>
          <w:ilvl w:val="0"/>
          <w:numId w:val="1"/>
        </w:numPr>
        <w:spacing w:after="100" w:line="360"/>
      </w:pPr>
      <w:r>
        <w:rPr>
          <w:rFonts w:ascii="Arial" w:cs="Arial" w:eastAsia="Arial" w:hAnsi="Arial"/>
          <w:sz w:val="24"/>
          <w:szCs w:val="24"/>
        </w:rPr>
        <w:t xml:space="preserve">Competitive pricing landscape for approved drugs in indication</w:t>
      </w:r>
    </w:p>
    <w:p>
      <w:pPr>
        <w:pStyle w:val="ListParagraph"/>
        <w:numPr>
          <w:ilvl w:val="0"/>
          <w:numId w:val="1"/>
        </w:numPr>
        <w:spacing w:after="100" w:line="360"/>
      </w:pPr>
      <w:r>
        <w:rPr>
          <w:rFonts w:ascii="Arial" w:cs="Arial" w:eastAsia="Arial" w:hAnsi="Arial"/>
          <w:sz w:val="24"/>
          <w:szCs w:val="24"/>
        </w:rPr>
        <w:t xml:space="preserve">Payer coverage policies and health economic thresholds ($100K-$150K per QALY)</w:t>
      </w:r>
    </w:p>
    <w:p>
      <w:pPr>
        <w:pStyle w:val="ListParagraph"/>
        <w:numPr>
          <w:ilvl w:val="0"/>
          <w:numId w:val="1"/>
        </w:numPr>
        <w:spacing w:after="100" w:line="360"/>
      </w:pPr>
      <w:r>
        <w:rPr>
          <w:rFonts w:ascii="Arial" w:cs="Arial" w:eastAsia="Arial" w:hAnsi="Arial"/>
          <w:sz w:val="24"/>
          <w:szCs w:val="24"/>
        </w:rPr>
        <w:t xml:space="preserve">Clinical trial design, efficacy data, and safety profile</w:t>
      </w:r>
    </w:p>
    <w:p>
      <w:pPr>
        <w:pStyle w:val="ListParagraph"/>
        <w:numPr>
          <w:ilvl w:val="0"/>
          <w:numId w:val="1"/>
        </w:numPr>
        <w:spacing w:after="100" w:line="360"/>
      </w:pPr>
      <w:r>
        <w:rPr>
          <w:rFonts w:ascii="Arial" w:cs="Arial" w:eastAsia="Arial" w:hAnsi="Arial"/>
          <w:sz w:val="24"/>
          <w:szCs w:val="24"/>
        </w:rPr>
        <w:t xml:space="preserve">Manufacturing cost trajectory and launch timeline assumptions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**IQVIA ProDataTrac / Pharmaprices**: US and international drug pricing data</w:t>
      </w:r>
    </w:p>
    <w:p>
      <w:pPr>
        <w:pStyle w:val="ListParagraph"/>
        <w:numPr>
          <w:ilvl w:val="0"/>
          <w:numId w:val="1"/>
        </w:numPr>
        <w:spacing w:after="100" w:line="360"/>
      </w:pPr>
      <w:r>
        <w:rPr>
          <w:rFonts w:ascii="Arial" w:cs="Arial" w:eastAsia="Arial" w:hAnsi="Arial"/>
          <w:sz w:val="24"/>
          <w:szCs w:val="24"/>
        </w:rPr>
        <w:t xml:space="preserve">**CMS Drug Pricing Data**: Medicare/Medicaid reimbursement rates, formulary decisions</w:t>
      </w:r>
    </w:p>
    <w:p>
      <w:pPr>
        <w:pStyle w:val="ListParagraph"/>
        <w:numPr>
          <w:ilvl w:val="0"/>
          <w:numId w:val="1"/>
        </w:numPr>
        <w:spacing w:after="100" w:line="360"/>
      </w:pPr>
      <w:r>
        <w:rPr>
          <w:rFonts w:ascii="Arial" w:cs="Arial" w:eastAsia="Arial" w:hAnsi="Arial"/>
          <w:sz w:val="24"/>
          <w:szCs w:val="24"/>
        </w:rPr>
        <w:t xml:space="preserve">**Optum/United/Aetna Policies**: Real-world payer coverage criteria</w:t>
      </w:r>
    </w:p>
    <w:p>
      <w:pPr>
        <w:pStyle w:val="ListParagraph"/>
        <w:numPr>
          <w:ilvl w:val="0"/>
          <w:numId w:val="1"/>
        </w:numPr>
        <w:spacing w:after="100" w:line="360"/>
      </w:pPr>
      <w:r>
        <w:rPr>
          <w:rFonts w:ascii="Arial" w:cs="Arial" w:eastAsia="Arial" w:hAnsi="Arial"/>
          <w:sz w:val="24"/>
          <w:szCs w:val="24"/>
        </w:rPr>
        <w:t xml:space="preserve">**ICER / NICE Health Economic Models**: Cost-effectiveness ratios (ICER)</w:t>
      </w:r>
    </w:p>
    <w:p>
      <w:pPr>
        <w:pStyle w:val="ListParagraph"/>
        <w:numPr>
          <w:ilvl w:val="0"/>
          <w:numId w:val="1"/>
        </w:numPr>
        <w:spacing w:after="100" w:line="360"/>
      </w:pPr>
      <w:r>
        <w:rPr>
          <w:rFonts w:ascii="Arial" w:cs="Arial" w:eastAsia="Arial" w:hAnsi="Arial"/>
          <w:sz w:val="24"/>
          <w:szCs w:val="24"/>
        </w:rPr>
        <w:t xml:space="preserve">**Company Earnings Calls / Investor Presentations**: Peak sales projections</w:t>
      </w:r>
    </w:p>
    <w:p>
      <w:pPr>
        <w:pStyle w:val="ListParagraph"/>
        <w:numPr>
          <w:ilvl w:val="0"/>
          <w:numId w:val="1"/>
        </w:numPr>
        <w:spacing w:after="100" w:line="360"/>
      </w:pPr>
      <w:r>
        <w:rPr>
          <w:rFonts w:ascii="Arial" w:cs="Arial" w:eastAsia="Arial" w:hAnsi="Arial"/>
          <w:sz w:val="24"/>
          <w:szCs w:val="24"/>
        </w:rPr>
        <w:t xml:space="preserve">**Market Research Firms (GlobalData, Evaluate Pharma)**: Market forecasts</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What is the achievable pricing for ASO vs small molecule?</w:t>
      </w:r>
    </w:p>
    <w:p>
      <w:pPr>
        <w:pStyle w:val="ListParagraph"/>
        <w:numPr>
          <w:ilvl w:val="0"/>
          <w:numId w:val="1"/>
        </w:numPr>
        <w:spacing w:after="100" w:line="360"/>
      </w:pPr>
      <w:r>
        <w:rPr>
          <w:rFonts w:ascii="Arial" w:cs="Arial" w:eastAsia="Arial" w:hAnsi="Arial"/>
          <w:sz w:val="24"/>
          <w:szCs w:val="24"/>
        </w:rPr>
        <w:t xml:space="preserve">What is the addressable patient population and market penetration?</w:t>
      </w:r>
    </w:p>
    <w:p>
      <w:pPr>
        <w:pStyle w:val="ListParagraph"/>
        <w:numPr>
          <w:ilvl w:val="0"/>
          <w:numId w:val="1"/>
        </w:numPr>
        <w:spacing w:after="100" w:line="360"/>
      </w:pPr>
      <w:r>
        <w:rPr>
          <w:rFonts w:ascii="Arial" w:cs="Arial" w:eastAsia="Arial" w:hAnsi="Arial"/>
          <w:sz w:val="24"/>
          <w:szCs w:val="24"/>
        </w:rPr>
        <w:t xml:space="preserve">What reimbursement barriers would we face?</w:t>
      </w:r>
    </w:p>
    <w:p>
      <w:pPr>
        <w:pStyle w:val="ListParagraph"/>
        <w:numPr>
          <w:ilvl w:val="0"/>
          <w:numId w:val="1"/>
        </w:numPr>
        <w:spacing w:after="100" w:line="360"/>
      </w:pPr>
      <w:r>
        <w:rPr>
          <w:rFonts w:ascii="Arial" w:cs="Arial" w:eastAsia="Arial" w:hAnsi="Arial"/>
          <w:sz w:val="24"/>
          <w:szCs w:val="24"/>
        </w:rPr>
        <w:t xml:space="preserve">What peak sales potential (10-year NPV) is realistic?</w:t>
      </w:r>
    </w:p>
    <w:p>
      <w:pPr>
        <w:pStyle w:val="ListParagraph"/>
        <w:numPr>
          <w:ilvl w:val="0"/>
          <w:numId w:val="1"/>
        </w:numPr>
        <w:spacing w:after="100" w:line="360"/>
      </w:pPr>
      <w:r>
        <w:rPr>
          <w:rFonts w:ascii="Arial" w:cs="Arial" w:eastAsia="Arial" w:hAnsi="Arial"/>
          <w:sz w:val="24"/>
          <w:szCs w:val="24"/>
        </w:rPr>
        <w:t xml:space="preserve">How would value-based pricing impact reimbursement access?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10-year financial projection (revenue, COGS, R&amp;D costs, profit)</w:t>
      </w:r>
    </w:p>
    <w:p>
      <w:pPr>
        <w:pStyle w:val="ListParagraph"/>
        <w:numPr>
          <w:ilvl w:val="0"/>
          <w:numId w:val="1"/>
        </w:numPr>
        <w:spacing w:after="100" w:line="360"/>
      </w:pPr>
      <w:r>
        <w:rPr>
          <w:rFonts w:ascii="Arial" w:cs="Arial" w:eastAsia="Arial" w:hAnsi="Arial"/>
          <w:sz w:val="24"/>
          <w:szCs w:val="24"/>
        </w:rPr>
        <w:t xml:space="preserve">Pricing benchmark analysis with reimbursement recommendations</w:t>
      </w:r>
    </w:p>
    <w:p>
      <w:pPr>
        <w:pStyle w:val="ListParagraph"/>
        <w:numPr>
          <w:ilvl w:val="0"/>
          <w:numId w:val="1"/>
        </w:numPr>
        <w:spacing w:after="100" w:line="360"/>
      </w:pPr>
      <w:r>
        <w:rPr>
          <w:rFonts w:ascii="Arial" w:cs="Arial" w:eastAsia="Arial" w:hAnsi="Arial"/>
          <w:sz w:val="24"/>
          <w:szCs w:val="24"/>
        </w:rPr>
        <w:t xml:space="preserve">Payer coverage assessment (formulary, prior auth, value-based)</w:t>
      </w:r>
    </w:p>
    <w:p>
      <w:pPr>
        <w:pStyle w:val="ListParagraph"/>
        <w:numPr>
          <w:ilvl w:val="0"/>
          <w:numId w:val="1"/>
        </w:numPr>
        <w:spacing w:after="100" w:line="360"/>
      </w:pPr>
      <w:r>
        <w:rPr>
          <w:rFonts w:ascii="Arial" w:cs="Arial" w:eastAsia="Arial" w:hAnsi="Arial"/>
          <w:sz w:val="24"/>
          <w:szCs w:val="24"/>
        </w:rPr>
        <w:t xml:space="preserve">Market penetration scenario analysis (conservative, base, optimistic)</w:t>
      </w:r>
    </w:p>
    <w:p>
      <w:pPr>
        <w:pStyle w:val="ListParagraph"/>
        <w:numPr>
          <w:ilvl w:val="0"/>
          <w:numId w:val="1"/>
        </w:numPr>
        <w:spacing w:after="100" w:line="360"/>
      </w:pPr>
      <w:r>
        <w:rPr>
          <w:rFonts w:ascii="Arial" w:cs="Arial" w:eastAsia="Arial" w:hAnsi="Arial"/>
          <w:sz w:val="24"/>
          <w:szCs w:val="24"/>
        </w:rPr>
        <w:t xml:space="preserve">NPV and IRR comparison (ASO vs small molecule)</w:t>
      </w:r>
    </w:p>
    <w:p>
      <w:pPr>
        <w:pStyle w:val="ListParagraph"/>
        <w:numPr>
          <w:ilvl w:val="0"/>
          <w:numId w:val="1"/>
        </w:numPr>
        <w:spacing w:after="100" w:line="360"/>
      </w:pPr>
      <w:r>
        <w:rPr>
          <w:rFonts w:ascii="Arial" w:cs="Arial" w:eastAsia="Arial" w:hAnsi="Arial"/>
          <w:sz w:val="24"/>
          <w:szCs w:val="24"/>
        </w:rPr>
        <w:t xml:space="preserve">Break-even analysis with patient volume and time-to-profitability</w:t>
      </w:r>
    </w:p>
    <w:p>
      <w:pPr>
        <w:spacing w:after="200" w:line="360"/>
      </w:pPr>
      <w:r>
        <w:rPr>
          <w:rFonts w:ascii="Arial" w:cs="Arial" w:eastAsia="Arial" w:hAnsi="Arial"/>
          <w:b w:val="false"/>
          <w:bCs w:val="false"/>
          <w:sz w:val="24"/>
          <w:szCs w:val="24"/>
        </w:rPr>
        <w:t xml:space="preserve">Format: NPV comparison chart, 10-year revenue projection, pricing benchmark table, market penetration scenarios.</w:t>
      </w:r>
    </w:p>
    <w:p>
      <w:pPr>
        <w:pStyle w:val="Heading2"/>
        <w:pStyle w:val="Heading2"/>
        <w:spacing w:after="200" w:line="360"/>
      </w:pPr>
      <w:r>
        <w:t xml:space="preserve">Tools &amp; Databases Summary</w:t>
      </w:r>
    </w:p>
    <w:p>
      <w:pPr>
        <w:pStyle w:val="ListParagraph"/>
        <w:numPr>
          <w:ilvl w:val="0"/>
          <w:numId w:val="1"/>
        </w:numPr>
        <w:spacing w:after="100" w:line="360"/>
      </w:pPr>
      <w:r>
        <w:rPr>
          <w:rFonts w:ascii="Arial" w:cs="Arial" w:eastAsia="Arial" w:hAnsi="Arial"/>
          <w:sz w:val="24"/>
          <w:szCs w:val="24"/>
        </w:rPr>
        <w:t xml:space="preserve">**UniProt** - Comprehensive protein annotation and sequence database</w:t>
      </w:r>
    </w:p>
    <w:p>
      <w:pPr>
        <w:pStyle w:val="ListParagraph"/>
        <w:numPr>
          <w:ilvl w:val="0"/>
          <w:numId w:val="1"/>
        </w:numPr>
        <w:spacing w:after="100" w:line="360"/>
      </w:pPr>
      <w:r>
        <w:rPr>
          <w:rFonts w:ascii="Arial" w:cs="Arial" w:eastAsia="Arial" w:hAnsi="Arial"/>
          <w:sz w:val="24"/>
          <w:szCs w:val="24"/>
        </w:rPr>
        <w:t xml:space="preserve">**AlphaFold** - AI-predicted 3D protein structure prediction</w:t>
      </w:r>
    </w:p>
    <w:p>
      <w:pPr>
        <w:pStyle w:val="ListParagraph"/>
        <w:numPr>
          <w:ilvl w:val="0"/>
          <w:numId w:val="1"/>
        </w:numPr>
        <w:spacing w:after="100" w:line="360"/>
      </w:pPr>
      <w:r>
        <w:rPr>
          <w:rFonts w:ascii="Arial" w:cs="Arial" w:eastAsia="Arial" w:hAnsi="Arial"/>
          <w:sz w:val="24"/>
          <w:szCs w:val="24"/>
        </w:rPr>
        <w:t xml:space="preserve">**GTEx Portal** - Tissue-specific gene expression resource</w:t>
      </w:r>
    </w:p>
    <w:p>
      <w:pPr>
        <w:pStyle w:val="ListParagraph"/>
        <w:numPr>
          <w:ilvl w:val="0"/>
          <w:numId w:val="1"/>
        </w:numPr>
        <w:spacing w:after="100" w:line="360"/>
      </w:pPr>
      <w:r>
        <w:rPr>
          <w:rFonts w:ascii="Arial" w:cs="Arial" w:eastAsia="Arial" w:hAnsi="Arial"/>
          <w:sz w:val="24"/>
          <w:szCs w:val="24"/>
        </w:rPr>
        <w:t xml:space="preserve">**Human Protein Atlas** - Immunohistochemistry and expression data</w:t>
      </w:r>
    </w:p>
    <w:p>
      <w:pPr>
        <w:pStyle w:val="ListParagraph"/>
        <w:numPr>
          <w:ilvl w:val="0"/>
          <w:numId w:val="1"/>
        </w:numPr>
        <w:spacing w:after="100" w:line="360"/>
      </w:pPr>
      <w:r>
        <w:rPr>
          <w:rFonts w:ascii="Arial" w:cs="Arial" w:eastAsia="Arial" w:hAnsi="Arial"/>
          <w:sz w:val="24"/>
          <w:szCs w:val="24"/>
        </w:rPr>
        <w:t xml:space="preserve">**STRING Database** - Protein interaction mapping</w:t>
      </w:r>
    </w:p>
    <w:p>
      <w:pPr>
        <w:pStyle w:val="ListParagraph"/>
        <w:numPr>
          <w:ilvl w:val="0"/>
          <w:numId w:val="1"/>
        </w:numPr>
        <w:spacing w:after="100" w:line="360"/>
      </w:pPr>
      <w:r>
        <w:rPr>
          <w:rFonts w:ascii="Arial" w:cs="Arial" w:eastAsia="Arial" w:hAnsi="Arial"/>
          <w:sz w:val="24"/>
          <w:szCs w:val="24"/>
        </w:rPr>
        <w:t xml:space="preserve">**ClinicalTrials.gov** - NIH registry with trial data</w:t>
      </w:r>
    </w:p>
    <w:p>
      <w:pPr>
        <w:pStyle w:val="ListParagraph"/>
        <w:numPr>
          <w:ilvl w:val="0"/>
          <w:numId w:val="1"/>
        </w:numPr>
        <w:spacing w:after="100" w:line="360"/>
      </w:pPr>
      <w:r>
        <w:rPr>
          <w:rFonts w:ascii="Arial" w:cs="Arial" w:eastAsia="Arial" w:hAnsi="Arial"/>
          <w:sz w:val="24"/>
          <w:szCs w:val="24"/>
        </w:rPr>
        <w:t xml:space="preserve">**FDA Orange Book** - Approved drugs with patent/exclusivity status</w:t>
      </w:r>
    </w:p>
    <w:p>
      <w:pPr>
        <w:pStyle w:val="ListParagraph"/>
        <w:numPr>
          <w:ilvl w:val="0"/>
          <w:numId w:val="1"/>
        </w:numPr>
        <w:spacing w:after="100" w:line="360"/>
      </w:pPr>
      <w:r>
        <w:rPr>
          <w:rFonts w:ascii="Arial" w:cs="Arial" w:eastAsia="Arial" w:hAnsi="Arial"/>
          <w:sz w:val="24"/>
          <w:szCs w:val="24"/>
        </w:rPr>
        <w:t xml:space="preserve">**Cortellis** - Clinical and regulatory intelligence platform</w:t>
      </w:r>
    </w:p>
    <w:p>
      <w:pPr>
        <w:pStyle w:val="ListParagraph"/>
        <w:numPr>
          <w:ilvl w:val="0"/>
          <w:numId w:val="1"/>
        </w:numPr>
        <w:spacing w:after="100" w:line="360"/>
      </w:pPr>
      <w:r>
        <w:rPr>
          <w:rFonts w:ascii="Arial" w:cs="Arial" w:eastAsia="Arial" w:hAnsi="Arial"/>
          <w:sz w:val="24"/>
          <w:szCs w:val="24"/>
        </w:rPr>
        <w:t xml:space="preserve">**Orphanet/NORD** - Rare disease epidemiology</w:t>
      </w:r>
    </w:p>
    <w:p>
      <w:pPr>
        <w:pStyle w:val="ListParagraph"/>
        <w:numPr>
          <w:ilvl w:val="0"/>
          <w:numId w:val="1"/>
        </w:numPr>
        <w:spacing w:after="100" w:line="360"/>
      </w:pPr>
      <w:r>
        <w:rPr>
          <w:rFonts w:ascii="Arial" w:cs="Arial" w:eastAsia="Arial" w:hAnsi="Arial"/>
          <w:sz w:val="24"/>
          <w:szCs w:val="24"/>
        </w:rPr>
        <w:t xml:space="preserve">**Pharmaprojects** - Commercial pipeline intelligence</w:t>
      </w:r>
    </w:p>
    <w:p>
      <w:pPr>
        <w:pStyle w:val="ListParagraph"/>
        <w:numPr>
          <w:ilvl w:val="0"/>
          <w:numId w:val="1"/>
        </w:numPr>
        <w:spacing w:after="100" w:line="360"/>
      </w:pPr>
      <w:r>
        <w:rPr>
          <w:rFonts w:ascii="Arial" w:cs="Arial" w:eastAsia="Arial" w:hAnsi="Arial"/>
          <w:sz w:val="24"/>
          <w:szCs w:val="24"/>
        </w:rPr>
        <w:t xml:space="preserve">**Chemical Suppliers (Sigma, Chemglass)** - Raw material pricing</w:t>
      </w:r>
    </w:p>
    <w:p>
      <w:pPr>
        <w:pStyle w:val="ListParagraph"/>
        <w:numPr>
          <w:ilvl w:val="0"/>
          <w:numId w:val="1"/>
        </w:numPr>
        <w:spacing w:after="100" w:line="360"/>
      </w:pPr>
      <w:r>
        <w:rPr>
          <w:rFonts w:ascii="Arial" w:cs="Arial" w:eastAsia="Arial" w:hAnsi="Arial"/>
          <w:sz w:val="24"/>
          <w:szCs w:val="24"/>
        </w:rPr>
        <w:t xml:space="preserve">**FDA CMC Guidance** - Chemistry, manufacturing, controls</w:t>
      </w:r>
    </w:p>
    <w:p>
      <w:pPr>
        <w:pStyle w:val="ListParagraph"/>
        <w:numPr>
          <w:ilvl w:val="0"/>
          <w:numId w:val="1"/>
        </w:numPr>
        <w:spacing w:after="100" w:line="360"/>
      </w:pPr>
      <w:r>
        <w:rPr>
          <w:rFonts w:ascii="Arial" w:cs="Arial" w:eastAsia="Arial" w:hAnsi="Arial"/>
          <w:sz w:val="24"/>
          <w:szCs w:val="24"/>
        </w:rPr>
        <w:t xml:space="preserve">**IQVIA Manufacturing Intelligence** - COGS benchmarking</w:t>
      </w:r>
    </w:p>
    <w:p>
      <w:pPr>
        <w:pStyle w:val="ListParagraph"/>
        <w:numPr>
          <w:ilvl w:val="0"/>
          <w:numId w:val="1"/>
        </w:numPr>
        <w:spacing w:after="100" w:line="360"/>
      </w:pPr>
      <w:r>
        <w:rPr>
          <w:rFonts w:ascii="Arial" w:cs="Arial" w:eastAsia="Arial" w:hAnsi="Arial"/>
          <w:sz w:val="24"/>
          <w:szCs w:val="24"/>
        </w:rPr>
        <w:t xml:space="preserve">**Google Patents / USPTO** - Patent search and analysis</w:t>
      </w:r>
    </w:p>
    <w:p>
      <w:pPr>
        <w:pStyle w:val="ListParagraph"/>
        <w:numPr>
          <w:ilvl w:val="0"/>
          <w:numId w:val="1"/>
        </w:numPr>
        <w:spacing w:after="100" w:line="360"/>
      </w:pPr>
      <w:r>
        <w:rPr>
          <w:rFonts w:ascii="Arial" w:cs="Arial" w:eastAsia="Arial" w:hAnsi="Arial"/>
          <w:sz w:val="24"/>
          <w:szCs w:val="24"/>
        </w:rPr>
        <w:t xml:space="preserve">**Espacenet (EPO)** - European patent database</w:t>
      </w:r>
    </w:p>
    <w:p>
      <w:pPr>
        <w:pStyle w:val="ListParagraph"/>
        <w:numPr>
          <w:ilvl w:val="0"/>
          <w:numId w:val="1"/>
        </w:numPr>
        <w:spacing w:after="100" w:line="360"/>
      </w:pPr>
      <w:r>
        <w:rPr>
          <w:rFonts w:ascii="Arial" w:cs="Arial" w:eastAsia="Arial" w:hAnsi="Arial"/>
          <w:sz w:val="24"/>
          <w:szCs w:val="24"/>
        </w:rPr>
        <w:t xml:space="preserve">**DrugBank** - PK/PD, toxicity, DDI data</w:t>
      </w:r>
    </w:p>
    <w:p>
      <w:pPr>
        <w:pStyle w:val="ListParagraph"/>
        <w:numPr>
          <w:ilvl w:val="0"/>
          <w:numId w:val="1"/>
        </w:numPr>
        <w:spacing w:after="100" w:line="360"/>
      </w:pPr>
      <w:r>
        <w:rPr>
          <w:rFonts w:ascii="Arial" w:cs="Arial" w:eastAsia="Arial" w:hAnsi="Arial"/>
          <w:sz w:val="24"/>
          <w:szCs w:val="24"/>
        </w:rPr>
        <w:t xml:space="preserve">**PubMed/MedLine** - Clinical trial publications</w:t>
      </w:r>
    </w:p>
    <w:p>
      <w:pPr>
        <w:pStyle w:val="ListParagraph"/>
        <w:numPr>
          <w:ilvl w:val="0"/>
          <w:numId w:val="1"/>
        </w:numPr>
        <w:spacing w:after="100" w:line="360"/>
      </w:pPr>
      <w:r>
        <w:rPr>
          <w:rFonts w:ascii="Arial" w:cs="Arial" w:eastAsia="Arial" w:hAnsi="Arial"/>
          <w:sz w:val="24"/>
          <w:szCs w:val="24"/>
        </w:rPr>
        <w:t xml:space="preserve">**SwissADME** - ADME properties prediction</w:t>
      </w:r>
    </w:p>
    <w:p>
      <w:pPr>
        <w:pStyle w:val="ListParagraph"/>
        <w:numPr>
          <w:ilvl w:val="0"/>
          <w:numId w:val="1"/>
        </w:numPr>
        <w:spacing w:after="100" w:line="360"/>
      </w:pPr>
      <w:r>
        <w:rPr>
          <w:rFonts w:ascii="Arial" w:cs="Arial" w:eastAsia="Arial" w:hAnsi="Arial"/>
          <w:sz w:val="24"/>
          <w:szCs w:val="24"/>
        </w:rPr>
        <w:t xml:space="preserve">**FDA Safety Database (FAERS)** - Adverse event reports</w:t>
      </w:r>
    </w:p>
    <w:p>
      <w:pPr>
        <w:pStyle w:val="ListParagraph"/>
        <w:numPr>
          <w:ilvl w:val="0"/>
          <w:numId w:val="1"/>
        </w:numPr>
        <w:spacing w:after="100" w:line="360"/>
      </w:pPr>
      <w:r>
        <w:rPr>
          <w:rFonts w:ascii="Arial" w:cs="Arial" w:eastAsia="Arial" w:hAnsi="Arial"/>
          <w:sz w:val="24"/>
          <w:szCs w:val="24"/>
        </w:rPr>
        <w:t xml:space="preserve">**Certara / Simcyp** - PK/PD modeling platforms</w:t>
      </w:r>
    </w:p>
    <w:p>
      <w:pPr>
        <w:pStyle w:val="ListParagraph"/>
        <w:numPr>
          <w:ilvl w:val="0"/>
          <w:numId w:val="1"/>
        </w:numPr>
        <w:spacing w:after="100" w:line="360"/>
      </w:pPr>
      <w:r>
        <w:rPr>
          <w:rFonts w:ascii="Arial" w:cs="Arial" w:eastAsia="Arial" w:hAnsi="Arial"/>
          <w:sz w:val="24"/>
          <w:szCs w:val="24"/>
        </w:rPr>
        <w:t xml:space="preserve">**IQVIA ProDataTrac / Pharmaprices** - Drug pricing databases</w:t>
      </w:r>
    </w:p>
    <w:p>
      <w:pPr>
        <w:pStyle w:val="ListParagraph"/>
        <w:numPr>
          <w:ilvl w:val="0"/>
          <w:numId w:val="1"/>
        </w:numPr>
        <w:spacing w:after="100" w:line="360"/>
      </w:pPr>
      <w:r>
        <w:rPr>
          <w:rFonts w:ascii="Arial" w:cs="Arial" w:eastAsia="Arial" w:hAnsi="Arial"/>
          <w:sz w:val="24"/>
          <w:szCs w:val="24"/>
        </w:rPr>
        <w:t xml:space="preserve">**CMS Drug Pricing Data** - Medicare/Medicaid reimbursement</w:t>
      </w:r>
    </w:p>
    <w:p>
      <w:pPr>
        <w:pStyle w:val="ListParagraph"/>
        <w:numPr>
          <w:ilvl w:val="0"/>
          <w:numId w:val="1"/>
        </w:numPr>
        <w:spacing w:after="100" w:line="360"/>
      </w:pPr>
      <w:r>
        <w:rPr>
          <w:rFonts w:ascii="Arial" w:cs="Arial" w:eastAsia="Arial" w:hAnsi="Arial"/>
          <w:sz w:val="24"/>
          <w:szCs w:val="24"/>
        </w:rPr>
        <w:t xml:space="preserve">**Optum/United/Aetna Policies** - Payer coverage criteria</w:t>
      </w:r>
    </w:p>
    <w:p>
      <w:pPr>
        <w:pStyle w:val="ListParagraph"/>
        <w:numPr>
          <w:ilvl w:val="0"/>
          <w:numId w:val="1"/>
        </w:numPr>
        <w:spacing w:after="100" w:line="360"/>
      </w:pPr>
      <w:r>
        <w:rPr>
          <w:rFonts w:ascii="Arial" w:cs="Arial" w:eastAsia="Arial" w:hAnsi="Arial"/>
          <w:sz w:val="24"/>
          <w:szCs w:val="24"/>
        </w:rPr>
        <w:t xml:space="preserve">**ICER / NICE** - Health economic models</w:t>
      </w:r>
    </w:p>
    <w:p>
      <w:pPr>
        <w:pStyle w:val="ListParagraph"/>
        <w:numPr>
          <w:ilvl w:val="0"/>
          <w:numId w:val="1"/>
        </w:numPr>
        <w:spacing w:after="100" w:line="360"/>
      </w:pPr>
      <w:r>
        <w:rPr>
          <w:rFonts w:ascii="Arial" w:cs="Arial" w:eastAsia="Arial" w:hAnsi="Arial"/>
          <w:sz w:val="24"/>
          <w:szCs w:val="24"/>
        </w:rPr>
        <w:t xml:space="preserve">**GlobalData / Evaluate Pharma** - Market forecasts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2026-02-27T18:57:37.771Z</dcterms:created>
  <dcterms:modified xsi:type="dcterms:W3CDTF">2026-02-27T18:57:37.772Z</dcterms:modified>
</cp:coreProperties>
</file>

<file path=docProps/custom.xml><?xml version="1.0" encoding="utf-8"?>
<Properties xmlns="http://schemas.openxmlformats.org/officeDocument/2006/custom-properties" xmlns:vt="http://schemas.openxmlformats.org/officeDocument/2006/docPropsVTypes"/>
</file>