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Heading1"/>
        <w:spacing w:after="200" w:line="360"/>
      </w:pPr>
      <w:r>
        <w:t xml:space="preserve">Sapphire Pipeline Workflow</w:t>
      </w:r>
    </w:p>
    <w:p>
      <w:pPr>
        <w:pStyle w:val="Heading2"/>
        <w:pStyle w:val="Heading2"/>
        <w:spacing w:after="200" w:line="360"/>
      </w:pPr>
      <w:r>
        <w:t xml:space="preserve">Pipeline 074: First-In-Class CNS Franchise Target Cluster Selection</w:t>
      </w:r>
    </w:p>
    <w:p>
      <w:pPr>
        <w:spacing w:after="200" w:line="360"/>
      </w:pPr>
      <w:r>
        <w:rPr>
          <w:rFonts w:ascii="Arial" w:cs="Arial" w:eastAsia="Arial" w:hAnsi="Arial"/>
          <w:b w:val="false"/>
          <w:bCs w:val="false"/>
          <w:sz w:val="24"/>
          <w:szCs w:val="24"/>
        </w:rPr>
        <w:t xml:space="preserve">This pipeline systematically evaluates Quiver-derived target clusters for their potential to anchor a first-in-class CNS therapeutic franchise with multiple modalities (ASO, small molecule, biologics), addressing a breadth of neurological indications with shared mechanistic underpinnings. The framework synthesizes Quiver EP phenotype clustering, target essentiality, indication addressability, competitive white space, and long-term revenue potential to identify the franchise with highest strategic value.</w:t>
      </w:r>
    </w:p>
    <w:p>
      <w:pPr>
        <w:pStyle w:val="Heading2"/>
        <w:pStyle w:val="Heading2"/>
        <w:spacing w:after="200" w:line="360"/>
      </w:pPr>
      <w:r>
        <w:t xml:space="preserve">Pipeline Overview</w:t>
      </w:r>
    </w:p>
    <w:p>
      <w:pPr>
        <w:spacing w:after="200" w:line="360"/>
      </w:pPr>
      <w:r>
        <w:rPr>
          <w:rFonts w:ascii="Arial" w:cs="Arial" w:eastAsia="Arial" w:hAnsi="Arial"/>
          <w:b w:val="false"/>
          <w:bCs w:val="false"/>
          <w:sz w:val="24"/>
          <w:szCs w:val="24"/>
        </w:rPr>
        <w:t xml:space="preserve">First-in-class franchises represent the apex of pharmaceutical R&amp;D strategy, where a single target or target cluster yields multiple approved products across different indications, each expanding the market opportunity and revenue trajectory. Quiver CRISPR perturbations generate EP phenotype clusters that may naturally align with disease-relevant mechanisms (e.g., synaptic dysfunction, excitability imbalance, mitochondrial stress) that are shared across multiple neurological indications.</w:t>
      </w:r>
    </w:p>
    <w:p>
      <w:pPr>
        <w:spacing w:after="200" w:line="360"/>
      </w:pPr>
      <w:r>
        <w:rPr>
          <w:rFonts w:ascii="Arial" w:cs="Arial" w:eastAsia="Arial" w:hAnsi="Arial"/>
          <w:b w:val="false"/>
          <w:bCs w:val="false"/>
          <w:sz w:val="24"/>
          <w:szCs w:val="24"/>
        </w:rPr>
        <w:t xml:space="preserve">This workflow evaluates six critical franchise dimensions: (1) indication breadth and addressability across CNS therapeutic areas (neurodegeneration, neuroinflammation, seizure, psychiatric, developmental); (2) competitive white space and first-mover advantage; (3) platform leverage enabling both small molecule and ASO approaches; (4) pipeline depth with multiple backup targets; (5) translational evidence strength; and (6) 10-year NPV and commercial scalability.</w:t>
      </w:r>
    </w:p>
    <w:p>
      <w:pPr>
        <w:pStyle w:val="Heading2"/>
        <w:pStyle w:val="Heading2"/>
        <w:spacing w:after="200" w:line="360"/>
      </w:pPr>
      <w:r>
        <w:t xml:space="preserve">Stage 1: Quiver Cluster Identification &amp; Phenotype Decomposition</w:t>
      </w:r>
    </w:p>
    <w:p>
      <w:pPr>
        <w:spacing w:after="200" w:line="360"/>
      </w:pPr>
      <w:r>
        <w:rPr>
          <w:rFonts w:ascii="Arial" w:cs="Arial" w:eastAsia="Arial" w:hAnsi="Arial"/>
          <w:b w:val="false"/>
          <w:bCs w:val="false"/>
          <w:sz w:val="24"/>
          <w:szCs w:val="24"/>
        </w:rPr>
        <w:t xml:space="preserve">Purpose: Identify Quiver EP phenotype clusters that share common mechanistic signatures across multiple target genes, enabling indication-agnostic franchise anchoring. This stage decomposes Quiver phenotypes into reusable mechanistic modules (synaptic dysfunction, excitability dysregulation, network imbalance) that predict cross-indication applicability.</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Quiver CRISPR knockdown EP dataset (18,000 perturbations, 6-12 phenotypes per gene)</w:t>
      </w:r>
    </w:p>
    <w:p>
      <w:pPr>
        <w:pStyle w:val="ListParagraph"/>
        <w:numPr>
          <w:ilvl w:val="0"/>
          <w:numId w:val="1"/>
        </w:numPr>
        <w:spacing w:after="100" w:line="360"/>
      </w:pPr>
      <w:r>
        <w:rPr>
          <w:rFonts w:ascii="Arial" w:cs="Arial" w:eastAsia="Arial" w:hAnsi="Arial"/>
          <w:sz w:val="24"/>
          <w:szCs w:val="24"/>
        </w:rPr>
        <w:t xml:space="preserve">Gene-to-KEGG pathway mapping and GO biological process annotations</w:t>
      </w:r>
    </w:p>
    <w:p>
      <w:pPr>
        <w:pStyle w:val="ListParagraph"/>
        <w:numPr>
          <w:ilvl w:val="0"/>
          <w:numId w:val="1"/>
        </w:numPr>
        <w:spacing w:after="100" w:line="360"/>
      </w:pPr>
      <w:r>
        <w:rPr>
          <w:rFonts w:ascii="Arial" w:cs="Arial" w:eastAsia="Arial" w:hAnsi="Arial"/>
          <w:sz w:val="24"/>
          <w:szCs w:val="24"/>
        </w:rPr>
        <w:t xml:space="preserve">Disease-specific EP signatures from patient iPSC neurons or postmortem tissue</w:t>
      </w:r>
    </w:p>
    <w:p>
      <w:pPr>
        <w:pStyle w:val="ListParagraph"/>
        <w:numPr>
          <w:ilvl w:val="0"/>
          <w:numId w:val="1"/>
        </w:numPr>
        <w:spacing w:after="100" w:line="360"/>
      </w:pPr>
      <w:r>
        <w:rPr>
          <w:rFonts w:ascii="Arial" w:cs="Arial" w:eastAsia="Arial" w:hAnsi="Arial"/>
          <w:sz w:val="24"/>
          <w:szCs w:val="24"/>
        </w:rPr>
        <w:t xml:space="preserve">Target gene expression profiles in neuronal subtypes (excitatory, inhibitory, glial)</w:t>
      </w:r>
    </w:p>
    <w:p>
      <w:pPr>
        <w:pStyle w:val="ListParagraph"/>
        <w:numPr>
          <w:ilvl w:val="0"/>
          <w:numId w:val="1"/>
        </w:numPr>
        <w:spacing w:after="100" w:line="360"/>
      </w:pPr>
      <w:r>
        <w:rPr>
          <w:rFonts w:ascii="Arial" w:cs="Arial" w:eastAsia="Arial" w:hAnsi="Arial"/>
          <w:sz w:val="24"/>
          <w:szCs w:val="24"/>
        </w:rPr>
        <w:t xml:space="preserve">Known target genetics from human GWAS and rare variant studies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**Quiver EP Embedding Space**: High-dimensional phenotype clustering enabling target discovery</w:t>
      </w:r>
    </w:p>
    <w:p>
      <w:pPr>
        <w:pStyle w:val="ListParagraph"/>
        <w:numPr>
          <w:ilvl w:val="0"/>
          <w:numId w:val="1"/>
        </w:numPr>
        <w:spacing w:after="100" w:line="360"/>
      </w:pPr>
      <w:r>
        <w:rPr>
          <w:rFonts w:ascii="Arial" w:cs="Arial" w:eastAsia="Arial" w:hAnsi="Arial"/>
          <w:sz w:val="24"/>
          <w:szCs w:val="24"/>
        </w:rPr>
        <w:t xml:space="preserve">**KEGG Pathway Database**: Gene set to pathway mapping for mechanistic cluster validation</w:t>
      </w:r>
    </w:p>
    <w:p>
      <w:pPr>
        <w:pStyle w:val="ListParagraph"/>
        <w:numPr>
          <w:ilvl w:val="0"/>
          <w:numId w:val="1"/>
        </w:numPr>
        <w:spacing w:after="100" w:line="360"/>
      </w:pPr>
      <w:r>
        <w:rPr>
          <w:rFonts w:ascii="Arial" w:cs="Arial" w:eastAsia="Arial" w:hAnsi="Arial"/>
          <w:sz w:val="24"/>
          <w:szCs w:val="24"/>
        </w:rPr>
        <w:t xml:space="preserve">**Gene Ontology (GO)**: Standardized gene function annotation across processes</w:t>
      </w:r>
    </w:p>
    <w:p>
      <w:pPr>
        <w:pStyle w:val="ListParagraph"/>
        <w:numPr>
          <w:ilvl w:val="0"/>
          <w:numId w:val="1"/>
        </w:numPr>
        <w:spacing w:after="100" w:line="360"/>
      </w:pPr>
      <w:r>
        <w:rPr>
          <w:rFonts w:ascii="Arial" w:cs="Arial" w:eastAsia="Arial" w:hAnsi="Arial"/>
          <w:sz w:val="24"/>
          <w:szCs w:val="24"/>
        </w:rPr>
        <w:t xml:space="preserve">**GWAS Catalog / NHGRI**: Human disease-associated variants and locus mapping</w:t>
      </w:r>
    </w:p>
    <w:p>
      <w:pPr>
        <w:pStyle w:val="ListParagraph"/>
        <w:numPr>
          <w:ilvl w:val="0"/>
          <w:numId w:val="1"/>
        </w:numPr>
        <w:spacing w:after="100" w:line="360"/>
      </w:pPr>
      <w:r>
        <w:rPr>
          <w:rFonts w:ascii="Arial" w:cs="Arial" w:eastAsia="Arial" w:hAnsi="Arial"/>
          <w:sz w:val="24"/>
          <w:szCs w:val="24"/>
        </w:rPr>
        <w:t xml:space="preserve">**Disease-Specific EP Databases**: Patient-derived iPSC/postmortem tissue phenotypes</w:t>
      </w:r>
    </w:p>
    <w:p>
      <w:pPr>
        <w:pStyle w:val="ListParagraph"/>
        <w:numPr>
          <w:ilvl w:val="0"/>
          <w:numId w:val="1"/>
        </w:numPr>
        <w:spacing w:after="100" w:line="360"/>
      </w:pPr>
      <w:r>
        <w:rPr>
          <w:rFonts w:ascii="Arial" w:cs="Arial" w:eastAsia="Arial" w:hAnsi="Arial"/>
          <w:sz w:val="24"/>
          <w:szCs w:val="24"/>
        </w:rPr>
        <w:t xml:space="preserve">**Allen Brain Atlas**: Single-cell transcriptomics and neuronal subtype expression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Which Quiver targets generate overlapping EP phenotypes, indicating mechanistic convergence?</w:t>
      </w:r>
    </w:p>
    <w:p>
      <w:pPr>
        <w:pStyle w:val="ListParagraph"/>
        <w:numPr>
          <w:ilvl w:val="0"/>
          <w:numId w:val="1"/>
        </w:numPr>
        <w:spacing w:after="100" w:line="360"/>
      </w:pPr>
      <w:r>
        <w:rPr>
          <w:rFonts w:ascii="Arial" w:cs="Arial" w:eastAsia="Arial" w:hAnsi="Arial"/>
          <w:sz w:val="24"/>
          <w:szCs w:val="24"/>
        </w:rPr>
        <w:t xml:space="preserve">Can Quiver phenotypes be clustered by disease signature using GWAS risk genes as anchors?</w:t>
      </w:r>
    </w:p>
    <w:p>
      <w:pPr>
        <w:pStyle w:val="ListParagraph"/>
        <w:numPr>
          <w:ilvl w:val="0"/>
          <w:numId w:val="1"/>
        </w:numPr>
        <w:spacing w:after="100" w:line="360"/>
      </w:pPr>
      <w:r>
        <w:rPr>
          <w:rFonts w:ascii="Arial" w:cs="Arial" w:eastAsia="Arial" w:hAnsi="Arial"/>
          <w:sz w:val="24"/>
          <w:szCs w:val="24"/>
        </w:rPr>
        <w:t xml:space="preserve">Which target clusters show consistent phenotypes across neuronal cell types?</w:t>
      </w:r>
    </w:p>
    <w:p>
      <w:pPr>
        <w:pStyle w:val="ListParagraph"/>
        <w:numPr>
          <w:ilvl w:val="0"/>
          <w:numId w:val="1"/>
        </w:numPr>
        <w:spacing w:after="100" w:line="360"/>
      </w:pPr>
      <w:r>
        <w:rPr>
          <w:rFonts w:ascii="Arial" w:cs="Arial" w:eastAsia="Arial" w:hAnsi="Arial"/>
          <w:sz w:val="24"/>
          <w:szCs w:val="24"/>
        </w:rPr>
        <w:t xml:space="preserve">What biological pathways are overrepresented in each phenotypic cluster?</w:t>
      </w:r>
    </w:p>
    <w:p>
      <w:pPr>
        <w:pStyle w:val="ListParagraph"/>
        <w:numPr>
          <w:ilvl w:val="0"/>
          <w:numId w:val="1"/>
        </w:numPr>
        <w:spacing w:after="100" w:line="360"/>
      </w:pPr>
      <w:r>
        <w:rPr>
          <w:rFonts w:ascii="Arial" w:cs="Arial" w:eastAsia="Arial" w:hAnsi="Arial"/>
          <w:sz w:val="24"/>
          <w:szCs w:val="24"/>
        </w:rPr>
        <w:t xml:space="preserve">Which clusters have human genetic evidence and strong Quiver phenotype support?</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Quiver phenotype cluster map with 15-20 core targets and phenotypic fingerprint</w:t>
      </w:r>
    </w:p>
    <w:p>
      <w:pPr>
        <w:pStyle w:val="ListParagraph"/>
        <w:numPr>
          <w:ilvl w:val="0"/>
          <w:numId w:val="1"/>
        </w:numPr>
        <w:spacing w:after="100" w:line="360"/>
      </w:pPr>
      <w:r>
        <w:rPr>
          <w:rFonts w:ascii="Arial" w:cs="Arial" w:eastAsia="Arial" w:hAnsi="Arial"/>
          <w:sz w:val="24"/>
          <w:szCs w:val="24"/>
        </w:rPr>
        <w:t xml:space="preserve">Disease-signature matching matrix (autism, schizophrenia, Alzheimer's, ALS, epilepsy)</w:t>
      </w:r>
    </w:p>
    <w:p>
      <w:pPr>
        <w:pStyle w:val="ListParagraph"/>
        <w:numPr>
          <w:ilvl w:val="0"/>
          <w:numId w:val="1"/>
        </w:numPr>
        <w:spacing w:after="100" w:line="360"/>
      </w:pPr>
      <w:r>
        <w:rPr>
          <w:rFonts w:ascii="Arial" w:cs="Arial" w:eastAsia="Arial" w:hAnsi="Arial"/>
          <w:sz w:val="24"/>
          <w:szCs w:val="24"/>
        </w:rPr>
        <w:t xml:space="preserve">KEGG pathway enrichment with statistical significance (FDR &lt;0.05)</w:t>
      </w:r>
    </w:p>
    <w:p>
      <w:pPr>
        <w:pStyle w:val="ListParagraph"/>
        <w:numPr>
          <w:ilvl w:val="0"/>
          <w:numId w:val="1"/>
        </w:numPr>
        <w:spacing w:after="100" w:line="360"/>
      </w:pPr>
      <w:r>
        <w:rPr>
          <w:rFonts w:ascii="Arial" w:cs="Arial" w:eastAsia="Arial" w:hAnsi="Arial"/>
          <w:sz w:val="24"/>
          <w:szCs w:val="24"/>
        </w:rPr>
        <w:t xml:space="preserve">Gene ontology heatmap of processes overrepresented in clusters</w:t>
      </w:r>
    </w:p>
    <w:p>
      <w:pPr>
        <w:pStyle w:val="ListParagraph"/>
        <w:numPr>
          <w:ilvl w:val="0"/>
          <w:numId w:val="1"/>
        </w:numPr>
        <w:spacing w:after="100" w:line="360"/>
      </w:pPr>
      <w:r>
        <w:rPr>
          <w:rFonts w:ascii="Arial" w:cs="Arial" w:eastAsia="Arial" w:hAnsi="Arial"/>
          <w:sz w:val="24"/>
          <w:szCs w:val="24"/>
        </w:rPr>
        <w:t xml:space="preserve">GWAS risk allele overlap analysis for genetic validation</w:t>
      </w:r>
    </w:p>
    <w:p>
      <w:pPr>
        <w:pStyle w:val="ListParagraph"/>
        <w:numPr>
          <w:ilvl w:val="0"/>
          <w:numId w:val="1"/>
        </w:numPr>
        <w:spacing w:after="100" w:line="360"/>
      </w:pPr>
      <w:r>
        <w:rPr>
          <w:rFonts w:ascii="Arial" w:cs="Arial" w:eastAsia="Arial" w:hAnsi="Arial"/>
          <w:sz w:val="24"/>
          <w:szCs w:val="24"/>
        </w:rPr>
        <w:t xml:space="preserve">Cluster stability assessment (cross-validation resampling)</w:t>
      </w:r>
    </w:p>
    <w:p>
      <w:pPr>
        <w:spacing w:after="200" w:line="360"/>
      </w:pPr>
      <w:r>
        <w:rPr>
          <w:rFonts w:ascii="Arial" w:cs="Arial" w:eastAsia="Arial" w:hAnsi="Arial"/>
          <w:b w:val="false"/>
          <w:bCs w:val="false"/>
          <w:sz w:val="24"/>
          <w:szCs w:val="24"/>
        </w:rPr>
        <w:t xml:space="preserve">Format: Cluster heatmap (targets vs phenotypes) with hierarchical dendrogram, disease-signature scatterplot, pathway enrichment bar chart, GWAS overlap summary.</w:t>
      </w:r>
    </w:p>
    <w:p>
      <w:pPr>
        <w:pStyle w:val="Heading2"/>
        <w:pStyle w:val="Heading2"/>
        <w:spacing w:after="200" w:line="360"/>
      </w:pPr>
      <w:r>
        <w:t xml:space="preserve">Stage 2: Indication Addressability &amp; Therapeutic Breadth</w:t>
      </w:r>
    </w:p>
    <w:p>
      <w:pPr>
        <w:spacing w:after="200" w:line="360"/>
      </w:pPr>
      <w:r>
        <w:rPr>
          <w:rFonts w:ascii="Arial" w:cs="Arial" w:eastAsia="Arial" w:hAnsi="Arial"/>
          <w:b w:val="false"/>
          <w:bCs w:val="false"/>
          <w:sz w:val="24"/>
          <w:szCs w:val="24"/>
        </w:rPr>
        <w:t xml:space="preserve">Purpose: Map each target cluster to addressable neurological indications based on target expression, disease mechanism relevance, and patient population size. A high-value franchise cluster should address 3-5 distinct indications with total addressable market (TAM) &gt;$2B annually.</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gene expression in disease-relevant tissues (prefrontal cortex, hippocampus, motor cortex)</w:t>
      </w:r>
    </w:p>
    <w:p>
      <w:pPr>
        <w:pStyle w:val="ListParagraph"/>
        <w:numPr>
          <w:ilvl w:val="0"/>
          <w:numId w:val="1"/>
        </w:numPr>
        <w:spacing w:after="100" w:line="360"/>
      </w:pPr>
      <w:r>
        <w:rPr>
          <w:rFonts w:ascii="Arial" w:cs="Arial" w:eastAsia="Arial" w:hAnsi="Arial"/>
          <w:sz w:val="24"/>
          <w:szCs w:val="24"/>
        </w:rPr>
        <w:t xml:space="preserve">Disease-specific pathogenic mechanisms (synaptic loss, GABA dysfunction, dopamine dysregulation)</w:t>
      </w:r>
    </w:p>
    <w:p>
      <w:pPr>
        <w:pStyle w:val="ListParagraph"/>
        <w:numPr>
          <w:ilvl w:val="0"/>
          <w:numId w:val="1"/>
        </w:numPr>
        <w:spacing w:after="100" w:line="360"/>
      </w:pPr>
      <w:r>
        <w:rPr>
          <w:rFonts w:ascii="Arial" w:cs="Arial" w:eastAsia="Arial" w:hAnsi="Arial"/>
          <w:sz w:val="24"/>
          <w:szCs w:val="24"/>
        </w:rPr>
        <w:t xml:space="preserve">Patient population sizes for candidate indications (prevalence, incidence, unmet need)</w:t>
      </w:r>
    </w:p>
    <w:p>
      <w:pPr>
        <w:pStyle w:val="ListParagraph"/>
        <w:numPr>
          <w:ilvl w:val="0"/>
          <w:numId w:val="1"/>
        </w:numPr>
        <w:spacing w:after="100" w:line="360"/>
      </w:pPr>
      <w:r>
        <w:rPr>
          <w:rFonts w:ascii="Arial" w:cs="Arial" w:eastAsia="Arial" w:hAnsi="Arial"/>
          <w:sz w:val="24"/>
          <w:szCs w:val="24"/>
        </w:rPr>
        <w:t xml:space="preserve">Published clinical trial data showing phenotypic relevance to indication endpoints</w:t>
      </w:r>
    </w:p>
    <w:p>
      <w:pPr>
        <w:pStyle w:val="ListParagraph"/>
        <w:numPr>
          <w:ilvl w:val="0"/>
          <w:numId w:val="1"/>
        </w:numPr>
        <w:spacing w:after="100" w:line="360"/>
      </w:pPr>
      <w:r>
        <w:rPr>
          <w:rFonts w:ascii="Arial" w:cs="Arial" w:eastAsia="Arial" w:hAnsi="Arial"/>
          <w:sz w:val="24"/>
          <w:szCs w:val="24"/>
        </w:rPr>
        <w:t xml:space="preserve">Standard-of-care efficacy benchmarks and unmet medical need severity</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**Human Protein Atlas / BrainSpan**: Spatial and temporal CNS expression patterns</w:t>
      </w:r>
    </w:p>
    <w:p>
      <w:pPr>
        <w:pStyle w:val="ListParagraph"/>
        <w:numPr>
          <w:ilvl w:val="0"/>
          <w:numId w:val="1"/>
        </w:numPr>
        <w:spacing w:after="100" w:line="360"/>
      </w:pPr>
      <w:r>
        <w:rPr>
          <w:rFonts w:ascii="Arial" w:cs="Arial" w:eastAsia="Arial" w:hAnsi="Arial"/>
          <w:sz w:val="24"/>
          <w:szCs w:val="24"/>
        </w:rPr>
        <w:t xml:space="preserve">**ClinicalTrials.gov**: Ongoing trials for indications with phase and enrollment tracking</w:t>
      </w:r>
    </w:p>
    <w:p>
      <w:pPr>
        <w:pStyle w:val="ListParagraph"/>
        <w:numPr>
          <w:ilvl w:val="0"/>
          <w:numId w:val="1"/>
        </w:numPr>
        <w:spacing w:after="100" w:line="360"/>
      </w:pPr>
      <w:r>
        <w:rPr>
          <w:rFonts w:ascii="Arial" w:cs="Arial" w:eastAsia="Arial" w:hAnsi="Arial"/>
          <w:sz w:val="24"/>
          <w:szCs w:val="24"/>
        </w:rPr>
        <w:t xml:space="preserve">**Disease Natural History Databases**: Orphanet, NORD, NIH RARE-X for sizing</w:t>
      </w:r>
    </w:p>
    <w:p>
      <w:pPr>
        <w:pStyle w:val="ListParagraph"/>
        <w:numPr>
          <w:ilvl w:val="0"/>
          <w:numId w:val="1"/>
        </w:numPr>
        <w:spacing w:after="100" w:line="360"/>
      </w:pPr>
      <w:r>
        <w:rPr>
          <w:rFonts w:ascii="Arial" w:cs="Arial" w:eastAsia="Arial" w:hAnsi="Arial"/>
          <w:sz w:val="24"/>
          <w:szCs w:val="24"/>
        </w:rPr>
        <w:t xml:space="preserve">**Published GWAS Loci**: Disease-associated variants for mechanistic validation</w:t>
      </w:r>
    </w:p>
    <w:p>
      <w:pPr>
        <w:pStyle w:val="ListParagraph"/>
        <w:numPr>
          <w:ilvl w:val="0"/>
          <w:numId w:val="1"/>
        </w:numPr>
        <w:spacing w:after="100" w:line="360"/>
      </w:pPr>
      <w:r>
        <w:rPr>
          <w:rFonts w:ascii="Arial" w:cs="Arial" w:eastAsia="Arial" w:hAnsi="Arial"/>
          <w:sz w:val="24"/>
          <w:szCs w:val="24"/>
        </w:rPr>
        <w:t xml:space="preserve">**Market Research Reports (GlobalData, Evaluate)**: Market size projections</w:t>
      </w:r>
    </w:p>
    <w:p>
      <w:pPr>
        <w:pStyle w:val="ListParagraph"/>
        <w:numPr>
          <w:ilvl w:val="0"/>
          <w:numId w:val="1"/>
        </w:numPr>
        <w:spacing w:after="100" w:line="360"/>
      </w:pPr>
      <w:r>
        <w:rPr>
          <w:rFonts w:ascii="Arial" w:cs="Arial" w:eastAsia="Arial" w:hAnsi="Arial"/>
          <w:sz w:val="24"/>
          <w:szCs w:val="24"/>
        </w:rPr>
        <w:t xml:space="preserve">**Unmet Medical Need Framework**: WHO and FDA guidance on indication selection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Which neurological indications are most mechanistically aligned with each cluster?</w:t>
      </w:r>
    </w:p>
    <w:p>
      <w:pPr>
        <w:pStyle w:val="ListParagraph"/>
        <w:numPr>
          <w:ilvl w:val="0"/>
          <w:numId w:val="1"/>
        </w:numPr>
        <w:spacing w:after="100" w:line="360"/>
      </w:pPr>
      <w:r>
        <w:rPr>
          <w:rFonts w:ascii="Arial" w:cs="Arial" w:eastAsia="Arial" w:hAnsi="Arial"/>
          <w:sz w:val="24"/>
          <w:szCs w:val="24"/>
        </w:rPr>
        <w:t xml:space="preserve">What is the patient population size and total addressable market (TAM)?</w:t>
      </w:r>
    </w:p>
    <w:p>
      <w:pPr>
        <w:pStyle w:val="ListParagraph"/>
        <w:numPr>
          <w:ilvl w:val="0"/>
          <w:numId w:val="1"/>
        </w:numPr>
        <w:spacing w:after="100" w:line="360"/>
      </w:pPr>
      <w:r>
        <w:rPr>
          <w:rFonts w:ascii="Arial" w:cs="Arial" w:eastAsia="Arial" w:hAnsi="Arial"/>
          <w:sz w:val="24"/>
          <w:szCs w:val="24"/>
        </w:rPr>
        <w:t xml:space="preserve">Which indications have the strongest unmet medical need?</w:t>
      </w:r>
    </w:p>
    <w:p>
      <w:pPr>
        <w:pStyle w:val="ListParagraph"/>
        <w:numPr>
          <w:ilvl w:val="0"/>
          <w:numId w:val="1"/>
        </w:numPr>
        <w:spacing w:after="100" w:line="360"/>
      </w:pPr>
      <w:r>
        <w:rPr>
          <w:rFonts w:ascii="Arial" w:cs="Arial" w:eastAsia="Arial" w:hAnsi="Arial"/>
          <w:sz w:val="24"/>
          <w:szCs w:val="24"/>
        </w:rPr>
        <w:t xml:space="preserve">Are there rapid-progression or severe subpopulations accelerating approval?</w:t>
      </w:r>
    </w:p>
    <w:p>
      <w:pPr>
        <w:pStyle w:val="ListParagraph"/>
        <w:numPr>
          <w:ilvl w:val="0"/>
          <w:numId w:val="1"/>
        </w:numPr>
        <w:spacing w:after="100" w:line="360"/>
      </w:pPr>
      <w:r>
        <w:rPr>
          <w:rFonts w:ascii="Arial" w:cs="Arial" w:eastAsia="Arial" w:hAnsi="Arial"/>
          <w:sz w:val="24"/>
          <w:szCs w:val="24"/>
        </w:rPr>
        <w:t xml:space="preserve">How many distinct indications can one cluster address optimally?</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Target-to-indication mapping matrix with mechanistic fit scores (0-100)</w:t>
      </w:r>
    </w:p>
    <w:p>
      <w:pPr>
        <w:pStyle w:val="ListParagraph"/>
        <w:numPr>
          <w:ilvl w:val="0"/>
          <w:numId w:val="1"/>
        </w:numPr>
        <w:spacing w:after="100" w:line="360"/>
      </w:pPr>
      <w:r>
        <w:rPr>
          <w:rFonts w:ascii="Arial" w:cs="Arial" w:eastAsia="Arial" w:hAnsi="Arial"/>
          <w:sz w:val="24"/>
          <w:szCs w:val="24"/>
        </w:rPr>
        <w:t xml:space="preserve">Patient population sizing worksheet for each indication</w:t>
      </w:r>
    </w:p>
    <w:p>
      <w:pPr>
        <w:pStyle w:val="ListParagraph"/>
        <w:numPr>
          <w:ilvl w:val="0"/>
          <w:numId w:val="1"/>
        </w:numPr>
        <w:spacing w:after="100" w:line="360"/>
      </w:pPr>
      <w:r>
        <w:rPr>
          <w:rFonts w:ascii="Arial" w:cs="Arial" w:eastAsia="Arial" w:hAnsi="Arial"/>
          <w:sz w:val="24"/>
          <w:szCs w:val="24"/>
        </w:rPr>
        <w:t xml:space="preserve">Total addressable market (TAM) estimate for US, EU, Japan</w:t>
      </w:r>
    </w:p>
    <w:p>
      <w:pPr>
        <w:pStyle w:val="ListParagraph"/>
        <w:numPr>
          <w:ilvl w:val="0"/>
          <w:numId w:val="1"/>
        </w:numPr>
        <w:spacing w:after="100" w:line="360"/>
      </w:pPr>
      <w:r>
        <w:rPr>
          <w:rFonts w:ascii="Arial" w:cs="Arial" w:eastAsia="Arial" w:hAnsi="Arial"/>
          <w:sz w:val="24"/>
          <w:szCs w:val="24"/>
        </w:rPr>
        <w:t xml:space="preserve">Unmet medical need assessment vs standard of care</w:t>
      </w:r>
    </w:p>
    <w:p>
      <w:pPr>
        <w:pStyle w:val="ListParagraph"/>
        <w:numPr>
          <w:ilvl w:val="0"/>
          <w:numId w:val="1"/>
        </w:numPr>
        <w:spacing w:after="100" w:line="360"/>
      </w:pPr>
      <w:r>
        <w:rPr>
          <w:rFonts w:ascii="Arial" w:cs="Arial" w:eastAsia="Arial" w:hAnsi="Arial"/>
          <w:sz w:val="24"/>
          <w:szCs w:val="24"/>
        </w:rPr>
        <w:t xml:space="preserve">Regulatory pathway assessment (accelerated, breakthrough, orphan)</w:t>
      </w:r>
    </w:p>
    <w:p>
      <w:pPr>
        <w:pStyle w:val="ListParagraph"/>
        <w:numPr>
          <w:ilvl w:val="0"/>
          <w:numId w:val="1"/>
        </w:numPr>
        <w:spacing w:after="100" w:line="360"/>
      </w:pPr>
      <w:r>
        <w:rPr>
          <w:rFonts w:ascii="Arial" w:cs="Arial" w:eastAsia="Arial" w:hAnsi="Arial"/>
          <w:sz w:val="24"/>
          <w:szCs w:val="24"/>
        </w:rPr>
        <w:t xml:space="preserve">Indication launch sequence recommendation</w:t>
      </w:r>
    </w:p>
    <w:p>
      <w:pPr>
        <w:spacing w:after="200" w:line="360"/>
      </w:pPr>
      <w:r>
        <w:rPr>
          <w:rFonts w:ascii="Arial" w:cs="Arial" w:eastAsia="Arial" w:hAnsi="Arial"/>
          <w:b w:val="false"/>
          <w:bCs w:val="false"/>
          <w:sz w:val="24"/>
          <w:szCs w:val="24"/>
        </w:rPr>
        <w:t xml:space="preserve">Format: Target-to-indication heatmap with mechanistic and commercial fit scores, patient population bar chart, TAM projection table, launch timeline.</w:t>
      </w:r>
    </w:p>
    <w:p>
      <w:pPr>
        <w:pStyle w:val="Heading2"/>
        <w:pStyle w:val="Heading2"/>
        <w:spacing w:after="200" w:line="360"/>
      </w:pPr>
      <w:r>
        <w:t xml:space="preserve">Stage 3: Competitive Landscape &amp; White Space Analysis</w:t>
      </w:r>
    </w:p>
    <w:p>
      <w:pPr>
        <w:spacing w:after="200" w:line="360"/>
      </w:pPr>
      <w:r>
        <w:rPr>
          <w:rFonts w:ascii="Arial" w:cs="Arial" w:eastAsia="Arial" w:hAnsi="Arial"/>
          <w:b w:val="false"/>
          <w:bCs w:val="false"/>
          <w:sz w:val="24"/>
          <w:szCs w:val="24"/>
        </w:rPr>
        <w:t xml:space="preserve">Purpose: Assess competitive positioning and identify white space opportunities where the target cluster provides first-mover advantage. First-in-class franchises derive value from establishing dominant market position before competitors; this stage quantifies competitive IP moat, patent landscape, and clinical trial leadership.</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Competitor target selection and pipeline stage (IND, Phase I-II, II-III, commercial)</w:t>
      </w:r>
    </w:p>
    <w:p>
      <w:pPr>
        <w:pStyle w:val="ListParagraph"/>
        <w:numPr>
          <w:ilvl w:val="0"/>
          <w:numId w:val="1"/>
        </w:numPr>
        <w:spacing w:after="100" w:line="360"/>
      </w:pPr>
      <w:r>
        <w:rPr>
          <w:rFonts w:ascii="Arial" w:cs="Arial" w:eastAsia="Arial" w:hAnsi="Arial"/>
          <w:sz w:val="24"/>
          <w:szCs w:val="24"/>
        </w:rPr>
        <w:t xml:space="preserve">Patent landscape for candidate cluster (composition-of-matter, use, modality patents)</w:t>
      </w:r>
    </w:p>
    <w:p>
      <w:pPr>
        <w:pStyle w:val="ListParagraph"/>
        <w:numPr>
          <w:ilvl w:val="0"/>
          <w:numId w:val="1"/>
        </w:numPr>
        <w:spacing w:after="100" w:line="360"/>
      </w:pPr>
      <w:r>
        <w:rPr>
          <w:rFonts w:ascii="Arial" w:cs="Arial" w:eastAsia="Arial" w:hAnsi="Arial"/>
          <w:sz w:val="24"/>
          <w:szCs w:val="24"/>
        </w:rPr>
        <w:t xml:space="preserve">Clinical trial landscape (competing programs, estimated approval timelines)</w:t>
      </w:r>
    </w:p>
    <w:p>
      <w:pPr>
        <w:pStyle w:val="ListParagraph"/>
        <w:numPr>
          <w:ilvl w:val="0"/>
          <w:numId w:val="1"/>
        </w:numPr>
        <w:spacing w:after="100" w:line="360"/>
      </w:pPr>
      <w:r>
        <w:rPr>
          <w:rFonts w:ascii="Arial" w:cs="Arial" w:eastAsia="Arial" w:hAnsi="Arial"/>
          <w:sz w:val="24"/>
          <w:szCs w:val="24"/>
        </w:rPr>
        <w:t xml:space="preserve">First-mover advantage factors (patent exclusivity, regulatory exclusivity, market leadership)</w:t>
      </w:r>
    </w:p>
    <w:p>
      <w:pPr>
        <w:pStyle w:val="ListParagraph"/>
        <w:numPr>
          <w:ilvl w:val="0"/>
          <w:numId w:val="1"/>
        </w:numPr>
        <w:spacing w:after="100" w:line="360"/>
      </w:pPr>
      <w:r>
        <w:rPr>
          <w:rFonts w:ascii="Arial" w:cs="Arial" w:eastAsia="Arial" w:hAnsi="Arial"/>
          <w:sz w:val="24"/>
          <w:szCs w:val="24"/>
        </w:rPr>
        <w:t xml:space="preserve">Comparative efficacy positioning (target cluster vs approved standard of care)</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**Cortellis**: Integrated pipeline intelligence with competitor target tracking</w:t>
      </w:r>
    </w:p>
    <w:p>
      <w:pPr>
        <w:pStyle w:val="ListParagraph"/>
        <w:numPr>
          <w:ilvl w:val="0"/>
          <w:numId w:val="1"/>
        </w:numPr>
        <w:spacing w:after="100" w:line="360"/>
      </w:pPr>
      <w:r>
        <w:rPr>
          <w:rFonts w:ascii="Arial" w:cs="Arial" w:eastAsia="Arial" w:hAnsi="Arial"/>
          <w:sz w:val="24"/>
          <w:szCs w:val="24"/>
        </w:rPr>
        <w:t xml:space="preserve">**Pharmaprojects / GlobalData**: Commercial pipeline database with regulatory status</w:t>
      </w:r>
    </w:p>
    <w:p>
      <w:pPr>
        <w:pStyle w:val="ListParagraph"/>
        <w:numPr>
          <w:ilvl w:val="0"/>
          <w:numId w:val="1"/>
        </w:numPr>
        <w:spacing w:after="100" w:line="360"/>
      </w:pPr>
      <w:r>
        <w:rPr>
          <w:rFonts w:ascii="Arial" w:cs="Arial" w:eastAsia="Arial" w:hAnsi="Arial"/>
          <w:sz w:val="24"/>
          <w:szCs w:val="24"/>
        </w:rPr>
        <w:t xml:space="preserve">**USPTO / Espacenet**: Patent search identifying competitor IP landscape</w:t>
      </w:r>
    </w:p>
    <w:p>
      <w:pPr>
        <w:pStyle w:val="ListParagraph"/>
        <w:numPr>
          <w:ilvl w:val="0"/>
          <w:numId w:val="1"/>
        </w:numPr>
        <w:spacing w:after="100" w:line="360"/>
      </w:pPr>
      <w:r>
        <w:rPr>
          <w:rFonts w:ascii="Arial" w:cs="Arial" w:eastAsia="Arial" w:hAnsi="Arial"/>
          <w:sz w:val="24"/>
          <w:szCs w:val="24"/>
        </w:rPr>
        <w:t xml:space="preserve">**ClinicalTrials.gov**: Competitor trial enrollment, Phase, completion dates</w:t>
      </w:r>
    </w:p>
    <w:p>
      <w:pPr>
        <w:pStyle w:val="ListParagraph"/>
        <w:numPr>
          <w:ilvl w:val="0"/>
          <w:numId w:val="1"/>
        </w:numPr>
        <w:spacing w:after="100" w:line="360"/>
      </w:pPr>
      <w:r>
        <w:rPr>
          <w:rFonts w:ascii="Arial" w:cs="Arial" w:eastAsia="Arial" w:hAnsi="Arial"/>
          <w:sz w:val="24"/>
          <w:szCs w:val="24"/>
        </w:rPr>
        <w:t xml:space="preserve">**Evaluate Pharma / IQVIA**: Market share forecasts and peak sales</w:t>
      </w:r>
    </w:p>
    <w:p>
      <w:pPr>
        <w:pStyle w:val="ListParagraph"/>
        <w:numPr>
          <w:ilvl w:val="0"/>
          <w:numId w:val="1"/>
        </w:numPr>
        <w:spacing w:after="100" w:line="360"/>
      </w:pPr>
      <w:r>
        <w:rPr>
          <w:rFonts w:ascii="Arial" w:cs="Arial" w:eastAsia="Arial" w:hAnsi="Arial"/>
          <w:sz w:val="24"/>
          <w:szCs w:val="24"/>
        </w:rPr>
        <w:t xml:space="preserve">**Company Press Releases &amp; Investor Calls**: Real-time competitive intelligence</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Which competitors pursue the same cluster or mechanistically similar targets?</w:t>
      </w:r>
    </w:p>
    <w:p>
      <w:pPr>
        <w:pStyle w:val="ListParagraph"/>
        <w:numPr>
          <w:ilvl w:val="0"/>
          <w:numId w:val="1"/>
        </w:numPr>
        <w:spacing w:after="100" w:line="360"/>
      </w:pPr>
      <w:r>
        <w:rPr>
          <w:rFonts w:ascii="Arial" w:cs="Arial" w:eastAsia="Arial" w:hAnsi="Arial"/>
          <w:sz w:val="24"/>
          <w:szCs w:val="24"/>
        </w:rPr>
        <w:t xml:space="preserve">What is the estimated regulatory timeline for competitor programs?</w:t>
      </w:r>
    </w:p>
    <w:p>
      <w:pPr>
        <w:pStyle w:val="ListParagraph"/>
        <w:numPr>
          <w:ilvl w:val="0"/>
          <w:numId w:val="1"/>
        </w:numPr>
        <w:spacing w:after="100" w:line="360"/>
      </w:pPr>
      <w:r>
        <w:rPr>
          <w:rFonts w:ascii="Arial" w:cs="Arial" w:eastAsia="Arial" w:hAnsi="Arial"/>
          <w:sz w:val="24"/>
          <w:szCs w:val="24"/>
        </w:rPr>
        <w:t xml:space="preserve">Are there patent blocking issues or FTO risks?</w:t>
      </w:r>
    </w:p>
    <w:p>
      <w:pPr>
        <w:pStyle w:val="ListParagraph"/>
        <w:numPr>
          <w:ilvl w:val="0"/>
          <w:numId w:val="1"/>
        </w:numPr>
        <w:spacing w:after="100" w:line="360"/>
      </w:pPr>
      <w:r>
        <w:rPr>
          <w:rFonts w:ascii="Arial" w:cs="Arial" w:eastAsia="Arial" w:hAnsi="Arial"/>
          <w:sz w:val="24"/>
          <w:szCs w:val="24"/>
        </w:rPr>
        <w:t xml:space="preserve">What is the competitive clinical efficacy benchmark?</w:t>
      </w:r>
    </w:p>
    <w:p>
      <w:pPr>
        <w:pStyle w:val="ListParagraph"/>
        <w:numPr>
          <w:ilvl w:val="0"/>
          <w:numId w:val="1"/>
        </w:numPr>
        <w:spacing w:after="100" w:line="360"/>
      </w:pPr>
      <w:r>
        <w:rPr>
          <w:rFonts w:ascii="Arial" w:cs="Arial" w:eastAsia="Arial" w:hAnsi="Arial"/>
          <w:sz w:val="24"/>
          <w:szCs w:val="24"/>
        </w:rPr>
        <w:t xml:space="preserve">Which indications represent the most attractive white space?</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Competitive target landscape matrix with pipeline phase and indications</w:t>
      </w:r>
    </w:p>
    <w:p>
      <w:pPr>
        <w:pStyle w:val="ListParagraph"/>
        <w:numPr>
          <w:ilvl w:val="0"/>
          <w:numId w:val="1"/>
        </w:numPr>
        <w:spacing w:after="100" w:line="360"/>
      </w:pPr>
      <w:r>
        <w:rPr>
          <w:rFonts w:ascii="Arial" w:cs="Arial" w:eastAsia="Arial" w:hAnsi="Arial"/>
          <w:sz w:val="24"/>
          <w:szCs w:val="24"/>
        </w:rPr>
        <w:t xml:space="preserve">Patent landscape assessment with FTO opinion</w:t>
      </w:r>
    </w:p>
    <w:p>
      <w:pPr>
        <w:pStyle w:val="ListParagraph"/>
        <w:numPr>
          <w:ilvl w:val="0"/>
          <w:numId w:val="1"/>
        </w:numPr>
        <w:spacing w:after="100" w:line="360"/>
      </w:pPr>
      <w:r>
        <w:rPr>
          <w:rFonts w:ascii="Arial" w:cs="Arial" w:eastAsia="Arial" w:hAnsi="Arial"/>
          <w:sz w:val="24"/>
          <w:szCs w:val="24"/>
        </w:rPr>
        <w:t xml:space="preserve">Clinical trial timeline projection vs competitors</w:t>
      </w:r>
    </w:p>
    <w:p>
      <w:pPr>
        <w:pStyle w:val="ListParagraph"/>
        <w:numPr>
          <w:ilvl w:val="0"/>
          <w:numId w:val="1"/>
        </w:numPr>
        <w:spacing w:after="100" w:line="360"/>
      </w:pPr>
      <w:r>
        <w:rPr>
          <w:rFonts w:ascii="Arial" w:cs="Arial" w:eastAsia="Arial" w:hAnsi="Arial"/>
          <w:sz w:val="24"/>
          <w:szCs w:val="24"/>
        </w:rPr>
        <w:t xml:space="preserve">First-mover advantage assessment scoring (patent, regulatory, market)</w:t>
      </w:r>
    </w:p>
    <w:p>
      <w:pPr>
        <w:pStyle w:val="ListParagraph"/>
        <w:numPr>
          <w:ilvl w:val="0"/>
          <w:numId w:val="1"/>
        </w:numPr>
        <w:spacing w:after="100" w:line="360"/>
      </w:pPr>
      <w:r>
        <w:rPr>
          <w:rFonts w:ascii="Arial" w:cs="Arial" w:eastAsia="Arial" w:hAnsi="Arial"/>
          <w:sz w:val="24"/>
          <w:szCs w:val="24"/>
        </w:rPr>
        <w:t xml:space="preserve">Competitive efficacy positioning based on mechanism</w:t>
      </w:r>
    </w:p>
    <w:p>
      <w:pPr>
        <w:pStyle w:val="ListParagraph"/>
        <w:numPr>
          <w:ilvl w:val="0"/>
          <w:numId w:val="1"/>
        </w:numPr>
        <w:spacing w:after="100" w:line="360"/>
      </w:pPr>
      <w:r>
        <w:rPr>
          <w:rFonts w:ascii="Arial" w:cs="Arial" w:eastAsia="Arial" w:hAnsi="Arial"/>
          <w:sz w:val="24"/>
          <w:szCs w:val="24"/>
        </w:rPr>
        <w:t xml:space="preserve">White space opportunity ranking by indication</w:t>
      </w:r>
    </w:p>
    <w:p>
      <w:pPr>
        <w:spacing w:after="200" w:line="360"/>
      </w:pPr>
      <w:r>
        <w:rPr>
          <w:rFonts w:ascii="Arial" w:cs="Arial" w:eastAsia="Arial" w:hAnsi="Arial"/>
          <w:b w:val="false"/>
          <w:bCs w:val="false"/>
          <w:sz w:val="24"/>
          <w:szCs w:val="24"/>
        </w:rPr>
        <w:t xml:space="preserve">Format: Competitive landscape visualization (competitors vs indications with phase), patent timeline, clinical Gantt chart, first-mover scorecard.</w:t>
      </w:r>
    </w:p>
    <w:p>
      <w:pPr>
        <w:pStyle w:val="Heading2"/>
        <w:pStyle w:val="Heading2"/>
        <w:spacing w:after="200" w:line="360"/>
      </w:pPr>
      <w:r>
        <w:t xml:space="preserve">Stage 4: Platform Leverage &amp; Modality Strategy</w:t>
      </w:r>
    </w:p>
    <w:p>
      <w:pPr>
        <w:spacing w:after="200" w:line="360"/>
      </w:pPr>
      <w:r>
        <w:rPr>
          <w:rFonts w:ascii="Arial" w:cs="Arial" w:eastAsia="Arial" w:hAnsi="Arial"/>
          <w:b w:val="false"/>
          <w:bCs w:val="false"/>
          <w:sz w:val="24"/>
          <w:szCs w:val="24"/>
        </w:rPr>
        <w:t xml:space="preserve">Purpose: Assess whether each target cluster can be addressed by both small molecule and ASO modalities, enabling portfolio diversification and clinical development efficiency. High-value franchise anchors enable cross-modality platform leverage.</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Target protein properties (druggability score, binding pockets, AlphaFold structures)</w:t>
      </w:r>
    </w:p>
    <w:p>
      <w:pPr>
        <w:pStyle w:val="ListParagraph"/>
        <w:numPr>
          <w:ilvl w:val="0"/>
          <w:numId w:val="1"/>
        </w:numPr>
        <w:spacing w:after="100" w:line="360"/>
      </w:pPr>
      <w:r>
        <w:rPr>
          <w:rFonts w:ascii="Arial" w:cs="Arial" w:eastAsia="Arial" w:hAnsi="Arial"/>
          <w:sz w:val="24"/>
          <w:szCs w:val="24"/>
        </w:rPr>
        <w:t xml:space="preserve">mRNA expression pattern (tissue-restricted vs ubiquitous distribution)</w:t>
      </w:r>
    </w:p>
    <w:p>
      <w:pPr>
        <w:pStyle w:val="ListParagraph"/>
        <w:numPr>
          <w:ilvl w:val="0"/>
          <w:numId w:val="1"/>
        </w:numPr>
        <w:spacing w:after="100" w:line="360"/>
      </w:pPr>
      <w:r>
        <w:rPr>
          <w:rFonts w:ascii="Arial" w:cs="Arial" w:eastAsia="Arial" w:hAnsi="Arial"/>
          <w:sz w:val="24"/>
          <w:szCs w:val="24"/>
        </w:rPr>
        <w:t xml:space="preserve">Target function (activator, inhibitor, scaffolding protein)</w:t>
      </w:r>
    </w:p>
    <w:p>
      <w:pPr>
        <w:pStyle w:val="ListParagraph"/>
        <w:numPr>
          <w:ilvl w:val="0"/>
          <w:numId w:val="1"/>
        </w:numPr>
        <w:spacing w:after="100" w:line="360"/>
      </w:pPr>
      <w:r>
        <w:rPr>
          <w:rFonts w:ascii="Arial" w:cs="Arial" w:eastAsia="Arial" w:hAnsi="Arial"/>
          <w:sz w:val="24"/>
          <w:szCs w:val="24"/>
        </w:rPr>
        <w:t xml:space="preserve">Known pharmacological modulators or genetic validation</w:t>
      </w:r>
    </w:p>
    <w:p>
      <w:pPr>
        <w:pStyle w:val="ListParagraph"/>
        <w:numPr>
          <w:ilvl w:val="0"/>
          <w:numId w:val="1"/>
        </w:numPr>
        <w:spacing w:after="100" w:line="360"/>
      </w:pPr>
      <w:r>
        <w:rPr>
          <w:rFonts w:ascii="Arial" w:cs="Arial" w:eastAsia="Arial" w:hAnsi="Arial"/>
          <w:sz w:val="24"/>
          <w:szCs w:val="24"/>
        </w:rPr>
        <w:t xml:space="preserve">Regulatory precedent for small molecule and ASO in same target class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**AlphaFold**: 3D protein structure prediction identifying binding pockets</w:t>
      </w:r>
    </w:p>
    <w:p>
      <w:pPr>
        <w:pStyle w:val="ListParagraph"/>
        <w:numPr>
          <w:ilvl w:val="0"/>
          <w:numId w:val="1"/>
        </w:numPr>
        <w:spacing w:after="100" w:line="360"/>
      </w:pPr>
      <w:r>
        <w:rPr>
          <w:rFonts w:ascii="Arial" w:cs="Arial" w:eastAsia="Arial" w:hAnsi="Arial"/>
          <w:sz w:val="24"/>
          <w:szCs w:val="24"/>
        </w:rPr>
        <w:t xml:space="preserve">**DrugBank / PubChem**: Small molecule chemical space and pharmacology</w:t>
      </w:r>
    </w:p>
    <w:p>
      <w:pPr>
        <w:pStyle w:val="ListParagraph"/>
        <w:numPr>
          <w:ilvl w:val="0"/>
          <w:numId w:val="1"/>
        </w:numPr>
        <w:spacing w:after="100" w:line="360"/>
      </w:pPr>
      <w:r>
        <w:rPr>
          <w:rFonts w:ascii="Arial" w:cs="Arial" w:eastAsia="Arial" w:hAnsi="Arial"/>
          <w:sz w:val="24"/>
          <w:szCs w:val="24"/>
        </w:rPr>
        <w:t xml:space="preserve">**ASO Design Tools (Geneomatix, PROPSCAN)**: mRNA accessibility prediction</w:t>
      </w:r>
    </w:p>
    <w:p>
      <w:pPr>
        <w:pStyle w:val="ListParagraph"/>
        <w:numPr>
          <w:ilvl w:val="0"/>
          <w:numId w:val="1"/>
        </w:numPr>
        <w:spacing w:after="100" w:line="360"/>
      </w:pPr>
      <w:r>
        <w:rPr>
          <w:rFonts w:ascii="Arial" w:cs="Arial" w:eastAsia="Arial" w:hAnsi="Arial"/>
          <w:sz w:val="24"/>
          <w:szCs w:val="24"/>
        </w:rPr>
        <w:t xml:space="preserve">**GTEx / Human Protein Atlas**: Tissue expression patterns</w:t>
      </w:r>
    </w:p>
    <w:p>
      <w:pPr>
        <w:pStyle w:val="ListParagraph"/>
        <w:numPr>
          <w:ilvl w:val="0"/>
          <w:numId w:val="1"/>
        </w:numPr>
        <w:spacing w:after="100" w:line="360"/>
      </w:pPr>
      <w:r>
        <w:rPr>
          <w:rFonts w:ascii="Arial" w:cs="Arial" w:eastAsia="Arial" w:hAnsi="Arial"/>
          <w:sz w:val="24"/>
          <w:szCs w:val="24"/>
        </w:rPr>
        <w:t xml:space="preserve">**Ionis / Roche / Lilly Pipeline Data**: Dual modality strategies</w:t>
      </w:r>
    </w:p>
    <w:p>
      <w:pPr>
        <w:pStyle w:val="ListParagraph"/>
        <w:numPr>
          <w:ilvl w:val="0"/>
          <w:numId w:val="1"/>
        </w:numPr>
        <w:spacing w:after="100" w:line="360"/>
      </w:pPr>
      <w:r>
        <w:rPr>
          <w:rFonts w:ascii="Arial" w:cs="Arial" w:eastAsia="Arial" w:hAnsi="Arial"/>
          <w:sz w:val="24"/>
          <w:szCs w:val="24"/>
        </w:rPr>
        <w:t xml:space="preserve">**Patent Landscape**: FTO and modality-specific IP protection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Can the cluster be addressed by small molecule inhibitors?</w:t>
      </w:r>
    </w:p>
    <w:p>
      <w:pPr>
        <w:pStyle w:val="ListParagraph"/>
        <w:numPr>
          <w:ilvl w:val="0"/>
          <w:numId w:val="1"/>
        </w:numPr>
        <w:spacing w:after="100" w:line="360"/>
      </w:pPr>
      <w:r>
        <w:rPr>
          <w:rFonts w:ascii="Arial" w:cs="Arial" w:eastAsia="Arial" w:hAnsi="Arial"/>
          <w:sz w:val="24"/>
          <w:szCs w:val="24"/>
        </w:rPr>
        <w:t xml:space="preserve">Can the cluster be knocked down by ASO?</w:t>
      </w:r>
    </w:p>
    <w:p>
      <w:pPr>
        <w:pStyle w:val="ListParagraph"/>
        <w:numPr>
          <w:ilvl w:val="0"/>
          <w:numId w:val="1"/>
        </w:numPr>
        <w:spacing w:after="100" w:line="360"/>
      </w:pPr>
      <w:r>
        <w:rPr>
          <w:rFonts w:ascii="Arial" w:cs="Arial" w:eastAsia="Arial" w:hAnsi="Arial"/>
          <w:sz w:val="24"/>
          <w:szCs w:val="24"/>
        </w:rPr>
        <w:t xml:space="preserve">Would different modalities be optimal for different indications?</w:t>
      </w:r>
    </w:p>
    <w:p>
      <w:pPr>
        <w:pStyle w:val="ListParagraph"/>
        <w:numPr>
          <w:ilvl w:val="0"/>
          <w:numId w:val="1"/>
        </w:numPr>
        <w:spacing w:after="100" w:line="360"/>
      </w:pPr>
      <w:r>
        <w:rPr>
          <w:rFonts w:ascii="Arial" w:cs="Arial" w:eastAsia="Arial" w:hAnsi="Arial"/>
          <w:sz w:val="24"/>
          <w:szCs w:val="24"/>
        </w:rPr>
        <w:t xml:space="preserve">Are there non-overlapping IP landscapes between modalities?</w:t>
      </w:r>
    </w:p>
    <w:p>
      <w:pPr>
        <w:pStyle w:val="ListParagraph"/>
        <w:numPr>
          <w:ilvl w:val="0"/>
          <w:numId w:val="1"/>
        </w:numPr>
        <w:spacing w:after="100" w:line="360"/>
      </w:pPr>
      <w:r>
        <w:rPr>
          <w:rFonts w:ascii="Arial" w:cs="Arial" w:eastAsia="Arial" w:hAnsi="Arial"/>
          <w:sz w:val="24"/>
          <w:szCs w:val="24"/>
        </w:rPr>
        <w:t xml:space="preserve">What is the optimal clinical development sequence?</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Modality feasibility matrix (druggability, ASO knockdown, biologics)</w:t>
      </w:r>
    </w:p>
    <w:p>
      <w:pPr>
        <w:pStyle w:val="ListParagraph"/>
        <w:numPr>
          <w:ilvl w:val="0"/>
          <w:numId w:val="1"/>
        </w:numPr>
        <w:spacing w:after="100" w:line="360"/>
      </w:pPr>
      <w:r>
        <w:rPr>
          <w:rFonts w:ascii="Arial" w:cs="Arial" w:eastAsia="Arial" w:hAnsi="Arial"/>
          <w:sz w:val="24"/>
          <w:szCs w:val="24"/>
        </w:rPr>
        <w:t xml:space="preserve">Modality-by-indication recommendation table</w:t>
      </w:r>
    </w:p>
    <w:p>
      <w:pPr>
        <w:pStyle w:val="ListParagraph"/>
        <w:numPr>
          <w:ilvl w:val="0"/>
          <w:numId w:val="1"/>
        </w:numPr>
        <w:spacing w:after="100" w:line="360"/>
      </w:pPr>
      <w:r>
        <w:rPr>
          <w:rFonts w:ascii="Arial" w:cs="Arial" w:eastAsia="Arial" w:hAnsi="Arial"/>
          <w:sz w:val="24"/>
          <w:szCs w:val="24"/>
        </w:rPr>
        <w:t xml:space="preserve">Patent landscape comparison (small molecule vs ASO IP)</w:t>
      </w:r>
    </w:p>
    <w:p>
      <w:pPr>
        <w:pStyle w:val="ListParagraph"/>
        <w:numPr>
          <w:ilvl w:val="0"/>
          <w:numId w:val="1"/>
        </w:numPr>
        <w:spacing w:after="100" w:line="360"/>
      </w:pPr>
      <w:r>
        <w:rPr>
          <w:rFonts w:ascii="Arial" w:cs="Arial" w:eastAsia="Arial" w:hAnsi="Arial"/>
          <w:sz w:val="24"/>
          <w:szCs w:val="24"/>
        </w:rPr>
        <w:t xml:space="preserve">Clinical development sequence recommendation</w:t>
      </w:r>
    </w:p>
    <w:p>
      <w:pPr>
        <w:pStyle w:val="ListParagraph"/>
        <w:numPr>
          <w:ilvl w:val="0"/>
          <w:numId w:val="1"/>
        </w:numPr>
        <w:spacing w:after="100" w:line="360"/>
      </w:pPr>
      <w:r>
        <w:rPr>
          <w:rFonts w:ascii="Arial" w:cs="Arial" w:eastAsia="Arial" w:hAnsi="Arial"/>
          <w:sz w:val="24"/>
          <w:szCs w:val="24"/>
        </w:rPr>
        <w:t xml:space="preserve">Risk assessment for dual modality strategy</w:t>
      </w:r>
    </w:p>
    <w:p>
      <w:pPr>
        <w:pStyle w:val="ListParagraph"/>
        <w:numPr>
          <w:ilvl w:val="0"/>
          <w:numId w:val="1"/>
        </w:numPr>
        <w:spacing w:after="100" w:line="360"/>
      </w:pPr>
      <w:r>
        <w:rPr>
          <w:rFonts w:ascii="Arial" w:cs="Arial" w:eastAsia="Arial" w:hAnsi="Arial"/>
          <w:sz w:val="24"/>
          <w:szCs w:val="24"/>
        </w:rPr>
        <w:t xml:space="preserve">Platform leverage scorecard quantifying R&amp;D efficiency gains</w:t>
      </w:r>
    </w:p>
    <w:p>
      <w:pPr>
        <w:spacing w:after="200" w:line="360"/>
      </w:pPr>
      <w:r>
        <w:rPr>
          <w:rFonts w:ascii="Arial" w:cs="Arial" w:eastAsia="Arial" w:hAnsi="Arial"/>
          <w:b w:val="false"/>
          <w:bCs w:val="false"/>
          <w:sz w:val="24"/>
          <w:szCs w:val="24"/>
        </w:rPr>
        <w:t xml:space="preserve">Format: Modality feasibility scorecard, modality-by-indication matrix, patent landscape comparison chart.</w:t>
      </w:r>
    </w:p>
    <w:p>
      <w:pPr>
        <w:pStyle w:val="Heading2"/>
        <w:pStyle w:val="Heading2"/>
        <w:spacing w:after="200" w:line="360"/>
      </w:pPr>
      <w:r>
        <w:t xml:space="preserve">Stage 5: Pipeline Depth &amp; Backup Target Strategy</w:t>
      </w:r>
    </w:p>
    <w:p>
      <w:pPr>
        <w:spacing w:after="200" w:line="360"/>
      </w:pPr>
      <w:r>
        <w:rPr>
          <w:rFonts w:ascii="Arial" w:cs="Arial" w:eastAsia="Arial" w:hAnsi="Arial"/>
          <w:b w:val="false"/>
          <w:bCs w:val="false"/>
          <w:sz w:val="24"/>
          <w:szCs w:val="24"/>
        </w:rPr>
        <w:t xml:space="preserve">Purpose: Quantify the depth of backup targets within each cluster to enable contingency planning if lead targets encounter development obstacles. High-value franchises require 5-10 backup targets, enabling rapid pivoting if clinical efficacy or safety concerns emerge.</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Quiver cluster target list with phenotypic similarity scores</w:t>
      </w:r>
    </w:p>
    <w:p>
      <w:pPr>
        <w:pStyle w:val="ListParagraph"/>
        <w:numPr>
          <w:ilvl w:val="0"/>
          <w:numId w:val="1"/>
        </w:numPr>
        <w:spacing w:after="100" w:line="360"/>
      </w:pPr>
      <w:r>
        <w:rPr>
          <w:rFonts w:ascii="Arial" w:cs="Arial" w:eastAsia="Arial" w:hAnsi="Arial"/>
          <w:sz w:val="24"/>
          <w:szCs w:val="24"/>
        </w:rPr>
        <w:t xml:space="preserve">Target genetic validation data (GWAS hits, rare variants, functional studies)</w:t>
      </w:r>
    </w:p>
    <w:p>
      <w:pPr>
        <w:pStyle w:val="ListParagraph"/>
        <w:numPr>
          <w:ilvl w:val="0"/>
          <w:numId w:val="1"/>
        </w:numPr>
        <w:spacing w:after="100" w:line="360"/>
      </w:pPr>
      <w:r>
        <w:rPr>
          <w:rFonts w:ascii="Arial" w:cs="Arial" w:eastAsia="Arial" w:hAnsi="Arial"/>
          <w:sz w:val="24"/>
          <w:szCs w:val="24"/>
        </w:rPr>
        <w:t xml:space="preserve">Competitive landscape for backup targets (patent, competitor interest)</w:t>
      </w:r>
    </w:p>
    <w:p>
      <w:pPr>
        <w:pStyle w:val="ListParagraph"/>
        <w:numPr>
          <w:ilvl w:val="0"/>
          <w:numId w:val="1"/>
        </w:numPr>
        <w:spacing w:after="100" w:line="360"/>
      </w:pPr>
      <w:r>
        <w:rPr>
          <w:rFonts w:ascii="Arial" w:cs="Arial" w:eastAsia="Arial" w:hAnsi="Arial"/>
          <w:sz w:val="24"/>
          <w:szCs w:val="24"/>
        </w:rPr>
        <w:t xml:space="preserve">Clinical translation potential (disease relevance, expression, mechanism)</w:t>
      </w:r>
    </w:p>
    <w:p>
      <w:pPr>
        <w:pStyle w:val="ListParagraph"/>
        <w:numPr>
          <w:ilvl w:val="0"/>
          <w:numId w:val="1"/>
        </w:numPr>
        <w:spacing w:after="100" w:line="360"/>
      </w:pPr>
      <w:r>
        <w:rPr>
          <w:rFonts w:ascii="Arial" w:cs="Arial" w:eastAsia="Arial" w:hAnsi="Arial"/>
          <w:sz w:val="24"/>
          <w:szCs w:val="24"/>
        </w:rPr>
        <w:t xml:space="preserve">Technical risk assessment (synthesis, manufacturing feasibility)</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**Quiver Phenotype Similarity Scoring**: ML ranking backup targets</w:t>
      </w:r>
    </w:p>
    <w:p>
      <w:pPr>
        <w:pStyle w:val="ListParagraph"/>
        <w:numPr>
          <w:ilvl w:val="0"/>
          <w:numId w:val="1"/>
        </w:numPr>
        <w:spacing w:after="100" w:line="360"/>
      </w:pPr>
      <w:r>
        <w:rPr>
          <w:rFonts w:ascii="Arial" w:cs="Arial" w:eastAsia="Arial" w:hAnsi="Arial"/>
          <w:sz w:val="24"/>
          <w:szCs w:val="24"/>
        </w:rPr>
        <w:t xml:space="preserve">**GWAS Catalog**: Human genetic validation prioritization</w:t>
      </w:r>
    </w:p>
    <w:p>
      <w:pPr>
        <w:pStyle w:val="ListParagraph"/>
        <w:numPr>
          <w:ilvl w:val="0"/>
          <w:numId w:val="1"/>
        </w:numPr>
        <w:spacing w:after="100" w:line="360"/>
      </w:pPr>
      <w:r>
        <w:rPr>
          <w:rFonts w:ascii="Arial" w:cs="Arial" w:eastAsia="Arial" w:hAnsi="Arial"/>
          <w:sz w:val="24"/>
          <w:szCs w:val="24"/>
        </w:rPr>
        <w:t xml:space="preserve">**Gene2Phenotype / Genomics England**: Rare variant validation</w:t>
      </w:r>
    </w:p>
    <w:p>
      <w:pPr>
        <w:pStyle w:val="ListParagraph"/>
        <w:numPr>
          <w:ilvl w:val="0"/>
          <w:numId w:val="1"/>
        </w:numPr>
        <w:spacing w:after="100" w:line="360"/>
      </w:pPr>
      <w:r>
        <w:rPr>
          <w:rFonts w:ascii="Arial" w:cs="Arial" w:eastAsia="Arial" w:hAnsi="Arial"/>
          <w:sz w:val="24"/>
          <w:szCs w:val="24"/>
        </w:rPr>
        <w:t xml:space="preserve">**Cortellis / Pharmaprojects**: Competitor target identification</w:t>
      </w:r>
    </w:p>
    <w:p>
      <w:pPr>
        <w:pStyle w:val="ListParagraph"/>
        <w:numPr>
          <w:ilvl w:val="0"/>
          <w:numId w:val="1"/>
        </w:numPr>
        <w:spacing w:after="100" w:line="360"/>
      </w:pPr>
      <w:r>
        <w:rPr>
          <w:rFonts w:ascii="Arial" w:cs="Arial" w:eastAsia="Arial" w:hAnsi="Arial"/>
          <w:sz w:val="24"/>
          <w:szCs w:val="24"/>
        </w:rPr>
        <w:t xml:space="preserve">**Patent Databases (USPTO, Espacenet)**: Freedom-to-operate assessment</w:t>
      </w:r>
    </w:p>
    <w:p>
      <w:pPr>
        <w:pStyle w:val="ListParagraph"/>
        <w:numPr>
          <w:ilvl w:val="0"/>
          <w:numId w:val="1"/>
        </w:numPr>
        <w:spacing w:after="100" w:line="360"/>
      </w:pPr>
      <w:r>
        <w:rPr>
          <w:rFonts w:ascii="Arial" w:cs="Arial" w:eastAsia="Arial" w:hAnsi="Arial"/>
          <w:sz w:val="24"/>
          <w:szCs w:val="24"/>
        </w:rPr>
        <w:t xml:space="preserve">**Published Preclinical Literature (PubMed)**: Experimental validation data</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Which 5-10 targets are mechanistically similar to the lead target?</w:t>
      </w:r>
    </w:p>
    <w:p>
      <w:pPr>
        <w:pStyle w:val="ListParagraph"/>
        <w:numPr>
          <w:ilvl w:val="0"/>
          <w:numId w:val="1"/>
        </w:numPr>
        <w:spacing w:after="100" w:line="360"/>
      </w:pPr>
      <w:r>
        <w:rPr>
          <w:rFonts w:ascii="Arial" w:cs="Arial" w:eastAsia="Arial" w:hAnsi="Arial"/>
          <w:sz w:val="24"/>
          <w:szCs w:val="24"/>
        </w:rPr>
        <w:t xml:space="preserve">Do backups have equivalent genetic validation?</w:t>
      </w:r>
    </w:p>
    <w:p>
      <w:pPr>
        <w:pStyle w:val="ListParagraph"/>
        <w:numPr>
          <w:ilvl w:val="0"/>
          <w:numId w:val="1"/>
        </w:numPr>
        <w:spacing w:after="100" w:line="360"/>
      </w:pPr>
      <w:r>
        <w:rPr>
          <w:rFonts w:ascii="Arial" w:cs="Arial" w:eastAsia="Arial" w:hAnsi="Arial"/>
          <w:sz w:val="24"/>
          <w:szCs w:val="24"/>
        </w:rPr>
        <w:t xml:space="preserve">Do backups specifically address different indications?</w:t>
      </w:r>
    </w:p>
    <w:p>
      <w:pPr>
        <w:pStyle w:val="ListParagraph"/>
        <w:numPr>
          <w:ilvl w:val="0"/>
          <w:numId w:val="1"/>
        </w:numPr>
        <w:spacing w:after="100" w:line="360"/>
      </w:pPr>
      <w:r>
        <w:rPr>
          <w:rFonts w:ascii="Arial" w:cs="Arial" w:eastAsia="Arial" w:hAnsi="Arial"/>
          <w:sz w:val="24"/>
          <w:szCs w:val="24"/>
        </w:rPr>
        <w:t xml:space="preserve">Which backups have minimal competitive interest?</w:t>
      </w:r>
    </w:p>
    <w:p>
      <w:pPr>
        <w:pStyle w:val="ListParagraph"/>
        <w:numPr>
          <w:ilvl w:val="0"/>
          <w:numId w:val="1"/>
        </w:numPr>
        <w:spacing w:after="100" w:line="360"/>
      </w:pPr>
      <w:r>
        <w:rPr>
          <w:rFonts w:ascii="Arial" w:cs="Arial" w:eastAsia="Arial" w:hAnsi="Arial"/>
          <w:sz w:val="24"/>
          <w:szCs w:val="24"/>
        </w:rPr>
        <w:t xml:space="preserve">What is the fallback strategy if lead target encounters Phase II problems?</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Prioritized backup target list (Quiver similarity, genetic validation, competition)</w:t>
      </w:r>
    </w:p>
    <w:p>
      <w:pPr>
        <w:pStyle w:val="ListParagraph"/>
        <w:numPr>
          <w:ilvl w:val="0"/>
          <w:numId w:val="1"/>
        </w:numPr>
        <w:spacing w:after="100" w:line="360"/>
      </w:pPr>
      <w:r>
        <w:rPr>
          <w:rFonts w:ascii="Arial" w:cs="Arial" w:eastAsia="Arial" w:hAnsi="Arial"/>
          <w:sz w:val="24"/>
          <w:szCs w:val="24"/>
        </w:rPr>
        <w:t xml:space="preserve">Backup target-to-indication mapping</w:t>
      </w:r>
    </w:p>
    <w:p>
      <w:pPr>
        <w:pStyle w:val="ListParagraph"/>
        <w:numPr>
          <w:ilvl w:val="0"/>
          <w:numId w:val="1"/>
        </w:numPr>
        <w:spacing w:after="100" w:line="360"/>
      </w:pPr>
      <w:r>
        <w:rPr>
          <w:rFonts w:ascii="Arial" w:cs="Arial" w:eastAsia="Arial" w:hAnsi="Arial"/>
          <w:sz w:val="24"/>
          <w:szCs w:val="24"/>
        </w:rPr>
        <w:t xml:space="preserve">Genetic validation scorecard (GWAS, rare variants, functional)</w:t>
      </w:r>
    </w:p>
    <w:p>
      <w:pPr>
        <w:pStyle w:val="ListParagraph"/>
        <w:numPr>
          <w:ilvl w:val="0"/>
          <w:numId w:val="1"/>
        </w:numPr>
        <w:spacing w:after="100" w:line="360"/>
      </w:pPr>
      <w:r>
        <w:rPr>
          <w:rFonts w:ascii="Arial" w:cs="Arial" w:eastAsia="Arial" w:hAnsi="Arial"/>
          <w:sz w:val="24"/>
          <w:szCs w:val="24"/>
        </w:rPr>
        <w:t xml:space="preserve">Patent landscape assessment for backup targets</w:t>
      </w:r>
    </w:p>
    <w:p>
      <w:pPr>
        <w:pStyle w:val="ListParagraph"/>
        <w:numPr>
          <w:ilvl w:val="0"/>
          <w:numId w:val="1"/>
        </w:numPr>
        <w:spacing w:after="100" w:line="360"/>
      </w:pPr>
      <w:r>
        <w:rPr>
          <w:rFonts w:ascii="Arial" w:cs="Arial" w:eastAsia="Arial" w:hAnsi="Arial"/>
          <w:sz w:val="24"/>
          <w:szCs w:val="24"/>
        </w:rPr>
        <w:t xml:space="preserve">Pipeline depth quantification (targets per indication)</w:t>
      </w:r>
    </w:p>
    <w:p>
      <w:pPr>
        <w:pStyle w:val="ListParagraph"/>
        <w:numPr>
          <w:ilvl w:val="0"/>
          <w:numId w:val="1"/>
        </w:numPr>
        <w:spacing w:after="100" w:line="360"/>
      </w:pPr>
      <w:r>
        <w:rPr>
          <w:rFonts w:ascii="Arial" w:cs="Arial" w:eastAsia="Arial" w:hAnsi="Arial"/>
          <w:sz w:val="24"/>
          <w:szCs w:val="24"/>
        </w:rPr>
        <w:t xml:space="preserve">Risk mitigation strategy (pivot triggers and timelines)</w:t>
      </w:r>
    </w:p>
    <w:p>
      <w:pPr>
        <w:spacing w:after="200" w:line="360"/>
      </w:pPr>
      <w:r>
        <w:rPr>
          <w:rFonts w:ascii="Arial" w:cs="Arial" w:eastAsia="Arial" w:hAnsi="Arial"/>
          <w:b w:val="false"/>
          <w:bCs w:val="false"/>
          <w:sz w:val="24"/>
          <w:szCs w:val="24"/>
        </w:rPr>
        <w:t xml:space="preserve">Format: Backup target ranking table with phenotype, validation, competition data; contingency decision tree.</w:t>
      </w:r>
    </w:p>
    <w:p>
      <w:pPr>
        <w:pStyle w:val="Heading2"/>
        <w:pStyle w:val="Heading2"/>
        <w:spacing w:after="200" w:line="360"/>
      </w:pPr>
      <w:r>
        <w:t xml:space="preserve">Stage 6: Long-Term Revenue Potential &amp; Strategic Value Assessment</w:t>
      </w:r>
    </w:p>
    <w:p>
      <w:pPr>
        <w:spacing w:after="200" w:line="360"/>
      </w:pPr>
      <w:r>
        <w:rPr>
          <w:rFonts w:ascii="Arial" w:cs="Arial" w:eastAsia="Arial" w:hAnsi="Arial"/>
          <w:b w:val="false"/>
          <w:bCs w:val="false"/>
          <w:sz w:val="24"/>
          <w:szCs w:val="24"/>
        </w:rPr>
        <w:t xml:space="preserve">Purpose: Project 10-year peak sales, NPV, and strategic franchise value by integrating patient population sizing, pricing benchmarks, competitive dynamics, and multi-indication expansion strategy. This stage yields the final franchise ranking for portfolio-level go/no-go decisions.</w:t>
      </w:r>
    </w:p>
    <w:p>
      <w:pPr>
        <w:spacing w:after="200" w:line="360"/>
      </w:pPr>
      <w:r>
        <w:rPr>
          <w:rFonts w:ascii="Arial" w:cs="Arial" w:eastAsia="Arial" w:hAnsi="Arial"/>
          <w:b/>
          <w:bCs/>
          <w:sz w:val="24"/>
          <w:szCs w:val="24"/>
        </w:rPr>
        <w:t xml:space="preserve">Inputs:</w:t>
      </w:r>
    </w:p>
    <w:p>
      <w:pPr>
        <w:pStyle w:val="ListParagraph"/>
        <w:numPr>
          <w:ilvl w:val="0"/>
          <w:numId w:val="1"/>
        </w:numPr>
        <w:spacing w:after="100" w:line="360"/>
      </w:pPr>
      <w:r>
        <w:rPr>
          <w:rFonts w:ascii="Arial" w:cs="Arial" w:eastAsia="Arial" w:hAnsi="Arial"/>
          <w:sz w:val="24"/>
          <w:szCs w:val="24"/>
        </w:rPr>
        <w:t xml:space="preserve">Total addressable market (TAM) for each indication</w:t>
      </w:r>
    </w:p>
    <w:p>
      <w:pPr>
        <w:pStyle w:val="ListParagraph"/>
        <w:numPr>
          <w:ilvl w:val="0"/>
          <w:numId w:val="1"/>
        </w:numPr>
        <w:spacing w:after="100" w:line="360"/>
      </w:pPr>
      <w:r>
        <w:rPr>
          <w:rFonts w:ascii="Arial" w:cs="Arial" w:eastAsia="Arial" w:hAnsi="Arial"/>
          <w:sz w:val="24"/>
          <w:szCs w:val="24"/>
        </w:rPr>
        <w:t xml:space="preserve">Competitive peak sales benchmarks from franchise comparables</w:t>
      </w:r>
    </w:p>
    <w:p>
      <w:pPr>
        <w:pStyle w:val="ListParagraph"/>
        <w:numPr>
          <w:ilvl w:val="0"/>
          <w:numId w:val="1"/>
        </w:numPr>
        <w:spacing w:after="100" w:line="360"/>
      </w:pPr>
      <w:r>
        <w:rPr>
          <w:rFonts w:ascii="Arial" w:cs="Arial" w:eastAsia="Arial" w:hAnsi="Arial"/>
          <w:sz w:val="24"/>
          <w:szCs w:val="24"/>
        </w:rPr>
        <w:t xml:space="preserve">Market penetration assumptions by indication and year</w:t>
      </w:r>
    </w:p>
    <w:p>
      <w:pPr>
        <w:pStyle w:val="ListParagraph"/>
        <w:numPr>
          <w:ilvl w:val="0"/>
          <w:numId w:val="1"/>
        </w:numPr>
        <w:spacing w:after="100" w:line="360"/>
      </w:pPr>
      <w:r>
        <w:rPr>
          <w:rFonts w:ascii="Arial" w:cs="Arial" w:eastAsia="Arial" w:hAnsi="Arial"/>
          <w:sz w:val="24"/>
          <w:szCs w:val="24"/>
        </w:rPr>
        <w:t xml:space="preserve">R&amp;D cost projections for clinical development</w:t>
      </w:r>
    </w:p>
    <w:p>
      <w:pPr>
        <w:pStyle w:val="ListParagraph"/>
        <w:numPr>
          <w:ilvl w:val="0"/>
          <w:numId w:val="1"/>
        </w:numPr>
        <w:spacing w:after="100" w:line="360"/>
      </w:pPr>
      <w:r>
        <w:rPr>
          <w:rFonts w:ascii="Arial" w:cs="Arial" w:eastAsia="Arial" w:hAnsi="Arial"/>
          <w:sz w:val="24"/>
          <w:szCs w:val="24"/>
        </w:rPr>
        <w:t xml:space="preserve">Manufacturing and commercial infrastructure assumptions</w:t>
      </w:r>
    </w:p>
    <w:p>
      <w:pPr>
        <w:spacing w:after="200" w:line="360"/>
      </w:pPr>
      <w:r>
        <w:rPr>
          <w:rFonts w:ascii="Arial" w:cs="Arial" w:eastAsia="Arial" w:hAnsi="Arial"/>
          <w:b/>
          <w:bCs/>
          <w:sz w:val="24"/>
          <w:szCs w:val="24"/>
        </w:rPr>
        <w:t xml:space="preserve">Tools &amp; Databases Called:</w:t>
      </w:r>
    </w:p>
    <w:p>
      <w:pPr>
        <w:pStyle w:val="ListParagraph"/>
        <w:numPr>
          <w:ilvl w:val="0"/>
          <w:numId w:val="1"/>
        </w:numPr>
        <w:spacing w:after="100" w:line="360"/>
      </w:pPr>
      <w:r>
        <w:rPr>
          <w:rFonts w:ascii="Arial" w:cs="Arial" w:eastAsia="Arial" w:hAnsi="Arial"/>
          <w:sz w:val="24"/>
          <w:szCs w:val="24"/>
        </w:rPr>
        <w:t xml:space="preserve">**GlobalData / Evaluate Pharma**: Market forecasts and peak sales</w:t>
      </w:r>
    </w:p>
    <w:p>
      <w:pPr>
        <w:pStyle w:val="ListParagraph"/>
        <w:numPr>
          <w:ilvl w:val="0"/>
          <w:numId w:val="1"/>
        </w:numPr>
        <w:spacing w:after="100" w:line="360"/>
      </w:pPr>
      <w:r>
        <w:rPr>
          <w:rFonts w:ascii="Arial" w:cs="Arial" w:eastAsia="Arial" w:hAnsi="Arial"/>
          <w:sz w:val="24"/>
          <w:szCs w:val="24"/>
        </w:rPr>
        <w:t xml:space="preserve">**IQVIA Data**: Historic peak sales for approved franchises</w:t>
      </w:r>
    </w:p>
    <w:p>
      <w:pPr>
        <w:pStyle w:val="ListParagraph"/>
        <w:numPr>
          <w:ilvl w:val="0"/>
          <w:numId w:val="1"/>
        </w:numPr>
        <w:spacing w:after="100" w:line="360"/>
      </w:pPr>
      <w:r>
        <w:rPr>
          <w:rFonts w:ascii="Arial" w:cs="Arial" w:eastAsia="Arial" w:hAnsi="Arial"/>
          <w:sz w:val="24"/>
          <w:szCs w:val="24"/>
        </w:rPr>
        <w:t xml:space="preserve">**Company Investor Presentations**: Peak sales and revenue guidance</w:t>
      </w:r>
    </w:p>
    <w:p>
      <w:pPr>
        <w:pStyle w:val="ListParagraph"/>
        <w:numPr>
          <w:ilvl w:val="0"/>
          <w:numId w:val="1"/>
        </w:numPr>
        <w:spacing w:after="100" w:line="360"/>
      </w:pPr>
      <w:r>
        <w:rPr>
          <w:rFonts w:ascii="Arial" w:cs="Arial" w:eastAsia="Arial" w:hAnsi="Arial"/>
          <w:sz w:val="24"/>
          <w:szCs w:val="24"/>
        </w:rPr>
        <w:t xml:space="preserve">**CMS / IMS**: Real-world market penetration curves</w:t>
      </w:r>
    </w:p>
    <w:p>
      <w:pPr>
        <w:pStyle w:val="ListParagraph"/>
        <w:numPr>
          <w:ilvl w:val="0"/>
          <w:numId w:val="1"/>
        </w:numPr>
        <w:spacing w:after="100" w:line="360"/>
      </w:pPr>
      <w:r>
        <w:rPr>
          <w:rFonts w:ascii="Arial" w:cs="Arial" w:eastAsia="Arial" w:hAnsi="Arial"/>
          <w:sz w:val="24"/>
          <w:szCs w:val="24"/>
        </w:rPr>
        <w:t xml:space="preserve">**R&amp;D Cost Databases (Tufts, Thomson Reuters)**: Development benchmarks</w:t>
      </w:r>
    </w:p>
    <w:p>
      <w:pPr>
        <w:pStyle w:val="ListParagraph"/>
        <w:numPr>
          <w:ilvl w:val="0"/>
          <w:numId w:val="1"/>
        </w:numPr>
        <w:spacing w:after="100" w:line="360"/>
      </w:pPr>
      <w:r>
        <w:rPr>
          <w:rFonts w:ascii="Arial" w:cs="Arial" w:eastAsia="Arial" w:hAnsi="Arial"/>
          <w:sz w:val="24"/>
          <w:szCs w:val="24"/>
        </w:rPr>
        <w:t xml:space="preserve">**NPV Modeling Frameworks**: Risk-adjusted valuation</w:t>
      </w:r>
    </w:p>
    <w:p>
      <w:pPr>
        <w:spacing w:after="200" w:line="360"/>
      </w:pPr>
      <w:r>
        <w:rPr>
          <w:rFonts w:ascii="Arial" w:cs="Arial" w:eastAsia="Arial" w:hAnsi="Arial"/>
          <w:b/>
          <w:bCs/>
          <w:sz w:val="24"/>
          <w:szCs w:val="24"/>
        </w:rPr>
        <w:t xml:space="preserve">Exemplary Sub-Prompts:</w:t>
      </w:r>
    </w:p>
    <w:p>
      <w:pPr>
        <w:pStyle w:val="ListParagraph"/>
        <w:numPr>
          <w:ilvl w:val="0"/>
          <w:numId w:val="1"/>
        </w:numPr>
        <w:spacing w:after="100" w:line="360"/>
      </w:pPr>
      <w:r>
        <w:rPr>
          <w:rFonts w:ascii="Arial" w:cs="Arial" w:eastAsia="Arial" w:hAnsi="Arial"/>
          <w:sz w:val="24"/>
          <w:szCs w:val="24"/>
        </w:rPr>
        <w:t xml:space="preserve">What is the 10-year peak sales potential for each indication?</w:t>
      </w:r>
    </w:p>
    <w:p>
      <w:pPr>
        <w:pStyle w:val="ListParagraph"/>
        <w:numPr>
          <w:ilvl w:val="0"/>
          <w:numId w:val="1"/>
        </w:numPr>
        <w:spacing w:after="100" w:line="360"/>
      </w:pPr>
      <w:r>
        <w:rPr>
          <w:rFonts w:ascii="Arial" w:cs="Arial" w:eastAsia="Arial" w:hAnsi="Arial"/>
          <w:sz w:val="24"/>
          <w:szCs w:val="24"/>
        </w:rPr>
        <w:t xml:space="preserve">How would multi-indication launch strategy maximize revenue?</w:t>
      </w:r>
    </w:p>
    <w:p>
      <w:pPr>
        <w:pStyle w:val="ListParagraph"/>
        <w:numPr>
          <w:ilvl w:val="0"/>
          <w:numId w:val="1"/>
        </w:numPr>
        <w:spacing w:after="100" w:line="360"/>
      </w:pPr>
      <w:r>
        <w:rPr>
          <w:rFonts w:ascii="Arial" w:cs="Arial" w:eastAsia="Arial" w:hAnsi="Arial"/>
          <w:sz w:val="24"/>
          <w:szCs w:val="24"/>
        </w:rPr>
        <w:t xml:space="preserve">What is the competitive pricing range per indication?</w:t>
      </w:r>
    </w:p>
    <w:p>
      <w:pPr>
        <w:pStyle w:val="ListParagraph"/>
        <w:numPr>
          <w:ilvl w:val="0"/>
          <w:numId w:val="1"/>
        </w:numPr>
        <w:spacing w:after="100" w:line="360"/>
      </w:pPr>
      <w:r>
        <w:rPr>
          <w:rFonts w:ascii="Arial" w:cs="Arial" w:eastAsia="Arial" w:hAnsi="Arial"/>
          <w:sz w:val="24"/>
          <w:szCs w:val="24"/>
        </w:rPr>
        <w:t xml:space="preserve">What is the NPV at 10% discount rate accounting for R&amp;D and risk?</w:t>
      </w:r>
    </w:p>
    <w:p>
      <w:pPr>
        <w:pStyle w:val="ListParagraph"/>
        <w:numPr>
          <w:ilvl w:val="0"/>
          <w:numId w:val="1"/>
        </w:numPr>
        <w:spacing w:after="100" w:line="360"/>
      </w:pPr>
      <w:r>
        <w:rPr>
          <w:rFonts w:ascii="Arial" w:cs="Arial" w:eastAsia="Arial" w:hAnsi="Arial"/>
          <w:sz w:val="24"/>
          <w:szCs w:val="24"/>
        </w:rPr>
        <w:t xml:space="preserve">How would first-mover advantage impact long-term franchise value?</w:t>
      </w:r>
    </w:p>
    <w:p>
      <w:pPr>
        <w:spacing w:after="200" w:line="360"/>
      </w:pPr>
      <w:r>
        <w:rPr>
          <w:rFonts w:ascii="Arial" w:cs="Arial" w:eastAsia="Arial" w:hAnsi="Arial"/>
          <w:b/>
          <w:bCs/>
          <w:sz w:val="24"/>
          <w:szCs w:val="24"/>
        </w:rPr>
        <w:t xml:space="preserve">Expected Outputs:</w:t>
      </w:r>
    </w:p>
    <w:p>
      <w:pPr>
        <w:pStyle w:val="ListParagraph"/>
        <w:numPr>
          <w:ilvl w:val="0"/>
          <w:numId w:val="1"/>
        </w:numPr>
        <w:spacing w:after="100" w:line="360"/>
      </w:pPr>
      <w:r>
        <w:rPr>
          <w:rFonts w:ascii="Arial" w:cs="Arial" w:eastAsia="Arial" w:hAnsi="Arial"/>
          <w:sz w:val="24"/>
          <w:szCs w:val="24"/>
        </w:rPr>
        <w:t xml:space="preserve">10-year peak sales projection by indication</w:t>
      </w:r>
    </w:p>
    <w:p>
      <w:pPr>
        <w:pStyle w:val="ListParagraph"/>
        <w:numPr>
          <w:ilvl w:val="0"/>
          <w:numId w:val="1"/>
        </w:numPr>
        <w:spacing w:after="100" w:line="360"/>
      </w:pPr>
      <w:r>
        <w:rPr>
          <w:rFonts w:ascii="Arial" w:cs="Arial" w:eastAsia="Arial" w:hAnsi="Arial"/>
          <w:sz w:val="24"/>
          <w:szCs w:val="24"/>
        </w:rPr>
        <w:t xml:space="preserve">NPV calculation (base, bull, bear case scenarios)</w:t>
      </w:r>
    </w:p>
    <w:p>
      <w:pPr>
        <w:pStyle w:val="ListParagraph"/>
        <w:numPr>
          <w:ilvl w:val="0"/>
          <w:numId w:val="1"/>
        </w:numPr>
        <w:spacing w:after="100" w:line="360"/>
      </w:pPr>
      <w:r>
        <w:rPr>
          <w:rFonts w:ascii="Arial" w:cs="Arial" w:eastAsia="Arial" w:hAnsi="Arial"/>
          <w:sz w:val="24"/>
          <w:szCs w:val="24"/>
        </w:rPr>
        <w:t xml:space="preserve">Market penetration trajectory (conservative, base, optimistic)</w:t>
      </w:r>
    </w:p>
    <w:p>
      <w:pPr>
        <w:pStyle w:val="ListParagraph"/>
        <w:numPr>
          <w:ilvl w:val="0"/>
          <w:numId w:val="1"/>
        </w:numPr>
        <w:spacing w:after="100" w:line="360"/>
      </w:pPr>
      <w:r>
        <w:rPr>
          <w:rFonts w:ascii="Arial" w:cs="Arial" w:eastAsia="Arial" w:hAnsi="Arial"/>
          <w:sz w:val="24"/>
          <w:szCs w:val="24"/>
        </w:rPr>
        <w:t xml:space="preserve">R&amp;D investment requirement and timeline</w:t>
      </w:r>
    </w:p>
    <w:p>
      <w:pPr>
        <w:pStyle w:val="ListParagraph"/>
        <w:numPr>
          <w:ilvl w:val="0"/>
          <w:numId w:val="1"/>
        </w:numPr>
        <w:spacing w:after="100" w:line="360"/>
      </w:pPr>
      <w:r>
        <w:rPr>
          <w:rFonts w:ascii="Arial" w:cs="Arial" w:eastAsia="Arial" w:hAnsi="Arial"/>
          <w:sz w:val="24"/>
          <w:szCs w:val="24"/>
        </w:rPr>
        <w:t xml:space="preserve">Competitive peak sales benchmarking against analogous franchises</w:t>
      </w:r>
    </w:p>
    <w:p>
      <w:pPr>
        <w:pStyle w:val="ListParagraph"/>
        <w:numPr>
          <w:ilvl w:val="0"/>
          <w:numId w:val="1"/>
        </w:numPr>
        <w:spacing w:after="100" w:line="360"/>
      </w:pPr>
      <w:r>
        <w:rPr>
          <w:rFonts w:ascii="Arial" w:cs="Arial" w:eastAsia="Arial" w:hAnsi="Arial"/>
          <w:sz w:val="24"/>
          <w:szCs w:val="24"/>
        </w:rPr>
        <w:t xml:space="preserve">Final franchise value ranking with portfolio recommendation</w:t>
      </w:r>
    </w:p>
    <w:p>
      <w:pPr>
        <w:spacing w:after="200" w:line="360"/>
      </w:pPr>
      <w:r>
        <w:rPr>
          <w:rFonts w:ascii="Arial" w:cs="Arial" w:eastAsia="Arial" w:hAnsi="Arial"/>
          <w:b w:val="false"/>
          <w:bCs w:val="false"/>
          <w:sz w:val="24"/>
          <w:szCs w:val="24"/>
        </w:rPr>
        <w:t xml:space="preserve">Format: 10-year revenue projection chart by indication, NPV sensitivity analysis, market penetration curves, franchise ranking scorecard.</w:t>
      </w:r>
    </w:p>
    <w:p>
      <w:pPr>
        <w:pStyle w:val="Heading2"/>
        <w:pStyle w:val="Heading2"/>
        <w:spacing w:after="200" w:line="360"/>
      </w:pPr>
      <w:r>
        <w:t xml:space="preserve">Tools &amp; Databases Summary</w:t>
      </w:r>
    </w:p>
    <w:p>
      <w:pPr>
        <w:pStyle w:val="ListParagraph"/>
        <w:numPr>
          <w:ilvl w:val="0"/>
          <w:numId w:val="1"/>
        </w:numPr>
        <w:spacing w:after="100" w:line="360"/>
      </w:pPr>
      <w:r>
        <w:rPr>
          <w:rFonts w:ascii="Arial" w:cs="Arial" w:eastAsia="Arial" w:hAnsi="Arial"/>
          <w:sz w:val="24"/>
          <w:szCs w:val="24"/>
        </w:rPr>
        <w:t xml:space="preserve">**Quiver EP Embedding Space** - High-dimensional phenotype clustering</w:t>
      </w:r>
    </w:p>
    <w:p>
      <w:pPr>
        <w:pStyle w:val="ListParagraph"/>
        <w:numPr>
          <w:ilvl w:val="0"/>
          <w:numId w:val="1"/>
        </w:numPr>
        <w:spacing w:after="100" w:line="360"/>
      </w:pPr>
      <w:r>
        <w:rPr>
          <w:rFonts w:ascii="Arial" w:cs="Arial" w:eastAsia="Arial" w:hAnsi="Arial"/>
          <w:sz w:val="24"/>
          <w:szCs w:val="24"/>
        </w:rPr>
        <w:t xml:space="preserve">**KEGG Pathway Database** - Biological pathway annotation</w:t>
      </w:r>
    </w:p>
    <w:p>
      <w:pPr>
        <w:pStyle w:val="ListParagraph"/>
        <w:numPr>
          <w:ilvl w:val="0"/>
          <w:numId w:val="1"/>
        </w:numPr>
        <w:spacing w:after="100" w:line="360"/>
      </w:pPr>
      <w:r>
        <w:rPr>
          <w:rFonts w:ascii="Arial" w:cs="Arial" w:eastAsia="Arial" w:hAnsi="Arial"/>
          <w:sz w:val="24"/>
          <w:szCs w:val="24"/>
        </w:rPr>
        <w:t xml:space="preserve">**Gene Ontology (GO)** - Gene function standardization</w:t>
      </w:r>
    </w:p>
    <w:p>
      <w:pPr>
        <w:pStyle w:val="ListParagraph"/>
        <w:numPr>
          <w:ilvl w:val="0"/>
          <w:numId w:val="1"/>
        </w:numPr>
        <w:spacing w:after="100" w:line="360"/>
      </w:pPr>
      <w:r>
        <w:rPr>
          <w:rFonts w:ascii="Arial" w:cs="Arial" w:eastAsia="Arial" w:hAnsi="Arial"/>
          <w:sz w:val="24"/>
          <w:szCs w:val="24"/>
        </w:rPr>
        <w:t xml:space="preserve">**GWAS Catalog** - Disease-associated genetic variants</w:t>
      </w:r>
    </w:p>
    <w:p>
      <w:pPr>
        <w:pStyle w:val="ListParagraph"/>
        <w:numPr>
          <w:ilvl w:val="0"/>
          <w:numId w:val="1"/>
        </w:numPr>
        <w:spacing w:after="100" w:line="360"/>
      </w:pPr>
      <w:r>
        <w:rPr>
          <w:rFonts w:ascii="Arial" w:cs="Arial" w:eastAsia="Arial" w:hAnsi="Arial"/>
          <w:sz w:val="24"/>
          <w:szCs w:val="24"/>
        </w:rPr>
        <w:t xml:space="preserve">**NHGRI / NIH RARE-X** - Rare disease genetics</w:t>
      </w:r>
    </w:p>
    <w:p>
      <w:pPr>
        <w:pStyle w:val="ListParagraph"/>
        <w:numPr>
          <w:ilvl w:val="0"/>
          <w:numId w:val="1"/>
        </w:numPr>
        <w:spacing w:after="100" w:line="360"/>
      </w:pPr>
      <w:r>
        <w:rPr>
          <w:rFonts w:ascii="Arial" w:cs="Arial" w:eastAsia="Arial" w:hAnsi="Arial"/>
          <w:sz w:val="24"/>
          <w:szCs w:val="24"/>
        </w:rPr>
        <w:t xml:space="preserve">**Disease-Specific EP Databases** - Patient-derived phenotypes</w:t>
      </w:r>
    </w:p>
    <w:p>
      <w:pPr>
        <w:pStyle w:val="ListParagraph"/>
        <w:numPr>
          <w:ilvl w:val="0"/>
          <w:numId w:val="1"/>
        </w:numPr>
        <w:spacing w:after="100" w:line="360"/>
      </w:pPr>
      <w:r>
        <w:rPr>
          <w:rFonts w:ascii="Arial" w:cs="Arial" w:eastAsia="Arial" w:hAnsi="Arial"/>
          <w:sz w:val="24"/>
          <w:szCs w:val="24"/>
        </w:rPr>
        <w:t xml:space="preserve">**Allen Brain Atlas** - Single-cell transcriptomics</w:t>
      </w:r>
    </w:p>
    <w:p>
      <w:pPr>
        <w:pStyle w:val="ListParagraph"/>
        <w:numPr>
          <w:ilvl w:val="0"/>
          <w:numId w:val="1"/>
        </w:numPr>
        <w:spacing w:after="100" w:line="360"/>
      </w:pPr>
      <w:r>
        <w:rPr>
          <w:rFonts w:ascii="Arial" w:cs="Arial" w:eastAsia="Arial" w:hAnsi="Arial"/>
          <w:sz w:val="24"/>
          <w:szCs w:val="24"/>
        </w:rPr>
        <w:t xml:space="preserve">**Human Protein Atlas** - Tissue expression data</w:t>
      </w:r>
    </w:p>
    <w:p>
      <w:pPr>
        <w:pStyle w:val="ListParagraph"/>
        <w:numPr>
          <w:ilvl w:val="0"/>
          <w:numId w:val="1"/>
        </w:numPr>
        <w:spacing w:after="100" w:line="360"/>
      </w:pPr>
      <w:r>
        <w:rPr>
          <w:rFonts w:ascii="Arial" w:cs="Arial" w:eastAsia="Arial" w:hAnsi="Arial"/>
          <w:sz w:val="24"/>
          <w:szCs w:val="24"/>
        </w:rPr>
        <w:t xml:space="preserve">**BrainSpan** - Developmental brain expression atlas</w:t>
      </w:r>
    </w:p>
    <w:p>
      <w:pPr>
        <w:pStyle w:val="ListParagraph"/>
        <w:numPr>
          <w:ilvl w:val="0"/>
          <w:numId w:val="1"/>
        </w:numPr>
        <w:spacing w:after="100" w:line="360"/>
      </w:pPr>
      <w:r>
        <w:rPr>
          <w:rFonts w:ascii="Arial" w:cs="Arial" w:eastAsia="Arial" w:hAnsi="Arial"/>
          <w:sz w:val="24"/>
          <w:szCs w:val="24"/>
        </w:rPr>
        <w:t xml:space="preserve">**ClinicalTrials.gov** - Clinical trial registry</w:t>
      </w:r>
    </w:p>
    <w:p>
      <w:pPr>
        <w:pStyle w:val="ListParagraph"/>
        <w:numPr>
          <w:ilvl w:val="0"/>
          <w:numId w:val="1"/>
        </w:numPr>
        <w:spacing w:after="100" w:line="360"/>
      </w:pPr>
      <w:r>
        <w:rPr>
          <w:rFonts w:ascii="Arial" w:cs="Arial" w:eastAsia="Arial" w:hAnsi="Arial"/>
          <w:sz w:val="24"/>
          <w:szCs w:val="24"/>
        </w:rPr>
        <w:t xml:space="preserve">**Orphanet / NORD** - Rare disease epidemiology</w:t>
      </w:r>
    </w:p>
    <w:p>
      <w:pPr>
        <w:pStyle w:val="ListParagraph"/>
        <w:numPr>
          <w:ilvl w:val="0"/>
          <w:numId w:val="1"/>
        </w:numPr>
        <w:spacing w:after="100" w:line="360"/>
      </w:pPr>
      <w:r>
        <w:rPr>
          <w:rFonts w:ascii="Arial" w:cs="Arial" w:eastAsia="Arial" w:hAnsi="Arial"/>
          <w:sz w:val="24"/>
          <w:szCs w:val="24"/>
        </w:rPr>
        <w:t xml:space="preserve">**Cortellis** - Pipeline and regulatory intelligence</w:t>
      </w:r>
    </w:p>
    <w:p>
      <w:pPr>
        <w:pStyle w:val="ListParagraph"/>
        <w:numPr>
          <w:ilvl w:val="0"/>
          <w:numId w:val="1"/>
        </w:numPr>
        <w:spacing w:after="100" w:line="360"/>
      </w:pPr>
      <w:r>
        <w:rPr>
          <w:rFonts w:ascii="Arial" w:cs="Arial" w:eastAsia="Arial" w:hAnsi="Arial"/>
          <w:sz w:val="24"/>
          <w:szCs w:val="24"/>
        </w:rPr>
        <w:t xml:space="preserve">**Pharmaprojects / GlobalData** - Commercial pipeline tracking</w:t>
      </w:r>
    </w:p>
    <w:p>
      <w:pPr>
        <w:pStyle w:val="ListParagraph"/>
        <w:numPr>
          <w:ilvl w:val="0"/>
          <w:numId w:val="1"/>
        </w:numPr>
        <w:spacing w:after="100" w:line="360"/>
      </w:pPr>
      <w:r>
        <w:rPr>
          <w:rFonts w:ascii="Arial" w:cs="Arial" w:eastAsia="Arial" w:hAnsi="Arial"/>
          <w:sz w:val="24"/>
          <w:szCs w:val="24"/>
        </w:rPr>
        <w:t xml:space="preserve">**USPTO / Espacenet** - Patent search and analysis</w:t>
      </w:r>
    </w:p>
    <w:p>
      <w:pPr>
        <w:pStyle w:val="ListParagraph"/>
        <w:numPr>
          <w:ilvl w:val="0"/>
          <w:numId w:val="1"/>
        </w:numPr>
        <w:spacing w:after="100" w:line="360"/>
      </w:pPr>
      <w:r>
        <w:rPr>
          <w:rFonts w:ascii="Arial" w:cs="Arial" w:eastAsia="Arial" w:hAnsi="Arial"/>
          <w:sz w:val="24"/>
          <w:szCs w:val="24"/>
        </w:rPr>
        <w:t xml:space="preserve">**Evaluate Pharma** - Market forecasts and sales</w:t>
      </w:r>
    </w:p>
    <w:p>
      <w:pPr>
        <w:pStyle w:val="ListParagraph"/>
        <w:numPr>
          <w:ilvl w:val="0"/>
          <w:numId w:val="1"/>
        </w:numPr>
        <w:spacing w:after="100" w:line="360"/>
      </w:pPr>
      <w:r>
        <w:rPr>
          <w:rFonts w:ascii="Arial" w:cs="Arial" w:eastAsia="Arial" w:hAnsi="Arial"/>
          <w:sz w:val="24"/>
          <w:szCs w:val="24"/>
        </w:rPr>
        <w:t xml:space="preserve">**IQVIA Data** - Real-world market dynamics</w:t>
      </w:r>
    </w:p>
    <w:p>
      <w:pPr>
        <w:pStyle w:val="ListParagraph"/>
        <w:numPr>
          <w:ilvl w:val="0"/>
          <w:numId w:val="1"/>
        </w:numPr>
        <w:spacing w:after="100" w:line="360"/>
      </w:pPr>
      <w:r>
        <w:rPr>
          <w:rFonts w:ascii="Arial" w:cs="Arial" w:eastAsia="Arial" w:hAnsi="Arial"/>
          <w:sz w:val="24"/>
          <w:szCs w:val="24"/>
        </w:rPr>
        <w:t xml:space="preserve">**AlphaFold** - Protein structure prediction</w:t>
      </w:r>
    </w:p>
    <w:p>
      <w:pPr>
        <w:pStyle w:val="ListParagraph"/>
        <w:numPr>
          <w:ilvl w:val="0"/>
          <w:numId w:val="1"/>
        </w:numPr>
        <w:spacing w:after="100" w:line="360"/>
      </w:pPr>
      <w:r>
        <w:rPr>
          <w:rFonts w:ascii="Arial" w:cs="Arial" w:eastAsia="Arial" w:hAnsi="Arial"/>
          <w:sz w:val="24"/>
          <w:szCs w:val="24"/>
        </w:rPr>
        <w:t xml:space="preserve">**DrugBank / PubChem** - Chemical space</w:t>
      </w:r>
    </w:p>
    <w:p>
      <w:pPr>
        <w:pStyle w:val="ListParagraph"/>
        <w:numPr>
          <w:ilvl w:val="0"/>
          <w:numId w:val="1"/>
        </w:numPr>
        <w:spacing w:after="100" w:line="360"/>
      </w:pPr>
      <w:r>
        <w:rPr>
          <w:rFonts w:ascii="Arial" w:cs="Arial" w:eastAsia="Arial" w:hAnsi="Arial"/>
          <w:sz w:val="24"/>
          <w:szCs w:val="24"/>
        </w:rPr>
        <w:t xml:space="preserve">**ASO Design Tools** - mRNA accessibility prediction</w:t>
      </w:r>
    </w:p>
    <w:p>
      <w:pPr>
        <w:pStyle w:val="ListParagraph"/>
        <w:numPr>
          <w:ilvl w:val="0"/>
          <w:numId w:val="1"/>
        </w:numPr>
        <w:spacing w:after="100" w:line="360"/>
      </w:pPr>
      <w:r>
        <w:rPr>
          <w:rFonts w:ascii="Arial" w:cs="Arial" w:eastAsia="Arial" w:hAnsi="Arial"/>
          <w:sz w:val="24"/>
          <w:szCs w:val="24"/>
        </w:rPr>
        <w:t xml:space="preserve">**Gene2Phenotype / Genomics England** - Rare variant validation</w:t>
      </w:r>
    </w:p>
    <w:p>
      <w:pPr>
        <w:pStyle w:val="ListParagraph"/>
        <w:numPr>
          <w:ilvl w:val="0"/>
          <w:numId w:val="1"/>
        </w:numPr>
        <w:spacing w:after="100" w:line="360"/>
      </w:pPr>
      <w:r>
        <w:rPr>
          <w:rFonts w:ascii="Arial" w:cs="Arial" w:eastAsia="Arial" w:hAnsi="Arial"/>
          <w:sz w:val="24"/>
          <w:szCs w:val="24"/>
        </w:rPr>
        <w:t xml:space="preserve">**Company Press Releases** - Real-time competitive intelligence</w:t>
      </w:r>
    </w:p>
    <w:p>
      <w:pPr>
        <w:pStyle w:val="ListParagraph"/>
        <w:numPr>
          <w:ilvl w:val="0"/>
          <w:numId w:val="1"/>
        </w:numPr>
        <w:spacing w:after="100" w:line="360"/>
      </w:pPr>
      <w:r>
        <w:rPr>
          <w:rFonts w:ascii="Arial" w:cs="Arial" w:eastAsia="Arial" w:hAnsi="Arial"/>
          <w:sz w:val="24"/>
          <w:szCs w:val="24"/>
        </w:rPr>
        <w:t xml:space="preserve">**Tufts Center / Thomson Reuters** - R&amp;D cost benchmarks</w:t>
      </w:r>
    </w:p>
    <w:p>
      <w:pPr>
        <w:pStyle w:val="ListParagraph"/>
        <w:numPr>
          <w:ilvl w:val="0"/>
          <w:numId w:val="1"/>
        </w:numPr>
        <w:spacing w:after="100" w:line="360"/>
      </w:pPr>
      <w:r>
        <w:rPr>
          <w:rFonts w:ascii="Arial" w:cs="Arial" w:eastAsia="Arial" w:hAnsi="Arial"/>
          <w:sz w:val="24"/>
          <w:szCs w:val="24"/>
        </w:rPr>
        <w:t xml:space="preserve">**Published Literature (PubMed)** - Experimental validation</w:t>
      </w:r>
    </w:p>
    <w:p>
      <w:pPr>
        <w:pStyle w:val="ListParagraph"/>
        <w:numPr>
          <w:ilvl w:val="0"/>
          <w:numId w:val="1"/>
        </w:numPr>
        <w:spacing w:after="100" w:line="360"/>
      </w:pPr>
      <w:r>
        <w:rPr>
          <w:rFonts w:ascii="Arial" w:cs="Arial" w:eastAsia="Arial" w:hAnsi="Arial"/>
          <w:sz w:val="24"/>
          <w:szCs w:val="24"/>
        </w:rPr>
        <w:t xml:space="preserve">**FDA Guidance Documents** - Regulatory pathway</w:t>
      </w:r>
    </w:p>
    <w:p>
      <w:pPr>
        <w:pStyle w:val="ListParagraph"/>
        <w:numPr>
          <w:ilvl w:val="0"/>
          <w:numId w:val="1"/>
        </w:numPr>
        <w:spacing w:after="100" w:line="360"/>
      </w:pPr>
      <w:r>
        <w:rPr>
          <w:rFonts w:ascii="Arial" w:cs="Arial" w:eastAsia="Arial" w:hAnsi="Arial"/>
          <w:sz w:val="24"/>
          <w:szCs w:val="24"/>
        </w:rPr>
        <w:t xml:space="preserve">**WHO / NIH Disease Frameworks** - Unmet need guidance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2026-02-27T18:59:23.894Z</dcterms:created>
  <dcterms:modified xsi:type="dcterms:W3CDTF">2026-02-27T18:59:23.895Z</dcterms:modified>
</cp:coreProperties>
</file>

<file path=docProps/custom.xml><?xml version="1.0" encoding="utf-8"?>
<Properties xmlns="http://schemas.openxmlformats.org/officeDocument/2006/custom-properties" xmlns:vt="http://schemas.openxmlformats.org/officeDocument/2006/docPropsVTypes"/>
</file>