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Pipeline 075: Phenotype Characterization: Synaptic Dysfunction vs. Intrinsic Excitability</w:t>
      </w:r>
    </w:p>
    <w:p/>
    <w:p>
      <w:pPr>
        <w:pStyle w:val="Heading2"/>
      </w:pPr>
      <w:r>
        <w:rPr>
          <w:b/>
          <w:sz w:val="56"/>
        </w:rPr>
        <w:t>Core Research Question</w:t>
      </w:r>
    </w:p>
    <w:p>
      <w:r>
        <w:rPr>
          <w:rFonts w:ascii="Arial" w:hAnsi="Arial"/>
          <w:sz w:val="48"/>
        </w:rPr>
        <w:t>For gene X, does the Quiver phenotype more closely resemble synaptic dysfunction or intrinsic excitability shift? Quantify effect sizes.</w:t>
      </w:r>
    </w:p>
    <w:p/>
    <w:p>
      <w:pPr>
        <w:pStyle w:val="Heading2"/>
      </w:pPr>
      <w:r>
        <w:rPr>
          <w:b/>
          <w:sz w:val="56"/>
        </w:rPr>
        <w:t>Stage 1: Research Question Refinement &amp; Data Landscape Mapping</w:t>
      </w:r>
    </w:p>
    <w:p>
      <w:r>
        <w:rPr>
          <w:b/>
        </w:rPr>
        <w:t xml:space="preserve">Purpose: </w:t>
      </w:r>
      <w:r>
        <w:rPr>
          <w:rFonts w:ascii="Arial" w:hAnsi="Arial"/>
          <w:sz w:val="48"/>
        </w:rPr>
        <w:t>This foundational stage establishes the computational and biological scope of investigation, systematically mapping available Sapphire data layers and identifying which features carry maximum relevance for the specific research question. Deep exploration of Quiver phenotypic dataset structure reveals hierarchical organization by cell type, developmental stage, experimental condition, and perturbation modality. Identification of relevant experimental paradigms requires cross-referencing protocols, assay validations, and quality metrics that distinguish robust signals from technical artifacts. Specification of filtering criteria ensures data quality through principled inclusion/exclusion thresholds, biological coherence validation, and explicit documentation of all preprocessing decisions.</w:t>
      </w:r>
    </w:p>
    <w:p>
      <w:pPr/>
      <w:r>
        <w:t>The Sapphire platform integrates ~18k gene perturbations spanning complete loss-of-function mutations (CRISPR knockouts), partial loss-of-function (CRISPR knockdowns), gain-of-function variants, haploinsufficiency models, and dominant-negative constructs. Each perturbation is characterized by 500+ electrophysiological features spanning action potential properties, synaptic transmission metrics, network dynamics, calcium signaling, ion channel kinetics, and morphological parameters. Feature catalogs include continuous measurements (membrane voltage, current, frequency) and categorical assessments (action potential morphology classification, network burst patterns). The atlas also contains compound screening data covering approximately 3,500 pharmacological agents with annotated targets, mechanisms, and phenotypic readouts.</w:t>
      </w:r>
    </w:p>
    <w:p>
      <w:pPr/>
      <w:r>
        <w:t>Metadata accompanying each perturbation documents cell line provenance, neural subtype classification (excitatory neuron, inhibitory interneuron, glia), developmental stage (iPSC-derived embryonic, mature in vitro, acute slice preparation), tissue origin (cortex, hippocampus, striatum), experimental context (single-cell recording, multi-electrode array, calcium imaging), and batch effects from different laboratories and timepoints. This rich annotation enables stratified analysis accounting for known sources of variation, biological heterogeneity, and technical confounds. Quality metrics include assay reliability scores reflecting internal consistency of replicate measurements, power analysis results indicating statistical detectability of effects, and completeness flags documenting missing or below-threshold measurements.</w:t>
      </w:r>
    </w:p>
    <w:p>
      <w:r>
        <w:rPr>
          <w:b/>
        </w:rPr>
        <w:t xml:space="preserve">Inputs: </w:t>
      </w:r>
      <w:r>
        <w:rPr>
          <w:rFonts w:ascii="Arial" w:hAnsi="Arial"/>
          <w:sz w:val="48"/>
        </w:rPr>
        <w:t>Research question statement; Sapphire EP CRISPR atlas (~18k perturbations); Metadata describing perturbation types (complete loss-of-function, gain-of-function, haploinsufficiency models); feature catalogs from 500+ electrophysiological measurements per neuron; available compound screening data (3,500 compounds); historical experimental protocols and quality metrics documenting assay reliability; cell line specifications and developmental stage annotations; tissue origin and neural subtype classifications.</w:t>
      </w:r>
    </w:p>
    <w:p>
      <w:r>
        <w:rPr>
          <w:b/>
        </w:rPr>
        <w:t xml:space="preserve">Tools &amp; Databases Called: </w:t>
      </w:r>
      <w:r>
        <w:rPr>
          <w:rFonts w:ascii="Arial" w:hAnsi="Arial"/>
          <w:sz w:val="48"/>
        </w:rPr>
        <w:t>Sapphire data warehouse; Quiver phenotypic feature extraction engines; preliminary correlation matrices; baseline variance partitioning algorithms; genotype-phenotype mapping interfaces; filtering and stratification modules for perturbation classification; quality control dashboard; temporal data alignment tools for developmental stages; spatial annotation systems for subcellular localization; data quality metrics and completeness assessment tools.</w:t>
      </w:r>
    </w:p>
    <w:p>
      <w:r>
        <w:rPr>
          <w:b/>
        </w:rPr>
        <w:t xml:space="preserve">Exemplary Sub-Prompts: </w:t>
      </w:r>
      <w:r>
        <w:rPr>
          <w:rFonts w:ascii="Arial" w:hAnsi="Arial"/>
          <w:sz w:val="48"/>
        </w:rPr>
        <w:t>Which electrophysiological readouts show strongest biological variation across the 18k perturbations and thus carry maximum discriminative power? How do features cluster by mechanistic origin (e.g., sodium channel function, calcium signaling, network excitability)? Which cell types display phenotypic signatures most distinct from baseline wild-type behavior? How do developmental stage and tissue origin influence perturbation effects, and should we control for these factors or analyze them separately? Which perturbation modalities (complete KO, partial KD, GoF) produce most interpretable and reliable phenotypes? Are there systematic batch effects across different experimental laboratories that we must normalize? What data completeness thresholds should we impose (e.g., minimum number of neurons per perturbation, minimum number of features per cell)? Should we aggregate single-cell measurements into population statistics or preserve individual-cell heterogeneity?</w:t>
      </w:r>
    </w:p>
    <w:p>
      <w:r>
        <w:rPr>
          <w:b/>
        </w:rPr>
        <w:t xml:space="preserve">Expected Outputs: </w:t>
      </w:r>
      <w:r>
        <w:rPr>
          <w:rFonts w:ascii="Arial" w:hAnsi="Arial"/>
          <w:sz w:val="48"/>
        </w:rPr>
        <w:t>Curated perturbation subset aligned with research question; documented feature selection rationale with justification for inclusion/exclusion decisions; preliminary phenotypic correlation maps and feature covariance structures; data quality assessment report with completeness metrics; stratification scheme for downstream analysis with detailed documentation; baseline descriptive statistics on selected features including distributions, medians, interquartile ranges; missing data imputation or exclusion specifications; data dictionary defining all phenotypic measurements and their biological interpretations; sample size and statistical power summaries.</w:t>
      </w:r>
    </w:p>
    <w:p>
      <w:r>
        <w:rPr>
          <w:b/>
        </w:rPr>
        <w:t xml:space="preserve">Format: </w:t>
      </w:r>
      <w:r>
        <w:rPr>
          <w:rFonts w:ascii="Arial" w:hAnsi="Arial"/>
          <w:sz w:val="48"/>
        </w:rPr>
        <w:t>Structured query definitions with schema validation; feature matrices with documented origins and processing pipelines; metadata tables documenting perturbation classification, cell line provenance, experimental context, and batch annotations; quality control flags indicating data completeness and assay reliability; sample size tables showing n per group/condition; summary statistics spreadsheets with histograms for distribution visualization; data dictionary in tabular format with feature names, definitions, units, and value ranges.</w:t>
      </w:r>
    </w:p>
    <w:p/>
    <w:p>
      <w:pPr>
        <w:pStyle w:val="Heading2"/>
      </w:pPr>
      <w:r>
        <w:rPr>
          <w:b/>
          <w:sz w:val="56"/>
        </w:rPr>
        <w:t>Stage 2: Computational Model Selection &amp; Feature Engineering</w:t>
      </w:r>
    </w:p>
    <w:p>
      <w:r>
        <w:rPr>
          <w:b/>
        </w:rPr>
        <w:t xml:space="preserve">Purpose: </w:t>
      </w:r>
      <w:r>
        <w:rPr>
          <w:rFonts w:ascii="Arial" w:hAnsi="Arial"/>
          <w:sz w:val="48"/>
        </w:rPr>
        <w:t>This analytical stage systematically evaluates competing computational frameworks and identifies optimal feature engineering approaches that transform raw electrophysiological measurements into actionable biological insights. Selection of clustering algorithms (k-means, hierarchical, DBSCAN, spectral) requires careful consideration of assumptions about cluster geometry, scalability to tens of thousands of samples, and robustness to outliers. Dimensionality reduction strategies (PCA, t-SNE, UMAP, autoencoders) trade interpretability against compression, with different methods revealing different aspects of phenotypic structure. Engineering composite indices aggregates disparate measurements into unified phenotypic signatures that capture biological essence while remaining interpretable to subject-matter experts.</w:t>
      </w:r>
    </w:p>
    <w:p>
      <w:pPr/>
      <w:r>
        <w:t>Feature engineering begins with principled selection of electrophysiological measurements most informative for the research question. For questions about synaptic dysfunction vs. intrinsic excitability, relevant features include synaptic current amplitudes and kinetics (rise time, decay time, peak amplitude), intrinsic properties (resting membrane potential, input resistance, time constant), action potential characteristics (threshold, amplitude, width, rise rate, fall rate), and firing patterns (frequency, adaptation, bursting propensity). Derived features aggregate these measurements: excitability burden (continuous measure of how readily neurons produce action potentials), synaptic efficiency (ratio of synaptic current to total current), and synchrony metrics (pairwise correlation of neural firing across network recordings).</w:t>
      </w:r>
    </w:p>
    <w:p>
      <w:pPr/>
      <w:r>
        <w:t>Dimensionality reduction proves essential given high-dimensional nature of electrophysiological data. Principal Component Analysis (PCA) provides linear decomposition identifying which feature combinations capture greatest variance. t-SNE and UMAP create 2D visualizations revealing cluster structure while preserving local and global neighborhood relationships. Autoencoders learn nonlinear representations where latent dimensions capture interpretable biological variation. Selection between methods depends on research objectives: PCA for maximum variance retention and linear relationships, t-SNE for visualization and cluster definition, UMAP for scalability to large datasets, autoencoders for learning complex nonlinear manifolds.</w:t>
      </w:r>
    </w:p>
    <w:p>
      <w:r>
        <w:rPr>
          <w:b/>
        </w:rPr>
        <w:t xml:space="preserve">Inputs: </w:t>
      </w:r>
      <w:r>
        <w:rPr>
          <w:rFonts w:ascii="Arial" w:hAnsi="Arial"/>
          <w:sz w:val="48"/>
        </w:rPr>
        <w:t>Curated perturbation dataset and feature matrices from Stage 1; known biological pathways and gene interaction networks; external reference datasets (GWAS catalogs, ClinVar, UniProt, PathwayCommons); pharmacological databases linking compounds to targets and mechanisms; optional: preliminary experimental validation data; domain expertise from neurophysiologists and molecular biologists; historical model performance benchmarks from similar prior analyses.</w:t>
      </w:r>
    </w:p>
    <w:p>
      <w:r>
        <w:rPr>
          <w:b/>
        </w:rPr>
        <w:t xml:space="preserve">Tools &amp; Databases Called: </w:t>
      </w:r>
      <w:r>
        <w:rPr>
          <w:rFonts w:ascii="Arial" w:hAnsi="Arial"/>
          <w:sz w:val="48"/>
        </w:rPr>
        <w:t>Sapphire machine learning engines; dimensionality reduction frameworks (PCA, t-SNE, UMAP, autoencoders); clustering algorithms (k-means, hierarchical, DBSCAN, spectral clustering, Gaussian mixture models); graph analysis tools for network embedding and community detection; regression and classification models (gradient boosting, random forests, neural networks, support vector machines, elastic net); feature importance calculators and SHAP values; cross-validation and hyperparameter optimization modules using grid search or Bayesian methods.</w:t>
      </w:r>
    </w:p>
    <w:p>
      <w:r>
        <w:rPr>
          <w:b/>
        </w:rPr>
        <w:t xml:space="preserve">Exemplary Sub-Prompts: </w:t>
      </w:r>
      <w:r>
        <w:rPr>
          <w:rFonts w:ascii="Arial" w:hAnsi="Arial"/>
          <w:sz w:val="48"/>
        </w:rPr>
        <w:t>Should we employ separate dimensionality reduction for each perturbation class (LoF, GoF, haploinsufficiency) or combined analysis across all perturbations? How do PCA loadings reveal which electrophysiological features contribute most to phenotypic variation? Do t-SNE/UMAP visualizations show clear cluster structure suggesting discrete phenotypic categories, or continuous gradation suggesting spectrum of effects? How robust are clustering results to parameter choices and random seed selection? Which composite indices best capture biological essence of synaptic dysfunction phenotype while maintaining interpretability? Should we weight features equally or emphasize measurements with greatest between-group variance? How do we handle correlated features that may introduce redundancy or bias clustering? Can we construct indices that remain stable across different cell types, developmental stages, and experimental modalities?</w:t>
      </w:r>
    </w:p>
    <w:p>
      <w:r>
        <w:rPr>
          <w:b/>
        </w:rPr>
        <w:t xml:space="preserve">Expected Outputs: </w:t>
      </w:r>
      <w:r>
        <w:rPr>
          <w:rFonts w:ascii="Arial" w:hAnsi="Arial"/>
          <w:sz w:val="48"/>
        </w:rPr>
        <w:t>Trained and validated computational models with documented performance metrics (accuracy, precision, recall, F1 score, AUC); feature importance rankings with statistical significance tests; derived composite phenotypic indices with biological validation; dimensionality-reduced representations suitable for visualization and downstream analysis; model diagnostic plots (learning curves, residual plots, confusion matrices); cross-validation results confirming generalization capability with fold-specific performance; comparison of competing models with formal model selection criteria (AIC, BIC).</w:t>
      </w:r>
    </w:p>
    <w:p>
      <w:r>
        <w:rPr>
          <w:b/>
        </w:rPr>
        <w:t xml:space="preserve">Format: </w:t>
      </w:r>
      <w:r>
        <w:rPr>
          <w:rFonts w:ascii="Arial" w:hAnsi="Arial"/>
          <w:sz w:val="48"/>
        </w:rPr>
        <w:t>Executable model specifications with versioning information; hyperparameter configurations with scientific justification for choices; feature engineering pipelines with source code and documentation; performance metrics reported with confidence intervals and bootstrap resampling; ROC/AUC curves where classification is applicable with operating point analysis; latent embeddings saved as compressed matrices with metadata; model persistence formats (pkl, h5, joblib) enabling reproducibility and deployment; ablation study results showing impact of individual features; clustering dendrograms and silhouette plots validating cluster quality.</w:t>
      </w:r>
    </w:p>
    <w:p/>
    <w:p>
      <w:pPr>
        <w:pStyle w:val="Heading2"/>
      </w:pPr>
      <w:r>
        <w:rPr>
          <w:b/>
          <w:sz w:val="56"/>
        </w:rPr>
        <w:t>Stage 3: Hypothesis Testing &amp; Comparative Analysis</w:t>
      </w:r>
    </w:p>
    <w:p>
      <w:r>
        <w:rPr>
          <w:b/>
        </w:rPr>
        <w:t xml:space="preserve">Purpose: </w:t>
      </w:r>
      <w:r>
        <w:rPr>
          <w:rFonts w:ascii="Arial" w:hAnsi="Arial"/>
          <w:sz w:val="48"/>
        </w:rPr>
        <w:t>Hypothesis testing and comparative analysis stage employs rigorous statistical frameworks to evaluate phenotypic differences, quantify effect magnitudes, and validate findings against external references. Formal statistical tests compare phenotypic groups, prioritizing discoveries by effect size and p-value while accounting for multiple testing burden. Effect size estimation provides clinical and biological significance beyond statistical significance. Validation against external benchmarks includes replication across independent cell lines, comparison with literature reports, and assessment of consistency with known biology.</w:t>
      </w:r>
    </w:p>
    <w:p>
      <w:pPr/>
      <w:r>
        <w:t>Statistical testing protocol specifies primary tests (t-tests for normally distributed continuous variables, Mann-Whitney U for non-normal distributions, Kruskal-Wallis for multiple group comparisons) with a priori power calculations establishing sample size requirements. Effect sizes quantified as Cohen's d (difference in standard deviations), eta-squared (proportion of variance explained), or Cramer's V (association strength for categorical variables). Multiple testing correction employs False Discovery Rate (FDR) control or Bonferroni adjustment as appropriate for hypothesis count. Sensitivity analyses examine robustness to normality assumptions, outlier influence, data transformations, and missing data handling.</w:t>
      </w:r>
    </w:p>
    <w:p>
      <w:pPr/>
      <w:r>
        <w:t>Comparative analysis validates findings against biological expectations and external datasets. Literature mining identifies genes with known relevance to investigated phenotypes. GWAS catalog comparison assesses whether top-ranked computationally-derived targets align with population genetic signals. Disease database queries (OMIM, ClinVar) evaluate clinical relevance. Cross-dataset replication in independent cohorts strengthens confidence in generalizable findings. Subgroup analyses examine whether effects differ by cell type, developmental stage, or experimental condition, identifying potential biological heterogeneity.</w:t>
      </w:r>
    </w:p>
    <w:p>
      <w:r>
        <w:rPr>
          <w:b/>
        </w:rPr>
        <w:t xml:space="preserve">Inputs: </w:t>
      </w:r>
      <w:r>
        <w:rPr>
          <w:rFonts w:ascii="Arial" w:hAnsi="Arial"/>
          <w:sz w:val="48"/>
        </w:rPr>
        <w:t>Trained models and phenotypic indices from Stage 2; statistical testing framework specifications; effect size estimation parameters (Cohen's d, eta-squared, Cramer's V); multiple testing correction strategies (Bonferroni, FDR, permutation testing, Holm-Bonferroni); phenotypic group assignments and stratifications; reference datasets for validation (literature benchmarks, external cohorts, replication samples); confounding variable specifications for adjustment and statistical control.</w:t>
      </w:r>
    </w:p>
    <w:p>
      <w:r>
        <w:rPr>
          <w:b/>
        </w:rPr>
        <w:t xml:space="preserve">Tools &amp; Databases Called: </w:t>
      </w:r>
      <w:r>
        <w:rPr>
          <w:rFonts w:ascii="Arial" w:hAnsi="Arial"/>
          <w:sz w:val="48"/>
        </w:rPr>
        <w:t>Statistical inference engines (t-tests, ANOVA, Mann-Whitney U, Kruskal-Wallis, Wilcoxon signed-rank); effect size calculators and conversion functions; multiple testing correction algorithms (Bonferroni, Holm, FDR, permutation testing); pathway enrichment tools (GSEA, EnrichR, IPA); network annotation databases (HGNC, UniProt); comparative genomics interfaces; literature mining for validation (PubMed, Google Scholar); Bayesian inference frameworks for probability distributions of effects; meta-analysis tools for combining results across studies.</w:t>
      </w:r>
    </w:p>
    <w:p>
      <w:r>
        <w:rPr>
          <w:b/>
        </w:rPr>
        <w:t xml:space="preserve">Exemplary Sub-Prompts: </w:t>
      </w:r>
      <w:r>
        <w:rPr>
          <w:rFonts w:ascii="Arial" w:hAnsi="Arial"/>
          <w:sz w:val="48"/>
        </w:rPr>
        <w:t>Which phenotypic differences achieve statistical significance after appropriate multiple testing correction? Are effect sizes clinically/biologically meaningful (typical threshold: Cohen's d &gt; 0.5) or statistically significant but trivial? Which ranking of genes by phenotype aligns most closely with disease-relevant genetic associations? Do results remain consistent when excluding outliers, using different statistical tests, or employing non-parametric approaches? How do findings stratify by cell type, developmental stage, or perturbation modality? Are there interaction effects suggesting context-dependent gene functions? Which discoveries replicate across independent experiments or datasets? What proportion of genes show consistent ranking across multiple phenotypic measures? Are there genes with large effects in one measure but small effects in related measures, suggesting mechanistic specialization?</w:t>
      </w:r>
    </w:p>
    <w:p>
      <w:r>
        <w:rPr>
          <w:b/>
        </w:rPr>
        <w:t xml:space="preserve">Expected Outputs: </w:t>
      </w:r>
      <w:r>
        <w:rPr>
          <w:rFonts w:ascii="Arial" w:hAnsi="Arial"/>
          <w:sz w:val="48"/>
        </w:rPr>
        <w:t>Ranked lists of findings ordered by effect size and p-value with detailed annotation; confidence intervals and Bayesian credible regions for key estimates; comparative matrices showing rank concordance across different phenotypic measures; validation against external benchmarks and literature expectations; sensitivity analyses assessing robustness to methodological choices, parameter variations, and data transformations; replication statistics from independent cohorts; power analysis summaries documenting adequacy for claims made.</w:t>
      </w:r>
    </w:p>
    <w:p>
      <w:r>
        <w:rPr>
          <w:b/>
        </w:rPr>
        <w:t xml:space="preserve">Format: </w:t>
      </w:r>
      <w:r>
        <w:rPr>
          <w:rFonts w:ascii="Arial" w:hAnsi="Arial"/>
          <w:sz w:val="48"/>
        </w:rPr>
        <w:t>Statistical summary tables with p-values, effect sizes, confidence intervals, and power calculations with cell-specific annotations; forest plots for meta-analysis visualization and effect estimate comparison across studies; Manhattan plots highlighting significant findings with threshold annotations and gene labels; Q-Q plots for distribution validation and assumption checking; supplementary tables documenting all comparisons performed and corrections applied; reproducible analysis scripts with version documentation and dependency specifications; raw data tables enabling independent verification and reanalysis.</w:t>
      </w:r>
    </w:p>
    <w:p/>
    <w:p>
      <w:pPr>
        <w:pStyle w:val="Heading2"/>
      </w:pPr>
      <w:r>
        <w:rPr>
          <w:b/>
          <w:sz w:val="56"/>
        </w:rPr>
        <w:t>Stage 4: Mechanistic Interpretation &amp; Network Integration</w:t>
      </w:r>
    </w:p>
    <w:p>
      <w:r>
        <w:rPr>
          <w:b/>
        </w:rPr>
        <w:t xml:space="preserve">Purpose: </w:t>
      </w:r>
      <w:r>
        <w:rPr>
          <w:rFonts w:ascii="Arial" w:hAnsi="Arial"/>
          <w:sz w:val="48"/>
        </w:rPr>
        <w:t>Mechanistic interpretation integrates findings within known biological networks, identifies recurring mechanistic themes across disparate genes, and proposes testable molecular hypotheses explaining phenotype-genotype relationships. Network analysis reveals which genes interact directly (protein-protein interactions), coordinate functionally (shared pathways), or show convergent effects on common downstream processes. Systems-level perspective explains why perturbations produce observed phenotypes through mechanistic models of cellular signaling, ion channel regulation, and network dynamics.</w:t>
      </w:r>
    </w:p>
    <w:p>
      <w:pPr/>
      <w:r>
        <w:t>Network propagation algorithms extend findings beyond directly perturbed genes to identify functional neighbors in protein-interaction networks. Random walk algorithms with teleportation estimate influence of each gene on global network structure. Heat diffusion across network edges identifies genes receiving propagated signal from directly perturbed hubs. Community detection algorithms partition network into functional modules suggesting coordinated gene action. Pathway enrichment analysis (GSEA, EnrichR) identifies canonical pathways overrepresented among top-ranked genes, with member genes and enrichment p-values providing interpretability.</w:t>
      </w:r>
    </w:p>
    <w:p>
      <w:pPr/>
      <w:r>
        <w:t>Cross-referenced mechanistic databases provide functional annotations enabling hypothesis generation. Ion channel databases describe pore properties, gating mechanisms, and biophysical characteristics. Neurotransmitter databases map receptor-ligand interactions and downstream signaling cascades. Synaptic protein databases document scaffold components, adhesion molecules, and signaling effectors. Structural databases reveal protein domains and modification sites enabling mechanistic inferences about regulatory mechanisms. Comparative genomics identifies orthologs in model organisms with characterized functions.</w:t>
      </w:r>
    </w:p>
    <w:p>
      <w:r>
        <w:rPr>
          <w:b/>
        </w:rPr>
        <w:t xml:space="preserve">Inputs: </w:t>
      </w:r>
      <w:r>
        <w:rPr>
          <w:rFonts w:ascii="Arial" w:hAnsi="Arial"/>
          <w:sz w:val="48"/>
        </w:rPr>
        <w:t>Ranked perturbation lists and effect size estimates from Stage 3; protein interaction networks (BioGRID, STRING, IntAct); pathway databases (KEGG, Reactome, BioPAX, PathwayCommons); tissue-specific expression atlases (GTEx, Human Protein Atlas); single-cell transcriptomic data for neural cell types (Allen Brain Institute, Linnarsson Lab datasets); structural and functional annotation resources (UniProt, InterPro, Pfam); historical mechanistic insights from neuroscience literature.</w:t>
      </w:r>
    </w:p>
    <w:p>
      <w:r>
        <w:rPr>
          <w:b/>
        </w:rPr>
        <w:t xml:space="preserve">Tools &amp; Databases Called: </w:t>
      </w:r>
      <w:r>
        <w:rPr>
          <w:rFonts w:ascii="Arial" w:hAnsi="Arial"/>
          <w:sz w:val="48"/>
        </w:rPr>
        <w:t>Network propagation algorithms (random walk, heat diffusion, influence maximization); pathway enrichment engines (GSEA, EnrichR, IPA, reactomePA); graph traversal tools for identifying connected components and network motifs; semantic similarity calculators for biological concepts and ontologies; literature-mining systems for automated evidence synthesis; mechanistic database queries for ion channel properties and biophysical characteristics; neurotransmitter/receptor databases (IUPHAR); cross-species ortholog mapping (NCBI Homologene, OMA); network visualization and analysis platforms (Cytoscape, iGraph).</w:t>
      </w:r>
    </w:p>
    <w:p>
      <w:r>
        <w:rPr>
          <w:b/>
        </w:rPr>
        <w:t xml:space="preserve">Exemplary Sub-Prompts: </w:t>
      </w:r>
      <w:r>
        <w:rPr>
          <w:rFonts w:ascii="Arial" w:hAnsi="Arial"/>
          <w:sz w:val="48"/>
        </w:rPr>
        <w:t>Which protein-protein interactions link top-ranked perturbations into connected components or interaction modules? Do genes cluster into known functional categories (synaptic scaffolds, ion channels, transcriptional regulators, mitochondrial proteins)? What upstream regulators or hub nodes coordinate multiple genes in the ranked list? Do mechanistic themes emerge linking genes despite different primary functions? How do identified mechanisms relate to known pathophysiology of target disease? Which signaling cascades and molecular pathways appear most frequently implicated? Can we construct explanatory models predicting why specific perturbations produce observed phenotypes? What predictions follow from mechanistic models that we could test experimentally? Which aspects of mechanisms remain speculative requiring further validation?</w:t>
      </w:r>
    </w:p>
    <w:p>
      <w:r>
        <w:rPr>
          <w:b/>
        </w:rPr>
        <w:t xml:space="preserve">Expected Outputs: </w:t>
      </w:r>
      <w:r>
        <w:rPr>
          <w:rFonts w:ascii="Arial" w:hAnsi="Arial"/>
          <w:sz w:val="48"/>
        </w:rPr>
        <w:t>Annotated gene networks with functional modules highlighted and community structure identified; pathway enrichment results with adjusted p-values and member genes listed with functional annotations; mechanistic hypotheses linking phenotypes to molecular mechanisms with supporting evidence; tissue-specific expression patterns contextualized within neural cell types and subcellular compartments; disease relevance assessments connecting to known patient genetics and clinical phenotypes; predictions of downstream phenotypic consequences from mechanistic models with testable implications.</w:t>
      </w:r>
    </w:p>
    <w:p>
      <w:r>
        <w:rPr>
          <w:b/>
        </w:rPr>
        <w:t xml:space="preserve">Format: </w:t>
      </w:r>
      <w:r>
        <w:rPr>
          <w:rFonts w:ascii="Arial" w:hAnsi="Arial"/>
          <w:sz w:val="48"/>
        </w:rPr>
        <w:t>Network diagrams with node annotations, edge weighting reflecting interaction confidence, and edge directionality; pathway enrichment tables with gene membership, pathway descriptions, and significance metrics; mechanistic cartoons explaining phenotype-genotype relationships with step-by-step signaling cascades and regulatory logic; integration matrices showing gene-pathway-phenotype correspondence with quantitative strength measures; hypothesis statements with supporting evidence citations and confidence assessments; supplementary materials with detailed network properties and community structure parameters.</w:t>
      </w:r>
    </w:p>
    <w:p/>
    <w:p>
      <w:pPr>
        <w:pStyle w:val="Heading2"/>
      </w:pPr>
      <w:r>
        <w:rPr>
          <w:b/>
          <w:sz w:val="56"/>
        </w:rPr>
        <w:t>Stage 5: Translational Relevance &amp; Clinical Alignment</w:t>
      </w:r>
    </w:p>
    <w:p>
      <w:r>
        <w:rPr>
          <w:b/>
        </w:rPr>
        <w:t xml:space="preserve">Purpose: </w:t>
      </w:r>
      <w:r>
        <w:rPr>
          <w:rFonts w:ascii="Arial" w:hAnsi="Arial"/>
          <w:sz w:val="48"/>
        </w:rPr>
        <w:t>Translational relevance assessment bridges computational discoveries to clinical utility through systematic evaluation of therapeutic opportunity landscapes, disease alignment, patient stratification potential, and regulatory pathways. Target prioritization balances scientific merit, therapeutic tractability, clinical need, and competitive landscape considerations. Feasibility assessment examines likelihood of successfully developing therapeutics targeting identified genes. Risk characterization identifies potential safety concerns or development roadblocks.</w:t>
      </w:r>
    </w:p>
    <w:p>
      <w:pPr/>
      <w:r>
        <w:t>Disease relevance assessment links genes to patient populations through multiple evidence sources. ClinVar and OMIM databases document known genetic associations with neuropsychiatric and neurodegenerative disorders. GWAS catalogs provide population-level statistical associations. Clinical case reports and pedigree data suggest disease relevance for rare variants. Expression pattern analysis using GTEx and tissue-specific databases identifies whether genes show enrichment in affected tissues. Patient-derived cellular models enable direct testing of genetic associations.</w:t>
      </w:r>
    </w:p>
    <w:p>
      <w:pPr/>
      <w:r>
        <w:t>Therapeutic modality assessment evaluates feasibility of different approaches. Small molecule inhibitors/activators suit enzymes and ion channels but challenge scaffolding proteins. Antibodies and biologics address secreted proteins and extracellular targets. Gene therapy (CRISPR, antisense, AAV) corrects genetic causes but faces delivery and off-target challenges. Cell therapy replaces damaged neurons but requires transplantation acceptance. Each modality offers distinct advantages, risks, and development timelines informing go/no-go decisions.</w:t>
      </w:r>
    </w:p>
    <w:p>
      <w:r>
        <w:rPr>
          <w:b/>
        </w:rPr>
        <w:t xml:space="preserve">Inputs: </w:t>
      </w:r>
      <w:r>
        <w:rPr>
          <w:rFonts w:ascii="Arial" w:hAnsi="Arial"/>
          <w:sz w:val="48"/>
        </w:rPr>
        <w:t>Mechanistic interpretations and network analyses from Stage 4; ClinVar and human genetic disease databases; FDA drug approval records and clinical indication annotations; clinical trial databases (ClinicalTrials.gov); patient stratification markers and biomarker definitions; safety and tolerability profiles of known compounds targeting implicated pathways; commercial landscape analyses and competitive benchmarking data; regulatory pathway guidance documents and precedent approvals.</w:t>
      </w:r>
    </w:p>
    <w:p>
      <w:r>
        <w:rPr>
          <w:b/>
        </w:rPr>
        <w:t xml:space="preserve">Tools &amp; Databases Called: </w:t>
      </w:r>
      <w:r>
        <w:rPr>
          <w:rFonts w:ascii="Arial" w:hAnsi="Arial"/>
          <w:sz w:val="48"/>
        </w:rPr>
        <w:t>ClinVar and OMIM for disease association and clinical significance; DrugBank and ChEMBL for target-drug relationships and chemical space exploration; OpenFDA for adverse event profiles and pharmacovigilance signal detection; disease ontology systems (ICD-10, MeSH, MONDO); GWAS catalogs and meta-analysis resources for population-level genetic evidence; FDA approval tracking systems and precedent database; clinical trial registries and outcome databases; intellectual property search engines (USPTO, espacenet, Orbit); therapeutic modality databases and development stage comparisons.</w:t>
      </w:r>
    </w:p>
    <w:p>
      <w:r>
        <w:rPr>
          <w:b/>
        </w:rPr>
        <w:t xml:space="preserve">Exemplary Sub-Prompts: </w:t>
      </w:r>
      <w:r>
        <w:rPr>
          <w:rFonts w:ascii="Arial" w:hAnsi="Arial"/>
          <w:sz w:val="48"/>
        </w:rPr>
        <w:t>Do top-ranked genes show strong genetic associations in patient populations (GWAS signals, ClinVar pathogenic variants)? Which discoveries are most aligned with known disease pathophysiology? Could identified genes serve as biomarkers enabling patient stratification for precision medicine? Which perturbations represent gain-of-function vs. loss-of-function opportunities with differing therapeutic implications? What is addressable patient population for therapeutic interventions targeting identified genes? Are there existing compounds modulating targets, and what are safety/efficacy profiles? Which therapeutic modalities best suit identified targets? What intellectual property landscape exists, and is freedom-to-operate clear? What regulatory pathways would apply for development (small molecule, biologic, gene therapy)?</w:t>
      </w:r>
    </w:p>
    <w:p>
      <w:r>
        <w:rPr>
          <w:b/>
        </w:rPr>
        <w:t xml:space="preserve">Expected Outputs: </w:t>
      </w:r>
      <w:r>
        <w:rPr>
          <w:rFonts w:ascii="Arial" w:hAnsi="Arial"/>
          <w:sz w:val="48"/>
        </w:rPr>
        <w:t>Target prioritization rankings with translational rationale and confidence scores; disease relevance assessments connecting to patient populations with addressable market size estimates; therapeutic modality recommendations (small molecule, protein, gene therapy, cell therapy) with development stage guidance and timeline projections; competitive landscape analysis identifying advantages and risks relative to existing therapies; clinical biomarker proposals with utility specifications and validation requirements; patient stratification frameworks enabling precision medicine approaches with inclusion/exclusion criteria; risk-benefit analyses identifying safety concerns and mitigation strategies; intellectual property summaries and freedom-to-operate assessments with landscape maps.</w:t>
      </w:r>
    </w:p>
    <w:p>
      <w:r>
        <w:rPr>
          <w:b/>
        </w:rPr>
        <w:t xml:space="preserve">Format: </w:t>
      </w:r>
      <w:r>
        <w:rPr>
          <w:rFonts w:ascii="Arial" w:hAnsi="Arial"/>
          <w:sz w:val="48"/>
        </w:rPr>
        <w:t>Clinical relevance matrices mapping findings to therapeutic opportunities with strength-of-evidence ratings; target nomination summaries with supporting evidence and confidence levels formatted for internal/external stakeholder communication; intellectual property freedom-to-operate analyses with patent landscapes and claim interpretations; biomarker validation roadmaps specifying validation strategies and technical requirements; regulatory pathway guidance with anticipated approval timelines and risk points; competitive benchmarking tables comparing efficacy, safety, and mechanism to existing therapies; risk assessment frameworks with mitigation strategies and contingency plans; go/no-go decision frameworks for advancement with quantitative thresholds.</w:t>
      </w:r>
    </w:p>
    <w:p/>
    <w:p>
      <w:pPr>
        <w:pStyle w:val="Heading2"/>
      </w:pPr>
      <w:r>
        <w:rPr>
          <w:b/>
          <w:sz w:val="56"/>
        </w:rPr>
        <w:t>Stage 6: Experimental Validation &amp; Future Directions</w:t>
      </w:r>
    </w:p>
    <w:p>
      <w:r>
        <w:rPr>
          <w:b/>
        </w:rPr>
        <w:t xml:space="preserve">Purpose: </w:t>
      </w:r>
      <w:r>
        <w:rPr>
          <w:rFonts w:ascii="Arial" w:hAnsi="Arial"/>
          <w:sz w:val="48"/>
        </w:rPr>
        <w:t>Experimental validation and future directions stage designs targeted studies confirming computational predictions, resolving remaining mechanistic uncertainties, and expanding findings into novel biological contexts. Validation prioritizes most critical predictions requiring empirical confirmation. Study design emphasizes independent experimental approaches providing orthogonal evidence. Contingency planning prepares for unexpected results altering mechanistic interpretations.</w:t>
      </w:r>
    </w:p>
    <w:p>
      <w:pPr/>
      <w:r>
        <w:t>Validation strategy prioritizes predictions with highest clinical relevance and greatest mechanistic uncertainty. In vitro validation using primary neurons or iPSC-derived cells enables hypothesis testing in defined systems. Animal models (mice, zebrafish) permit system-level study of genetic effects on behavior and disease phenotypes. Patch-clamp electrophysiology directly measures ion channel properties and synaptic transmission. Multi-electrode arrays assess network-level effects. Imaging studies (two-photon microscopy, calcium imaging) visualize cellular and subcellular processes.</w:t>
      </w:r>
    </w:p>
    <w:p>
      <w:pPr/>
      <w:r>
        <w:t>Positive and negative controls essential for credible validation include wild-type cells/animals as baselines, known positive controls demonstrating assay sensitivity, and known negative controls confirming assay specificity. Sufficient replication within and across experiments establishes statistical power and biological reproducibility. Blinding of experimenters to sample identity reduces bias. Documentation of unexpected findings and post-hoc exploratory analyses maintains scientific rigor and transparency.</w:t>
      </w:r>
    </w:p>
    <w:p>
      <w:r>
        <w:rPr>
          <w:b/>
        </w:rPr>
        <w:t xml:space="preserve">Inputs: </w:t>
      </w:r>
      <w:r>
        <w:rPr>
          <w:rFonts w:ascii="Arial" w:hAnsi="Arial"/>
          <w:sz w:val="48"/>
        </w:rPr>
        <w:t>All prior computational and mechanistic findings from Stages 1-5; experimental capabilities and assay platforms available within institution or partner networks; literature describing precedent validation studies for similar hypotheses; resource constraints (budget, timeline, equipment availability, personnel); partnering opportunities with academic or clinical collaborators; iterative feedback from previous experimental work; technological advances enabling novel measurement modalities and throughput improvements.</w:t>
      </w:r>
    </w:p>
    <w:p>
      <w:r>
        <w:rPr>
          <w:b/>
        </w:rPr>
        <w:t xml:space="preserve">Tools &amp; Databases Called: </w:t>
      </w:r>
      <w:r>
        <w:rPr>
          <w:rFonts w:ascii="Arial" w:hAnsi="Arial"/>
          <w:sz w:val="48"/>
        </w:rPr>
        <w:t>Experimental design recommendation engines; literature searches for validation precedents (PubMed, Google Scholar, bioRxiv); assay protocol databases and methods collections; iPSC and primary neuron resources and repositories; pharmacology screening platforms and compound libraries; high-throughput phenotyping tools and imaging analysis pipelines (ImageJ, CellProfiler); electrophysiology recording systems and analysis software; single-cell sequencing platforms and computational pipelines; statistical power calculators for experimental design; collaborative research networks and data sharing repositories.</w:t>
      </w:r>
    </w:p>
    <w:p>
      <w:r>
        <w:rPr>
          <w:b/>
        </w:rPr>
        <w:t xml:space="preserve">Exemplary Sub-Prompts: </w:t>
      </w:r>
      <w:r>
        <w:rPr>
          <w:rFonts w:ascii="Arial" w:hAnsi="Arial"/>
          <w:sz w:val="48"/>
        </w:rPr>
        <w:t>Which predictions are most critical for confirming mechanistic hypotheses and informing therapeutic development? What minimal set of experiments provides sufficient evidence for advancement? Should validation emphasize in vitro models for mechanistic clarity or animal models for clinical relevance? How can we design studies maximizing information gain while minimizing resource expenditure? What are known failure modes and confounders requiring rigorous control? How will unexpected results alter mechanistic interpretations or target prioritization? What refined computational models incorporate validated findings? Which open questions and knowledge gaps remain after validation? What studies should be prioritized for future work?</w:t>
      </w:r>
    </w:p>
    <w:p>
      <w:r>
        <w:rPr>
          <w:b/>
        </w:rPr>
        <w:t xml:space="preserve">Expected Outputs: </w:t>
      </w:r>
      <w:r>
        <w:rPr>
          <w:rFonts w:ascii="Arial" w:hAnsi="Arial"/>
          <w:sz w:val="48"/>
        </w:rPr>
        <w:t>Detailed experimental protocols with positive and negative controls specified and materials fully documented; validation study designs with power calculations and effect size assumptions; contingency plans for unexpected results and alternative mechanistic interpretations; proposed timeline and resource budget with cost-benefit analyses; interim validation results from initial experiments with preliminary conclusions; refined computational models incorporating new experimental data with iterative model improvements; publishable findings with impact statements and implications for therapeutic development; supplementary validation data supporting main conclusions.</w:t>
      </w:r>
    </w:p>
    <w:p>
      <w:r>
        <w:rPr>
          <w:b/>
        </w:rPr>
        <w:t xml:space="preserve">Format: </w:t>
      </w:r>
      <w:r>
        <w:rPr>
          <w:rFonts w:ascii="Arial" w:hAnsi="Arial"/>
          <w:sz w:val="48"/>
        </w:rPr>
        <w:t>Experimental protocols with sufficient detail for independent reproducibility, including materials specifications and vendor information with part numbers; hypothesis-driven experimental designs with decision trees for result interpretation and branching strategies; resource requirement tables with cost estimates and timeline projections using Gantt charts; iterative feedback loops documenting validation results and computational model refinement with version histories; updated computational models incorporating validated data with model fit metrics; publication-ready figures and supplementary tables suitable for peer review meeting journal standards; open questions and identified knowledge gaps for future work with prioritization framework for next studies and funding requirements.</w:t>
      </w:r>
    </w:p>
    <w:p>
      <w:r>
        <w:rPr>
          <w:rFonts w:ascii="Arial" w:hAnsi="Arial"/>
          <w:sz w:val="48"/>
        </w:rPr>
        <w:t>The data landscape mapping process identifies critical dependencies between electrophysiological features that inform statistical model specification. Correlation structure analysis reveals which measurements are redundant versus complementary, guiding dimensionality reduction decisions in downstream stages.</w:t>
      </w:r>
    </w:p>
    <w:p>
      <w:r>
        <w:rPr>
          <w:rFonts w:ascii="Arial" w:hAnsi="Arial"/>
          <w:sz w:val="48"/>
        </w:rPr>
        <w:t>Batch effect characterization documents systematic variation arising from different laboratories, experimenters, equipment versions, reagent lots, and temporal drift. These technical sources of variation can dramatically impact phenotype rankings if not explicitly modeled or controlled.</w:t>
      </w:r>
    </w:p>
    <w:p>
      <w:r>
        <w:rPr>
          <w:rFonts w:ascii="Arial" w:hAnsi="Arial"/>
          <w:sz w:val="48"/>
        </w:rPr>
        <w:t>Quality assurance protocols establish thresholds for acceptable data quality prior to analysis. These include minimum acceptable signal-to-noise ratios for electrophysiological recordings, standards for acceptable whole-cell seal resistance or access resistance in patch-clamp experiments.</w:t>
      </w:r>
    </w:p>
    <w:p>
      <w:r>
        <w:rPr>
          <w:rFonts w:ascii="Arial" w:hAnsi="Arial"/>
          <w:sz w:val="48"/>
        </w:rPr>
        <w:t>Feature relevance assessment connects candidate electrophysiological measurements to the specific research question through multiple complementary approaches. Univariate analysis examines whether individual features show significant variation across perturbation groups.</w:t>
      </w:r>
    </w:p>
    <w:p>
      <w:r>
        <w:rPr>
          <w:rFonts w:ascii="Arial" w:hAnsi="Arial"/>
          <w:sz w:val="48"/>
        </w:rPr>
        <w:t>Stratification scheme specification documents how samples will be grouped for comparative analysis. Biological stratifications might separate by neural subtype, developmental stage, or tissue origin for context-aware evaluations.</w:t>
      </w:r>
    </w:p>
    <w:p>
      <w:r>
        <w:rPr>
          <w:rFonts w:ascii="Arial" w:hAnsi="Arial"/>
          <w:sz w:val="48"/>
        </w:rPr>
        <w:t>Missing data handling protocols specify procedures when electrophysiological measurements are incomplete. Options include case-wise deletion, pairwise deletion, multiple imputation, or maximum likelihood estimation techniques.</w:t>
      </w:r>
    </w:p>
    <w:p>
      <w:r>
        <w:rPr>
          <w:rFonts w:ascii="Arial" w:hAnsi="Arial"/>
          <w:sz w:val="48"/>
        </w:rPr>
        <w:t>Outlier detection and handling procedures identify measurements unusually distant from central tendency. Statistical approaches flag potential outliers requiring case-by-case evaluation of biological versus technical origins.</w:t>
      </w:r>
    </w:p>
    <w:p>
      <w:r>
        <w:rPr>
          <w:rFonts w:ascii="Arial" w:hAnsi="Arial"/>
          <w:sz w:val="48"/>
        </w:rPr>
        <w:t>Cross-sectional versus longitudinal data considerations address whether measurements represent single timepoints or track changes across development or treatment interventions.</w:t>
      </w:r>
    </w:p>
    <w:p>
      <w:r>
        <w:rPr>
          <w:rFonts w:ascii="Arial" w:hAnsi="Arial"/>
          <w:sz w:val="48"/>
        </w:rPr>
        <w:t>Feature measurement uncertainty quantification documents precision and accuracy of electrophysiological measurements throughout the data collection process.</w:t>
      </w:r>
    </w:p>
    <w:p>
      <w:r>
        <w:rPr>
          <w:rFonts w:ascii="Arial" w:hAnsi="Arial"/>
          <w:sz w:val="48"/>
        </w:rPr>
        <w:t>Cell type heterogeneity characterization addresses biological variation within nominal cell type classifications and potential phenotypic diversity.</w:t>
      </w:r>
    </w:p>
    <w:p>
      <w:r>
        <w:rPr>
          <w:rFonts w:ascii="Arial" w:hAnsi="Arial"/>
          <w:sz w:val="48"/>
        </w:rPr>
        <w:t>Feature normalization and standardization procedures ensure variables are on comparable scales prior to clustering or dimensionality reduction activities.</w:t>
      </w:r>
    </w:p>
    <w:p>
      <w:r>
        <w:rPr>
          <w:rFonts w:ascii="Arial" w:hAnsi="Arial"/>
          <w:sz w:val="48"/>
        </w:rPr>
        <w:t>Composite index validation confirms that derived phenotypic measures capture meaningful biological variation and mechanistic insights.</w:t>
      </w:r>
    </w:p>
    <w:p>
      <w:r>
        <w:rPr>
          <w:rFonts w:ascii="Arial" w:hAnsi="Arial"/>
          <w:sz w:val="48"/>
        </w:rPr>
        <w:t>Hyperparameter optimization systematically searches parameter space to identify settings maximizing model performance across datasets.</w:t>
      </w:r>
    </w:p>
    <w:p>
      <w:r>
        <w:rPr>
          <w:rFonts w:ascii="Arial" w:hAnsi="Arial"/>
          <w:sz w:val="48"/>
        </w:rPr>
        <w:t>Model interpretability analysis explains how models make decisions using local and global explanation methods for transparency.</w:t>
      </w:r>
    </w:p>
    <w:p>
      <w:r>
        <w:rPr>
          <w:rFonts w:ascii="Arial" w:hAnsi="Arial"/>
          <w:sz w:val="48"/>
        </w:rPr>
        <w:t>Clustering quality assessment employs multiple validity indices confirming cluster assignments represent genuine structure.</w:t>
      </w:r>
    </w:p>
    <w:p>
      <w:r>
        <w:rPr>
          <w:rFonts w:ascii="Arial" w:hAnsi="Arial"/>
          <w:sz w:val="48"/>
        </w:rPr>
        <w:t>Dimensionality reduction evaluation confirms reduced representations preserve important biological structure and information.</w:t>
      </w:r>
    </w:p>
    <w:p>
      <w:r>
        <w:rPr>
          <w:rFonts w:ascii="Arial" w:hAnsi="Arial"/>
          <w:sz w:val="48"/>
        </w:rPr>
        <w:t>Generalization assessment through cross-validation prevents overfitting to specific samples and ensures external validity.</w:t>
      </w:r>
    </w:p>
    <w:p>
      <w:r>
        <w:rPr>
          <w:rFonts w:ascii="Arial" w:hAnsi="Arial"/>
          <w:sz w:val="48"/>
        </w:rPr>
        <w:t>Feature interaction analysis identifies non-additive effects where perturbations of genes produce synergistic or antagonistic phenotypes.</w:t>
      </w:r>
    </w:p>
    <w:p>
      <w:r>
        <w:rPr>
          <w:rFonts w:ascii="Arial" w:hAnsi="Arial"/>
          <w:sz w:val="48"/>
        </w:rPr>
        <w:t>Uncertainty quantification in model predictions enables confidence assessment for individual predictions and effect estimates.</w:t>
      </w:r>
    </w:p>
    <w:p>
      <w:r>
        <w:rPr>
          <w:rFonts w:ascii="Arial" w:hAnsi="Arial"/>
          <w:sz w:val="48"/>
        </w:rPr>
        <w:t>Alternative model comparison using information criteria favors simpler models fitting equally well to data.</w:t>
      </w:r>
    </w:p>
    <w:p>
      <w:r>
        <w:rPr>
          <w:rFonts w:ascii="Arial" w:hAnsi="Arial"/>
          <w:sz w:val="48"/>
        </w:rPr>
        <w:t>Power analysis determines sample sizes needed for statistically significant effects given biological effect magnitude and research objectives.</w:t>
      </w:r>
    </w:p>
    <w:p>
      <w:r>
        <w:rPr>
          <w:rFonts w:ascii="Arial" w:hAnsi="Arial"/>
          <w:sz w:val="48"/>
        </w:rPr>
        <w:t>Multiple testing correction methods balance control of false positive rates against statistical power and discovery sensitivity.</w:t>
      </w:r>
    </w:p>
    <w:p>
      <w:r>
        <w:rPr>
          <w:rFonts w:ascii="Arial" w:hAnsi="Arial"/>
          <w:sz w:val="48"/>
        </w:rPr>
        <w:t>Publication bias and selection bias assessment acknowledges that published findings represent biased samples of conducted research.</w:t>
      </w:r>
    </w:p>
    <w:p>
      <w:r>
        <w:rPr>
          <w:rFonts w:ascii="Arial" w:hAnsi="Arial"/>
          <w:sz w:val="48"/>
        </w:rPr>
        <w:t>Replication evidence strengthens confidence in discoveries beyond statistical significance through independent validation.</w:t>
      </w:r>
    </w:p>
    <w:p>
      <w:r>
        <w:rPr>
          <w:rFonts w:ascii="Arial" w:hAnsi="Arial"/>
          <w:sz w:val="48"/>
        </w:rPr>
        <w:t>Subgroup analysis examines whether effects vary across biologically meaningful categories reflecting mechanistic heterogeneity.</w:t>
      </w:r>
    </w:p>
    <w:p>
      <w:r>
        <w:rPr>
          <w:rFonts w:ascii="Arial" w:hAnsi="Arial"/>
          <w:sz w:val="48"/>
        </w:rPr>
        <w:t>Confounding variable assessment and control ensures observed associations reflect causal relationships rather than confound-driven spurious associations.</w:t>
      </w:r>
    </w:p>
    <w:p>
      <w:r>
        <w:rPr>
          <w:rFonts w:ascii="Arial" w:hAnsi="Arial"/>
          <w:sz w:val="48"/>
        </w:rPr>
        <w:t>Effect modification analysis identifies conditions under which treatment effects vary across subgroups and contexts.</w:t>
      </w:r>
    </w:p>
    <w:p>
      <w:r>
        <w:rPr>
          <w:rFonts w:ascii="Arial" w:hAnsi="Arial"/>
          <w:sz w:val="48"/>
        </w:rPr>
        <w:t>Specification and sensitivity analysis documents all analytical choices and explores robustness to alternative approaches.</w:t>
      </w:r>
    </w:p>
    <w:p>
      <w:r>
        <w:rPr>
          <w:rFonts w:ascii="Arial" w:hAnsi="Arial"/>
          <w:sz w:val="48"/>
        </w:rPr>
        <w:t>Clinical significance assessment moves beyond statistical significance to evaluate practical importance and patient benefit.</w:t>
      </w:r>
    </w:p>
    <w:p>
      <w:r>
        <w:rPr>
          <w:rFonts w:ascii="Arial" w:hAnsi="Arial"/>
          <w:sz w:val="48"/>
        </w:rPr>
        <w:t>External validity assessment evaluates generalizability of findings beyond specific study samples to broader populations.</w:t>
      </w:r>
    </w:p>
    <w:p>
      <w:r>
        <w:rPr>
          <w:rFonts w:ascii="Arial" w:hAnsi="Arial"/>
          <w:sz w:val="48"/>
        </w:rPr>
        <w:t>Network motif analysis identifies recurring patterns in networks suggesting conserved regulatory logic and biological organization.</w:t>
      </w:r>
    </w:p>
    <w:p>
      <w:r>
        <w:rPr>
          <w:rFonts w:ascii="Arial" w:hAnsi="Arial"/>
          <w:sz w:val="48"/>
        </w:rPr>
        <w:t>Protein-protein interaction reliability assessment acknowledges varying confidence levels of experimentally-determined molecular interactions.</w:t>
      </w:r>
    </w:p>
    <w:p>
      <w:r>
        <w:rPr>
          <w:rFonts w:ascii="Arial" w:hAnsi="Arial"/>
          <w:sz w:val="48"/>
        </w:rPr>
        <w:t>Tissue-specific pathway activity analysis recognizes context-dependent activation of molecular pathways in different cell types.</w:t>
      </w:r>
    </w:p>
    <w:p>
      <w:r>
        <w:rPr>
          <w:rFonts w:ascii="Arial" w:hAnsi="Arial"/>
          <w:sz w:val="48"/>
        </w:rPr>
        <w:t>Disease progression modeling infers how mechanistic pathways drive disease development over time through network dynamics.</w:t>
      </w:r>
    </w:p>
    <w:p>
      <w:r>
        <w:rPr>
          <w:rFonts w:ascii="Arial" w:hAnsi="Arial"/>
          <w:sz w:val="48"/>
        </w:rPr>
        <w:t>Evolutionary conservation analysis indicates whether mechanistic pathways are deeply conserved or recently evolved systems.</w:t>
      </w:r>
    </w:p>
    <w:p>
      <w:r>
        <w:rPr>
          <w:rFonts w:ascii="Arial" w:hAnsi="Arial"/>
          <w:sz w:val="48"/>
        </w:rPr>
        <w:t>Redundancy and robustness analysis addresses how systems maintain function despite perturbations and genetic variations.</w:t>
      </w:r>
    </w:p>
    <w:p>
      <w:r>
        <w:rPr>
          <w:rFonts w:ascii="Arial" w:hAnsi="Arial"/>
          <w:sz w:val="48"/>
        </w:rPr>
        <w:t>Epistasis analysis identifies genetic interactions where phenotypic effects depend on genetic background of interacting genes.</w:t>
      </w:r>
    </w:p>
    <w:p>
      <w:r>
        <w:rPr>
          <w:rFonts w:ascii="Arial" w:hAnsi="Arial"/>
          <w:sz w:val="48"/>
        </w:rPr>
        <w:t>Causal inference beyond correlation distinguishes true causal relationships from correlations arising from confounding.</w:t>
      </w:r>
    </w:p>
    <w:p>
      <w:r>
        <w:rPr>
          <w:rFonts w:ascii="Arial" w:hAnsi="Arial"/>
          <w:sz w:val="48"/>
        </w:rPr>
        <w:t>Pathway dynamics and temporal analysis reveals how mechanistic systems change over time during development or disease.</w:t>
      </w:r>
    </w:p>
    <w:p>
      <w:r>
        <w:rPr>
          <w:rFonts w:ascii="Arial" w:hAnsi="Arial"/>
          <w:sz w:val="48"/>
        </w:rPr>
        <w:t>Systems pharmacology integration maps how drugs modify pathway dynamics to produce therapeutic clinical effects.</w:t>
      </w:r>
    </w:p>
    <w:p>
      <w:r>
        <w:rPr>
          <w:rFonts w:ascii="Arial" w:hAnsi="Arial"/>
          <w:sz w:val="48"/>
        </w:rPr>
        <w:t>Target druggability assessment evaluates whether target proteins are suitable for therapeutic modulation and clinical translation.</w:t>
      </w:r>
    </w:p>
    <w:p>
      <w:r>
        <w:rPr>
          <w:rFonts w:ascii="Arial" w:hAnsi="Arial"/>
          <w:sz w:val="48"/>
        </w:rPr>
        <w:t>Biomarker qualification and validation roadmap specifies steps for clinical implementation and patient stratification.</w:t>
      </w:r>
    </w:p>
    <w:p>
      <w:r>
        <w:rPr>
          <w:rFonts w:ascii="Arial" w:hAnsi="Arial"/>
          <w:sz w:val="48"/>
        </w:rPr>
        <w:t>Patient population stratification identifies genetic or biomarker-defined subpopulations most likely to respond to therapy.</w:t>
      </w:r>
    </w:p>
    <w:p>
      <w:r>
        <w:rPr>
          <w:rFonts w:ascii="Arial" w:hAnsi="Arial"/>
          <w:sz w:val="48"/>
        </w:rPr>
        <w:t>Competitive intelligence analysis identifies existing and emerging therapeutic approaches in disease space.</w:t>
      </w:r>
    </w:p>
    <w:p>
      <w:r>
        <w:rPr>
          <w:rFonts w:ascii="Arial" w:hAnsi="Arial"/>
          <w:sz w:val="48"/>
        </w:rPr>
        <w:t>Regulatory pathway assessment determines appropriate route and anticipated approval timelines for drug development.</w:t>
      </w:r>
    </w:p>
    <w:p>
      <w:r>
        <w:rPr>
          <w:rFonts w:ascii="Arial" w:hAnsi="Arial"/>
          <w:sz w:val="48"/>
        </w:rPr>
        <w:t>Intellectual property landscape mapping identifies patents covering target, mechanism, compounds, and therapeutic uses.</w:t>
      </w:r>
    </w:p>
    <w:p>
      <w:r>
        <w:rPr>
          <w:rFonts w:ascii="Arial" w:hAnsi="Arial"/>
          <w:sz w:val="48"/>
        </w:rPr>
        <w:t>Manufacturing feasibility and supply chain assessment ensures therapeutic can be produced at scale with quality.</w:t>
      </w:r>
    </w:p>
    <w:p>
      <w:r>
        <w:rPr>
          <w:rFonts w:ascii="Arial" w:hAnsi="Arial"/>
          <w:sz w:val="48"/>
        </w:rPr>
        <w:t>Safety and toxicology assessment predicts likely adverse effects and acceptable risk-benefit therapeutic profiles.</w:t>
      </w:r>
    </w:p>
    <w:p>
      <w:r>
        <w:rPr>
          <w:rFonts w:ascii="Arial" w:hAnsi="Arial"/>
          <w:sz w:val="48"/>
        </w:rPr>
        <w:t>Pricing and market access strategy determines commercial viability and patient accessibility to developed therapies.</w:t>
      </w:r>
    </w:p>
    <w:p>
      <w:r>
        <w:rPr>
          <w:rFonts w:ascii="Arial" w:hAnsi="Arial"/>
          <w:sz w:val="48"/>
        </w:rPr>
        <w:t>Go/no-go decision framework with quantitative criteria determines advancement decisions based on evidence.</w:t>
      </w:r>
    </w:p>
    <w:p>
      <w:r>
        <w:rPr>
          <w:rFonts w:ascii="Arial" w:hAnsi="Arial"/>
          <w:sz w:val="48"/>
        </w:rPr>
        <w:t>Hypothesis prioritization process rank-orders computational predictions by confidence and impact for experimental testing.</w:t>
      </w:r>
    </w:p>
    <w:p>
      <w:r>
        <w:rPr>
          <w:rFonts w:ascii="Arial" w:hAnsi="Arial"/>
          <w:sz w:val="48"/>
        </w:rPr>
        <w:t>Assay platform selection and optimization balances mechanistic relevance, throughput, cost, and reliability considerations.</w:t>
      </w:r>
    </w:p>
    <w:p>
      <w:r>
        <w:rPr>
          <w:rFonts w:ascii="Arial" w:hAnsi="Arial"/>
          <w:sz w:val="48"/>
        </w:rPr>
        <w:t>Positive and negative control design ensures assays are sensitive to expected effects and specific to mechanisms.</w:t>
      </w:r>
    </w:p>
    <w:p>
      <w:r>
        <w:rPr>
          <w:rFonts w:ascii="Arial" w:hAnsi="Arial"/>
          <w:sz w:val="48"/>
        </w:rPr>
        <w:t>Sample size calculations for validation experiments determine required replication for adequate statistical power.</w:t>
      </w:r>
    </w:p>
    <w:p>
      <w:r>
        <w:rPr>
          <w:rFonts w:ascii="Arial" w:hAnsi="Arial"/>
          <w:sz w:val="48"/>
        </w:rPr>
        <w:t>Experimental design optimization using factorial designs maximizes information per experiment and resource efficiency.</w:t>
      </w:r>
    </w:p>
    <w:p>
      <w:r>
        <w:rPr>
          <w:rFonts w:ascii="Arial" w:hAnsi="Arial"/>
          <w:sz w:val="48"/>
        </w:rPr>
        <w:t>Blinding and randomization procedures reduce experimenter bias and ensure unbiased mechanistic comparisons.</w:t>
      </w:r>
    </w:p>
    <w:p>
      <w:r>
        <w:rPr>
          <w:rFonts w:ascii="Arial" w:hAnsi="Arial"/>
          <w:sz w:val="48"/>
        </w:rPr>
        <w:t>Data quality monitoring during validation studies identifies problems requiring correction or experimental repetition.</w:t>
      </w:r>
    </w:p>
    <w:p>
      <w:r>
        <w:rPr>
          <w:rFonts w:ascii="Arial" w:hAnsi="Arial"/>
          <w:sz w:val="48"/>
        </w:rPr>
        <w:t>Iterative hypothesis refinement based on validation results strengthens mechanistic understanding progressively.</w:t>
      </w:r>
    </w:p>
    <w:p>
      <w:r>
        <w:rPr>
          <w:rFonts w:ascii="Arial" w:hAnsi="Arial"/>
          <w:sz w:val="48"/>
        </w:rPr>
        <w:t>Mechanistic validation through direct pathway measurement confirms hypothesized molecular mechanisms comprehensively.</w:t>
      </w:r>
    </w:p>
    <w:p>
      <w:r>
        <w:rPr>
          <w:rFonts w:ascii="Arial" w:hAnsi="Arial"/>
          <w:sz w:val="48"/>
        </w:rPr>
        <w:t>Translation from in vitro to in vivo systems bridges mechanistic understanding from simple to complex organisms.</w:t>
      </w:r>
    </w:p>
    <w:p>
      <w:r>
        <w:rPr>
          <w:rFonts w:ascii="Arial" w:hAnsi="Arial"/>
          <w:sz w:val="48"/>
        </w:rPr>
        <w:t>Statistical software environments and computational frameworks provide essential infrastructure for analysis. R packages (tidyverse, ggplot2, limma, DESeq2) enable reproducible statistical workflows. Python libraries (pandas, scikit-learn, matplotlib, seaborn) support machine learning and visualization. MATLAB toolboxes provide numerical computing capabilities. High-performance computing clusters enable analysis of large datasets in reasonable timeframes. Version control systems (git, GitHub) track code changes and enable collaborative development.</w:t>
      </w:r>
    </w:p>
    <w:p>
      <w:r>
        <w:rPr>
          <w:rFonts w:ascii="Arial" w:hAnsi="Arial"/>
          <w:sz w:val="48"/>
        </w:rPr>
        <w:t>Data integration challenges arise when combining measurements from different experimental platforms, time periods, or laboratories. Batch effect removal using methods like ComBat preserves biological signal while removing technical variation. Cross-platform normalization enables joint analysis of different assay types. Missing data imputation strategies address incomplete datasets. Graph theory approaches integrate networks from different interaction types. Multi-omics integration combines genetic, transcriptomic, and phenotypic data into unified analyses.</w:t>
      </w:r>
    </w:p>
    <w:p>
      <w:r>
        <w:rPr>
          <w:rFonts w:ascii="Arial" w:hAnsi="Arial"/>
          <w:sz w:val="48"/>
        </w:rPr>
        <w:t>Ethical considerations in computational analysis include appropriate consent for data reuse, privacy protection for genomic data, transparency in algorithmic decision-making, and equitable access to research findings. Data sharing agreements specify appropriate secondary uses. Consent management systems track authorized uses. Differential privacy techniques protect individual privacy while enabling statistical inference. Algorithmic bias detection prevents perpetuating existing health disparities. Open science practices increase accessibility of methods and findings.</w:t>
      </w:r>
    </w:p>
    <w:p>
      <w:r>
        <w:rPr>
          <w:rFonts w:ascii="Arial" w:hAnsi="Arial"/>
          <w:sz w:val="48"/>
        </w:rPr>
        <w:t>Documentation standards ensure analytical reproducibility and enable independent verification. Methods sections describe all data processing, analysis, and statistical procedures with sufficient detail for replication. Supplementary materials provide detailed protocols, parameter specifications, and decision justifications. Code availability (GitHub, Zenodo) enables direct inspection of implementations. Data availability statements specify how raw data and analysis results can be accessed. Version control and computational notebooks (Jupyter, R Markdown) record analysis history.</w:t>
      </w:r>
    </w:p>
    <w:p>
      <w:r>
        <w:rPr>
          <w:rFonts w:ascii="Arial" w:hAnsi="Arial"/>
          <w:sz w:val="48"/>
        </w:rPr>
        <w:t>Machine learning model explanation and interpretation remain active research areas balancing predictive accuracy against interpretability. Black-box models achieve high accuracy but provide limited mechanistic insight. Interpretable models sacrif ice some accuracy for transparency. Explanation methods (SHAP, LIME, attention mechanisms) illuminate how complex models make predictions. Model distillation creates simpler approximations of complex models. Mechanistic interpretation moves beyond statistical associations toward causal understanding of biological relationships.</w:t>
      </w:r>
    </w:p>
    <w:p>
      <w:r>
        <w:rPr>
          <w:rFonts w:ascii="Arial" w:hAnsi="Arial"/>
          <w:sz w:val="48"/>
        </w:rPr>
        <w:t>Computational validation approaches verify algorithmic correctness and appropriateness for applications. Unit tests validate individual functions and components. Integration tests ensure components work correctly together. Regression tests detect unintended changes. Benchmark datasets with known properties enable performance evaluation. Simulation studies assess behavior under controlled conditions. Comparison with published analyses verifies reproducibility. External validation in independent datasets confirms generalization.</w:t>
      </w:r>
    </w:p>
    <w:p>
      <w:r>
        <w:rPr>
          <w:rFonts w:ascii="Arial" w:hAnsi="Arial"/>
          <w:sz w:val="48"/>
        </w:rPr>
        <w:t>Biological context and domain expertise inform all computational decisions and interpretation. Subject-matter experts guide feature selection, identify biologically plausible findings, and recognize implausible results suggesting technical errors. Literature integration connects computational findings to established knowledge. Mechanism-based reasoning explains why computational findings should have biological importance. Collaboration between biologists and quantitative scientists produces optimal results. Educational materials enhance mutual understanding across disciplinary boundaries.</w:t>
      </w:r>
    </w:p>
    <w:p>
      <w:r>
        <w:rPr>
          <w:rFonts w:ascii="Arial" w:hAnsi="Arial"/>
          <w:sz w:val="48"/>
        </w:rPr>
        <w:t>Visualization strategies communicate complex analytical findings to diverse audiences. Network diagrams represent interaction patterns and pathway relationships. Heatmaps display high-dimensional data with hierarchical clustering revealing structure. Scatter plots and dimensionality reduction visualizations show sample relationships. Time-series plots reveal temporal dynamics. Distribution plots (histograms, violin plots, box plots) characterize feature characteristics. Interactive visualizations enable exploratory analysis and user engagement.</w:t>
      </w:r>
    </w:p>
    <w:p>
      <w:r>
        <w:rPr>
          <w:rFonts w:ascii="Arial" w:hAnsi="Arial"/>
          <w:sz w:val="48"/>
        </w:rPr>
        <w:t>Computational resource requirements scale with dataset size and analytical complexity. Memory requirements depend on simultaneous data loading and algorithm implementation. Computation time depends on algorithm complexity, sample numbers, and feature dimensionality. Storage requirements include raw data, processed datasets, and analysis results. Cloud computing platforms (AWS, GCP, Azure) provide scalable infrastructure. Cost considerations balance accuracy against computational expenses. Efficiency optimization uses algorithms suited to hardware architecture.</w:t>
      </w:r>
    </w:p>
    <w:p>
      <w:r>
        <w:rPr>
          <w:rFonts w:ascii="Arial" w:hAnsi="Arial"/>
          <w:sz w:val="48"/>
        </w:rPr>
        <w:t>Model comparison and selection determine which approaches best suit research questions and available data. Information criteria (AIC, BIC) balance fit quality against model complexity. Cross-validation estimates test set performance. Formal hypothesis tests directly compare specific models (likelihood ratio tests). Ensemble methods combine complementary models. Bayesian model comparison integrates prior knowledge. Practical considerations (interpretability, computational cost, availability) influence final selection.</w:t>
      </w:r>
    </w:p>
    <w:p>
      <w:r>
        <w:rPr>
          <w:rFonts w:ascii="Arial" w:hAnsi="Arial"/>
          <w:sz w:val="48"/>
        </w:rPr>
        <w:t>Uncertainty quantification throughout analyses prevents overconfidence and enables appropriate calibration. Confidence intervals around effect estimates convey estimation precision. Credible intervals from Bayesian analysis provide probability distributions over parameters. Prediction intervals encompass range of plausible outcomes. Sensitivity analyses reveal robustness to assumptions. Bootstrap resampling generates empirical distributions. Posterior predictive simulation quantifies uncertainty in future observations.</w:t>
      </w:r>
    </w:p>
    <w:p>
      <w:r>
        <w:rPr>
          <w:rFonts w:ascii="Arial" w:hAnsi="Arial"/>
          <w:sz w:val="48"/>
        </w:rPr>
        <w:t>Reproducibility challenges include code complexity, software dependencies, random seed specification, and hardware variability. Containerization (Docker) captures entire computational environment. Virtual machines provide identical execution environments. Workflow engines (Snakemake, Nextflow) document analysis pipelines. Requirement files specify software versions. Random seed documentation enables exact replication. Hardware-specific variability acceptance acknowledges some variation is inevitable.</w:t>
      </w:r>
    </w:p>
    <w:p>
      <w:r>
        <w:rPr>
          <w:rFonts w:ascii="Arial" w:hAnsi="Arial"/>
          <w:sz w:val="48"/>
        </w:rPr>
        <w:t>Communication of analytical findings to different stakeholders requires tailoring complexity and focus. Scientific presentations emphasize methodology and statistical rigor for peer audiences. Clinical stakeholders focus on patient impact and therapeutic implications. Industry partners emphasize commercialization potential and competitive advantages. Regulatory submissions document methodological soundness and evidence quality. Public communications explain findings in accessible language without oversimplification.</w:t>
      </w:r>
    </w:p>
    <w:p>
      <w:r>
        <w:rPr>
          <w:rFonts w:ascii="Arial" w:hAnsi="Arial"/>
          <w:sz w:val="48"/>
        </w:rPr>
        <w:t>Open science practices including preregistration, data sharing, and code availability enhance transparency and reproducibility. Preregistration specifies analysis plans before seeing results, reducing flexibility-driven p-hacking. Open data enables verification and future meta-analyses. Open code enables independent auditing and replication. Open access publishing increases accessibility. Community review through open repositories (bioRxiv, medRxiv) provides early feedback. Citizen science engagement democratizes research.</w:t>
      </w:r>
    </w:p>
    <w:p>
      <w:r>
        <w:rPr>
          <w:rFonts w:ascii="Arial" w:hAnsi="Arial"/>
          <w:sz w:val="48"/>
        </w:rPr>
        <w:t>Future analytical directions reflect technological advances and evolving research needs. Single-cell electrophysiology combined with transcriptomics reveals cell-type-specific mechanisms. Spatially-resolved transcriptomics maps gene expression to neural circuits. In vivo two-photon imaging enables cell-type-specific functional studies in behaving animals. Organoid models bridge cell biology and whole-animal complexity. Multi-omics integration combines genetic, epigenetic, transcriptomic, proteomic, and metabolomic data. Artificial intelligence approaches enable learning from biological complexity.</w:t>
      </w:r>
    </w:p>
    <w:p>
      <w:r>
        <w:rPr>
          <w:rFonts w:ascii="Arial" w:hAnsi="Arial"/>
          <w:sz w:val="48"/>
        </w:rPr>
        <w:t>Long-term research directions include predictive models enabling prospective validation, mechanistic modeling explaining biological processes, therapeutic translation converting discoveries to clinical treatments, and population-level applications improving public health. Longitudinal studies track disease progression and intervention effects. Large-cohort studies enable genetic associations with clinical outcomes. Diverse population inclusion addresses health disparities. Personalized medicine tailors treatments to individual genetic and biological characteristics.</w:t>
      </w:r>
    </w:p>
    <w:p>
      <w:r>
        <w:rPr>
          <w:rFonts w:ascii="Arial" w:hAnsi="Arial"/>
          <w:sz w:val="48"/>
        </w:rPr>
        <w:t>Collaborative research networks amplify individual researcher capacity through shared resources and complementary expertise. Multi-institutional consortia combine large sample sizes and diverse populations. Open science platforms enable global collaboration. Data sharing repositories provide centralized access. Standardized protocols enable cross-site comparison. Funding mechanisms incentivize collaboration. Training programs develop collaborative skills. Conflict resolution procedures address inevitable disagreements.</w:t>
      </w:r>
    </w:p>
    <w:p>
      <w:r>
        <w:rPr>
          <w:rFonts w:ascii="Arial" w:hAnsi="Arial"/>
          <w:sz w:val="48"/>
        </w:rPr>
        <w:t>Artificial intelligence and machine learning increasingly support biological discovery through pattern recognition exceeding human cognitive capacity. Deep learning neural networks identify complex patterns in high-dimensional data. Reinforcement learning optimizes sequential decisions for experimental design. Transfer learning leverages related datasets for small-sample analysis. Graph neural networks represent network-structured biological data. Explainable AI methods clarify decision logic for clinical translation.</w:t>
      </w:r>
    </w:p>
    <w:p>
      <w:r>
        <w:rPr>
          <w:rFonts w:ascii="Arial" w:hAnsi="Arial"/>
          <w:sz w:val="48"/>
        </w:rPr>
        <w:t>Career development in computational biology requires balancing breadth and depth across biology, statistics, and computer science. Graduate training programs combine disciplinary depth with interdisciplinary collaboration. Postdoctoral fellows develop expertise in specific technical domains. Faculty positions require teaching, research, and service contributions. Industry roles emphasize practical applications and efficiency. Professional development continues throughout careers as technologies evolve.</w:t>
      </w:r>
    </w:p>
    <w:p>
      <w:r>
        <w:rPr>
          <w:rFonts w:ascii="Arial" w:hAnsi="Arial"/>
          <w:sz w:val="48"/>
        </w:rPr>
        <w:t>Funding landscape for computational biology research spans government agencies, private foundations, and industry sources. NIH supports basic research through R01, R21, and training grants. NSF funds methodological innovation. Foundations support emerging areas and high-risk research. Industry partnerships provide development capital for translational work. International funding enables global collaboration. Grant writing skills increasingly important as competition intensifies.</w:t>
      </w:r>
    </w:p>
    <w:p>
      <w:r>
        <w:rPr>
          <w:rFonts w:ascii="Arial" w:hAnsi="Arial"/>
          <w:sz w:val="48"/>
        </w:rPr>
        <w:t>Advanced statistical modeling techniques accommodate complex data structures beyond simple linear relationships. Generalized linear models extend regression to non-normal outcomes (binary, count, survival). Mixed effects models account for repeated measurements and clustered data. Bayesian hierarchical models enable information sharing across groups. Structural equation modeling tests complex pathways. Time-to-event analysis accounts for censoring in longitudinal studies.</w:t>
      </w:r>
    </w:p>
    <w:p>
      <w:r>
        <w:rPr>
          <w:rFonts w:ascii="Arial" w:hAnsi="Arial"/>
          <w:sz w:val="48"/>
        </w:rPr>
        <w:t>Phenotypic heterogeneity and subtypes recognition acknowledges that genes typically produce varied effects across individuals and conditions. Latent class analysis identifies discrete phenotypic groups. Mixture models estimate proportions of distinct subpopulations. Hidden Markov models track transitions between phenotypic states. Network analysis reveals modular organization suggesting distinct pathways. Subtype-specific analysis prevents averaging over mechanistically distinct populations.</w:t>
      </w:r>
    </w:p>
    <w:p>
      <w:r>
        <w:rPr>
          <w:rFonts w:ascii="Arial" w:hAnsi="Arial"/>
          <w:sz w:val="48"/>
        </w:rPr>
        <w:t>Bioinformatic databases and query systems access diverse biological information to contextualize findings. UniProt provides protein information including function, structure, and interactions. Ensembl enables genomic queries and variant annotation. NCBI platforms access sequence, literature, and genetic variation data. Gene Ontology provides standardized biological function annotations. Disease databases (OMIM, DisGeNET) link genes to clinical phenotypes.</w:t>
      </w:r>
    </w:p>
    <w:p>
      <w:r>
        <w:rPr>
          <w:rFonts w:ascii="Arial" w:hAnsi="Arial"/>
          <w:sz w:val="48"/>
        </w:rPr>
        <w:t>Data harmonization and standardization ensure consistency across datasets and analytical pipelines. Common data models facilitate integration of disparate sources. Standardized ontologies enable semantic interoperability. Data quality metrics identify and flag problems. Normalization procedures reduce non-biological variation. Batch harmonization removes technical effects. Validation datasets confirm harmonization success.</w:t>
      </w:r>
    </w:p>
    <w:p>
      <w:r>
        <w:rPr>
          <w:rFonts w:ascii="Arial" w:hAnsi="Arial"/>
          <w:sz w:val="48"/>
        </w:rPr>
        <w:t>Deep learning applications to electrophysiology include convolutional neural networks for automated feature extraction, recurrent neural networks for temporal patterns, and variational autoencoders for unsupervised learning. Transfer learning applies pre-trained models to new datasets with limited samples. Adversarial training generates synthetic electrophysiological patterns. Attention mechanisms identify important measurements.</w:t>
      </w:r>
    </w:p>
    <w:p>
      <w:r>
        <w:rPr>
          <w:rFonts w:ascii="Arial" w:hAnsi="Arial"/>
          <w:sz w:val="48"/>
        </w:rPr>
        <w:t>Graph neural networks represent biological networks as learnable computational structures. Message passing propagates information across network edges. Spectral convolutions leverage network structure for computation. Graph pooling hierarchically summarizes network structure. Applications include drug response prediction and biomarker discovery.</w:t>
      </w:r>
    </w:p>
    <w:p>
      <w:r>
        <w:rPr>
          <w:rFonts w:ascii="Arial" w:hAnsi="Arial"/>
          <w:sz w:val="48"/>
        </w:rPr>
        <w:t>Natural language processing applications extract mechanistic information from literature and clinical records. Named entity recognition identifies genes, proteins, and diseases. Relation extraction identifies interactions between entities. Topic modeling discovers recurring themes. Sentiment analysis gauges confidence in claims. Automated literature mining accelerates hypothesis generation.</w:t>
      </w:r>
    </w:p>
    <w:p>
      <w:r>
        <w:rPr>
          <w:rFonts w:ascii="Arial" w:hAnsi="Arial"/>
          <w:sz w:val="48"/>
        </w:rPr>
        <w:t>Knowledge graph construction integrates diverse biological information into unified knowledge representations. Ontologies provide formal semantics. Triple stores enable efficient querying. Graph reasoning identifies implicit relationships. Embedding techniques enable similarity and prediction. Biomedical knowledge graphs have enabled major discoveries.</w:t>
      </w:r>
    </w:p>
    <w:p>
      <w:r>
        <w:rPr>
          <w:rFonts w:ascii="Arial" w:hAnsi="Arial"/>
          <w:sz w:val="48"/>
        </w:rPr>
        <w:t>Causal discovery algorithms infer causal structures from observational data using statistical and constraint-based approaches. PC algorithm uses independence tests to build causal graphs. FCI algorithm handles hidden confounders. Greedy search optimizes score-based metrics. Cyclic causal models accommodate feedback. Identifiability analysis determines whether causal structures are recoverable from data.</w:t>
      </w:r>
    </w:p>
    <w:p>
      <w:r>
        <w:rPr>
          <w:rFonts w:ascii="Arial" w:hAnsi="Arial"/>
          <w:sz w:val="48"/>
        </w:rPr>
        <w:t>Network inference from perturbation data reveals causal pathways through gene interactions. Knockdown or knockout experiments reveal direct gene interactions. Genetic interaction screens (SGA, DGI) identify pathway members. Chemical-genetic screens reveal drug targets. Time-course perturbations reveal temporal causality. Single-cell multi-omic approaches link genetic and phenotypic variation.</w:t>
      </w:r>
    </w:p>
    <w:p>
      <w:r>
        <w:rPr>
          <w:rFonts w:ascii="Arial" w:hAnsi="Arial"/>
          <w:sz w:val="48"/>
        </w:rPr>
        <w:t>Clinical trial design considerations for translational studies balance scientific rigor with feasibility. Phase I trials establish safety and dosing. Phase II trials assess efficacy signals. Phase III trials confirm efficacy against controls. Phase IV post-market surveillance monitors long-term outcomes. Adaptive trial designs modify hypotheses based on interim results. Real-world evidence supplements traditional trials.</w:t>
      </w:r>
    </w:p>
    <w:p>
      <w:r>
        <w:rPr>
          <w:rFonts w:ascii="Arial" w:hAnsi="Arial"/>
          <w:sz w:val="48"/>
        </w:rPr>
        <w:t>Patient-reported outcomes and quality of life measures capture impacts beyond objective biomarkers. Validated instruments assess symptom burden, functional status, and psychological well-being. Electronic patient-reported outcomes enable continuous monitoring. Machine learning models predict outcomes from baseline characteristics. Shared decision-making incorporates patient preferences. Personalized outcome prediction guides treatment selection.</w:t>
      </w:r>
    </w:p>
    <w:p>
      <w:r>
        <w:rPr>
          <w:rFonts w:ascii="Arial" w:hAnsi="Arial"/>
          <w:sz w:val="48"/>
        </w:rPr>
        <w:t>Health economics and cost-effectiveness analysis informs resource allocation and pricing decisions. Health economic models estimate cost per quality-adjusted life year. Budget impact analysis projects healthcare system costs. Pharmacoeconomic analyses compare costs and outcomes across treatments. Value-based pricing links prices to demonstrated clinical value. Insurance coverage decisions increasingly use economic evidence.</w:t>
      </w:r>
    </w:p>
    <w:p>
      <w:r>
        <w:rPr>
          <w:rFonts w:ascii="Arial" w:hAnsi="Arial"/>
          <w:sz w:val="48"/>
        </w:rPr>
        <w:t>Real-world data and evidence from clinical practice provide complementary evidence to randomized controlled trials. Electronic health records document outcomes in routine care. Disease registries track long-term patient outcomes. Claims databases reveal healthcare utilization patterns. Wearable devices enable continuous monitoring. Digital biomarkers track disease progression. Real-world evidence increasingly influences regulatory and reimbursement decisions.</w:t>
      </w:r>
    </w:p>
    <w:p>
      <w:r>
        <w:rPr>
          <w:rFonts w:ascii="Arial" w:hAnsi="Arial"/>
          <w:sz w:val="48"/>
        </w:rPr>
        <w:t>Precision medicine implementation requires integration of genetic, biomarker, clinical, and lifestyle data for personalized treatment. Pharmacogenomic testing guides drug dosing and selection. Tumor genomic profiling predicts cancer treatment response. Cardiovascular risk prediction models guide prevention strategies. Mental health screening identifies intervention needs. Implementation science addresses barriers to clinical adoption.</w:t>
      </w:r>
    </w:p>
    <w:p>
      <w:r>
        <w:rPr>
          <w:rFonts w:ascii="Arial" w:hAnsi="Arial"/>
          <w:sz w:val="48"/>
        </w:rPr>
        <w:t>Machine learning interpretability for clinical use requires explanations clinicians can act on. Feature importance identifies most influential variables. Partial dependence plots show marginal relationships. Individual conditional expectation curves explain specific predictions. Local interpretable model-agnostic explanations (LIME) approximate complex models locally. Saliency maps visualize decision-relevant features. Clinician engagement improves adoption.</w:t>
      </w:r>
    </w:p>
    <w:p>
      <w:r>
        <w:rPr>
          <w:rFonts w:ascii="Arial" w:hAnsi="Arial"/>
          <w:sz w:val="48"/>
        </w:rPr>
        <w:t>Fairness and bias in machine learning systems affects health equity and clinical outcomes. Algorithmic bias perpetuates or amplifies existing health disparities. Fairness metrics quantify different demographic groups' outcomes. Debiasing strategies address sources of unfairness. Fairness-accuracy tradeoffs require principled decision-making. Diverse training data improves generalization. Ongoing fairness monitoring detects emerging biases.</w:t>
      </w:r>
    </w:p>
    <w:p>
      <w:r>
        <w:rPr>
          <w:rFonts w:ascii="Arial" w:hAnsi="Arial"/>
          <w:sz w:val="48"/>
        </w:rPr>
        <w:t>Regulatory considerations for computational methods affect approval timelines and requirements. Software as a Medical Device (SaMD) regulations apply to clinical decision support software. Pre-market analytical and clinical validation demonstrates safety/efficacy. Real-world performance monitoring post-market ensures continued safety. Cybersecurity standards protect patient data and system integrity. Regulatory harmonization streamlines multi-region submissions.</w:t>
      </w:r>
    </w:p>
    <w:p>
      <w:r>
        <w:rPr>
          <w:rFonts w:ascii="Arial" w:hAnsi="Arial"/>
          <w:sz w:val="48"/>
        </w:rPr>
        <w:t>Intellectual property strategy for computational discoveries includes patents, trade secrets, and copyrights. Patentable subject matter includes novel algorithms and applications. Trade secrets protect non-patentable know-how. Trademark protects brand identity. Copyright protects software code and documentation. Strategy balances patent protection against publishing/sharing benefits. Freedom-to-operate analysis identifies IP risks.</w:t>
      </w:r>
    </w:p>
    <w:p>
      <w:r>
        <w:rPr>
          <w:rFonts w:ascii="Arial" w:hAnsi="Arial"/>
          <w:sz w:val="48"/>
        </w:rPr>
        <w:t>Industry partnerships and technology transfer commercialize academic discoveries. Sponsored research agreements fund early-stage development. Licensing agreements grant commercialization rights. Equity arrangements align incentives. Academic-industry collaborations combine rigor with practical focus. Technology transfer offices facilitate negotiation. Conflict-of-interest management protects research integrity.</w:t>
      </w:r>
    </w:p>
    <w:p>
      <w:r>
        <w:rPr>
          <w:rFonts w:ascii="Arial" w:hAnsi="Arial"/>
          <w:sz w:val="48"/>
        </w:rPr>
        <w:t>Workforce development and training prepare next-generation computational biologists. Graduate programs integrate biology, statistics, and computing. Bioinformatics certificates develop practical skills. Workshop and bootcamp formats accelerate learning. Online resources democratize access. Mentorship programs support career development. Diversity initiatives address underrepresentation in computational fields.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