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Sapphire Pipeline Workflow</w:t>
      </w:r>
    </w:p>
    <w:p>
      <w:pPr>
        <w:pStyle w:val="Heading2"/>
        <w:spacing w:after="150" w:line="360"/>
      </w:pPr>
      <w:r>
        <w:t xml:space="preserve">Pipeline 079: Functional Phenotype in mTOR Signaling</w:t>
      </w:r>
    </w:p>
    <w:p>
      <w:pPr>
        <w:spacing w:after="150" w:line="360"/>
      </w:pPr>
      <w:r>
        <w:t xml:space="preserve">Query: "For target Z, is the functional phenotype likely upstream or downstream of mTOR?"</w:t>
      </w:r>
    </w:p>
    <w:p>
      <w:pPr>
        <w:spacing w:after="200" w:line="360"/>
      </w:pPr>
      <w:r>
        <w:t xml:space="preserve">This pipeline maps target Z within mTOR signaling cascade using epistasis logic, comparing against upstream regulators and downstream effectors.</w:t>
      </w:r>
    </w:p>
    <w:p>
      <w:pPr>
        <w:pStyle w:val="Heading2"/>
        <w:spacing w:after="100" w:line="360"/>
      </w:pPr>
      <w:r>
        <w:t xml:space="preserve">Pipeline Overview</w:t>
      </w:r>
    </w:p>
    <w:p>
      <w:pPr>
        <w:spacing w:after="100" w:line="360"/>
      </w:pPr>
      <w:r>
        <w:t xml:space="preserve">mTOR pathway is central to metabolism, growth, autophagy. Dysregulated in autism, Tuberous Sclerosis, Fragile X, bipolar disorder, schizophrenia.</w:t>
      </w:r>
    </w:p>
    <w:p>
      <w:pPr>
        <w:spacing w:after="200" w:line="360"/>
      </w:pPr>
      <w:r>
        <w:t xml:space="preserve">Understanding target Z's positioning in mTOR cascade is critical for predicting interactions and designing combination therapies.</w:t>
      </w:r>
    </w:p>
    <w:p>
      <w:pPr>
        <w:pStyle w:val="Heading2"/>
        <w:spacing w:after="150" w:line="360"/>
      </w:pPr>
      <w:r>
        <w:t xml:space="preserve">Stage 1: mTOR Component Characterization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Establish EP signatures for all mTOR pathway components.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mTOR component 11</w:t>
      </w:r>
    </w:p>
    <w:p>
      <w:pPr>
        <w:pStyle w:val="Heading2"/>
        <w:spacing w:after="150" w:line="360"/>
      </w:pPr>
      <w:r>
        <w:t xml:space="preserve">Stage 2: Target Z Positioning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Obtain target Z signature and compare against mTOR members.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Positioning 15</w:t>
      </w:r>
    </w:p>
    <w:p>
      <w:pPr>
        <w:pStyle w:val="Heading2"/>
        <w:spacing w:after="150" w:line="360"/>
      </w:pPr>
      <w:r>
        <w:t xml:space="preserve">Stage 3: Epistasis &amp; Rapamycin Sensitivity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Apply epistasis logic: target Z + rapamycin.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13</w:t>
      </w:r>
    </w:p>
    <w:p>
      <w:pPr>
        <w:pStyle w:val="Heading2"/>
        <w:spacing w:after="150" w:line="360"/>
      </w:pPr>
      <w:r>
        <w:t xml:space="preserve">Stage 4: Omics Integration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Integrate transcriptomics, proteomics, phosphoproteomics.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Omics 13</w:t>
      </w:r>
    </w:p>
    <w:p>
      <w:pPr>
        <w:pStyle w:val="Heading2"/>
        <w:spacing w:after="150" w:line="360"/>
      </w:pPr>
      <w:r>
        <w:t xml:space="preserve">Stage 5: Mechanistic Modeling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Construct computational model of target Z in mTOR.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Modeling 13</w:t>
      </w:r>
    </w:p>
    <w:p>
      <w:pPr>
        <w:pStyle w:val="Heading2"/>
        <w:spacing w:after="150" w:line="360"/>
      </w:pPr>
      <w:r>
        <w:t xml:space="preserve">Stage 6: Pathway Position Recommendation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Provide definitive pathway positioning with confidence.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Recommendation 13</w:t>
      </w:r>
    </w:p>
    <w:p>
      <w:pPr>
        <w:pStyle w:val="Heading2"/>
        <w:spacing w:after="150" w:line="360"/>
      </w:pPr>
      <w:r>
        <w:t xml:space="preserve">Tools &amp; Databases Summary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2026-02-27T19:19:35.993Z</dcterms:created>
  <dcterms:modified xsi:type="dcterms:W3CDTF">2026-02-27T19:19:35.993Z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