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line="360"/>
      </w:pPr>
      <w:r>
        <w:rPr>
          <w:rFonts w:ascii="Arial" w:cs="Arial" w:eastAsia="Arial" w:hAnsi="Arial"/>
          <w:b w:val="false"/>
          <w:bCs w:val="false"/>
          <w:sz w:val="64"/>
          <w:szCs w:val="64"/>
        </w:rPr>
        <w:t xml:space="preserve">Pipeline 081: Disease Modification vs Symptomatic Signature</w:t>
      </w:r>
    </w:p>
    <w:p>
      <w:pPr>
        <w:pStyle w:val="Heading2"/>
        <w:spacing w:after="200" w:line="360"/>
      </w:pPr>
      <w:r>
        <w:rPr>
          <w:rFonts w:ascii="Arial" w:cs="Arial" w:eastAsia="Arial" w:hAnsi="Arial"/>
          <w:b w:val="false"/>
          <w:bCs w:val="false"/>
          <w:sz w:val="56"/>
          <w:szCs w:val="56"/>
        </w:rPr>
        <w:t xml:space="preserve">Prompt: Does the Quiver signature of gene X suggest disease modification or symptomatic modulation?</w:t>
      </w:r>
    </w:p>
    <w:p>
      <w:pPr>
        <w:spacing w:after="100" w:line="360"/>
      </w:pPr>
      <w:r>
        <w:rPr>
          <w:rFonts w:ascii="Arial" w:cs="Arial" w:eastAsia="Arial" w:hAnsi="Arial"/>
          <w:b w:val="false"/>
          <w:bCs w:val="false"/>
          <w:sz w:val="24"/>
          <w:szCs w:val="24"/>
        </w:rPr>
        <w:t xml:space="preserve">This pipeline addresses a fundamental therapeutic question: does suppressing or modifying a candidate gene treat the underlying disease mechanism (disease modification) or merely alleviate symptoms (symptomatic relief)? Using Quiver's rich CRISPR perturbation data paired with mechanistic phenotyping, this workflow systematically characterizes whether gene perturbations normalize disease-driving molecular pathways or simply suppress downstream symptomatic outputs. This distinction is critical for regulatory approvals, patient outcomes, and clinical development strategy.</w:t>
      </w:r>
    </w:p>
    <w:p>
      <w:pPr>
        <w:pStyle w:val="Heading2"/>
        <w:spacing w:after="200" w:line="360"/>
      </w:pPr>
      <w:r>
        <w:rPr>
          <w:rFonts w:ascii="Arial" w:cs="Arial" w:eastAsia="Arial" w:hAnsi="Arial"/>
          <w:b w:val="false"/>
          <w:bCs w:val="false"/>
          <w:sz w:val="56"/>
          <w:szCs w:val="56"/>
        </w:rPr>
        <w:t xml:space="preserve">Pipeline Overview</w:t>
      </w:r>
    </w:p>
    <w:p>
      <w:pPr>
        <w:spacing w:after="100" w:line="360"/>
      </w:pPr>
      <w:r>
        <w:rPr>
          <w:rFonts w:ascii="Arial" w:cs="Arial" w:eastAsia="Arial" w:hAnsi="Arial"/>
          <w:b w:val="false"/>
          <w:bCs w:val="false"/>
          <w:sz w:val="24"/>
          <w:szCs w:val="24"/>
        </w:rPr>
        <w:t xml:space="preserve">The six-stage pipeline integrates baseline disease phenotypes, mechanistic pathway effects, temporal dynamics, and long-term neuronal health outcomes. Each stage progressively discriminates disease-modifying interventions from those offering symptomatic relief, providing evidence for mechanism-of-action and expected clinical trajectory.</w:t>
      </w:r>
    </w:p>
    <w:p>
      <w:pPr>
        <w:spacing w:after="100" w:line="360"/>
      </w:pPr>
      <w:r>
        <w:rPr>
          <w:rFonts w:ascii="Arial" w:cs="Arial" w:eastAsia="Arial" w:hAnsi="Arial"/>
          <w:b w:val="false"/>
          <w:bCs w:val="false"/>
          <w:sz w:val="24"/>
          <w:szCs w:val="24"/>
        </w:rPr>
        <w:t xml:space="preserve">Outputs include mechanistic phenotype signatures, pathway-level evidence of disease reversal, predictive biomarkers, and risk-benefit profiles for disease modification vs. symptomatic modulation. This enables data-driven therapeutic development planning and regulatory positioning.</w:t>
      </w:r>
    </w:p>
    <w:p>
      <w:pPr>
        <w:pStyle w:val="Heading2"/>
        <w:spacing w:after="200" w:line="360"/>
      </w:pPr>
      <w:r>
        <w:rPr>
          <w:rFonts w:ascii="Arial" w:cs="Arial" w:eastAsia="Arial" w:hAnsi="Arial"/>
          <w:b w:val="false"/>
          <w:bCs w:val="false"/>
          <w:sz w:val="56"/>
          <w:szCs w:val="56"/>
        </w:rPr>
        <w:t xml:space="preserve">Stage 1: Baseline Disease Signature Establishment</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Define a comprehensive disease phenotype signature capturing molecular, cellular, and network-level abnormalities in diseased neurons, establishing a baseline against which therapeutic interventions can be evaluated.</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Disease Model Neurons: </w:t>
      </w:r>
      <w:r>
        <w:rPr>
          <w:rFonts w:ascii="Arial" w:cs="Arial" w:eastAsia="Arial" w:hAnsi="Arial"/>
          <w:sz w:val="24"/>
          <w:szCs w:val="24"/>
        </w:rPr>
        <w:t xml:space="preserve">iPSC-derived neurons from disease patients or engineered disease-relevant backgrounds (e.g., Alzheimer's, schizophrenia, epilepsy models)</w:t>
      </w:r>
    </w:p>
    <w:p>
      <w:pPr>
        <w:pStyle w:val="ListParagraph"/>
        <w:numPr>
          <w:ilvl w:val="0"/>
          <w:numId w:val="2"/>
        </w:numPr>
        <w:spacing w:after="100" w:line="360"/>
      </w:pPr>
      <w:r>
        <w:rPr>
          <w:rFonts w:ascii="Arial" w:cs="Arial" w:eastAsia="Arial" w:hAnsi="Arial"/>
          <w:b/>
          <w:bCs/>
          <w:sz w:val="24"/>
          <w:szCs w:val="24"/>
        </w:rPr>
        <w:t xml:space="preserve">Control Neurons: </w:t>
      </w:r>
      <w:r>
        <w:rPr>
          <w:rFonts w:ascii="Arial" w:cs="Arial" w:eastAsia="Arial" w:hAnsi="Arial"/>
          <w:sz w:val="24"/>
          <w:szCs w:val="24"/>
        </w:rPr>
        <w:t xml:space="preserve">Isogenic controls or healthy population-matched neurons for phenotypic comparison</w:t>
      </w:r>
    </w:p>
    <w:p>
      <w:pPr>
        <w:pStyle w:val="ListParagraph"/>
        <w:numPr>
          <w:ilvl w:val="0"/>
          <w:numId w:val="2"/>
        </w:numPr>
        <w:spacing w:after="100" w:line="360"/>
      </w:pPr>
      <w:r>
        <w:rPr>
          <w:rFonts w:ascii="Arial" w:cs="Arial" w:eastAsia="Arial" w:hAnsi="Arial"/>
          <w:b/>
          <w:bCs/>
          <w:sz w:val="24"/>
          <w:szCs w:val="24"/>
        </w:rPr>
        <w:t xml:space="preserve">Comprehensive Phenotype Datasets: </w:t>
      </w:r>
      <w:r>
        <w:rPr>
          <w:rFonts w:ascii="Arial" w:cs="Arial" w:eastAsia="Arial" w:hAnsi="Arial"/>
          <w:sz w:val="24"/>
          <w:szCs w:val="24"/>
        </w:rPr>
        <w:t xml:space="preserve">Electrophysiology, calcium imaging, proteomics, metabolomics, transcriptomics, morphometry in diseased and control states</w:t>
      </w:r>
    </w:p>
    <w:p>
      <w:pPr>
        <w:pStyle w:val="ListParagraph"/>
        <w:numPr>
          <w:ilvl w:val="0"/>
          <w:numId w:val="2"/>
        </w:numPr>
        <w:spacing w:after="100" w:line="360"/>
      </w:pPr>
      <w:r>
        <w:rPr>
          <w:rFonts w:ascii="Arial" w:cs="Arial" w:eastAsia="Arial" w:hAnsi="Arial"/>
          <w:b/>
          <w:bCs/>
          <w:sz w:val="24"/>
          <w:szCs w:val="24"/>
        </w:rPr>
        <w:t xml:space="preserve">Mechanistic Biomarkers: </w:t>
      </w:r>
      <w:r>
        <w:rPr>
          <w:rFonts w:ascii="Arial" w:cs="Arial" w:eastAsia="Arial" w:hAnsi="Arial"/>
          <w:sz w:val="24"/>
          <w:szCs w:val="24"/>
        </w:rPr>
        <w:t xml:space="preserve">Known disease-driving mechanisms (e.g., tau phosphorylation, amyloid burden, excitatory-inhibitory imbalance, mitochondrial dysfunction)</w:t>
      </w:r>
    </w:p>
    <w:p>
      <w:pPr>
        <w:pStyle w:val="ListParagraph"/>
        <w:numPr>
          <w:ilvl w:val="0"/>
          <w:numId w:val="2"/>
        </w:numPr>
        <w:spacing w:after="100" w:line="360"/>
      </w:pPr>
      <w:r>
        <w:rPr>
          <w:rFonts w:ascii="Arial" w:cs="Arial" w:eastAsia="Arial" w:hAnsi="Arial"/>
          <w:b/>
          <w:bCs/>
          <w:sz w:val="24"/>
          <w:szCs w:val="24"/>
        </w:rPr>
        <w:t xml:space="preserve">Temporal Data: </w:t>
      </w:r>
      <w:r>
        <w:rPr>
          <w:rFonts w:ascii="Arial" w:cs="Arial" w:eastAsia="Arial" w:hAnsi="Arial"/>
          <w:sz w:val="24"/>
          <w:szCs w:val="24"/>
        </w:rPr>
        <w:t xml:space="preserve">Longitudinal measurements of disease progression in culture to distinguish early vs. late pathological features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Quiver CRISPR EP Atlas: </w:t>
      </w:r>
      <w:r>
        <w:rPr>
          <w:rFonts w:ascii="Arial" w:cs="Arial" w:eastAsia="Arial" w:hAnsi="Arial"/>
          <w:sz w:val="24"/>
          <w:szCs w:val="24"/>
        </w:rPr>
        <w:t xml:space="preserve">Query baseline electrophysiology phenotypes in disease model neurons across ~18,000 perturbations.</w:t>
      </w:r>
    </w:p>
    <w:p>
      <w:pPr>
        <w:pStyle w:val="ListParagraph"/>
        <w:numPr>
          <w:ilvl w:val="0"/>
          <w:numId w:val="2"/>
        </w:numPr>
        <w:spacing w:after="100" w:line="360"/>
      </w:pPr>
      <w:r>
        <w:rPr>
          <w:rFonts w:ascii="Arial" w:cs="Arial" w:eastAsia="Arial" w:hAnsi="Arial"/>
          <w:b/>
          <w:bCs/>
          <w:sz w:val="24"/>
          <w:szCs w:val="24"/>
        </w:rPr>
        <w:t xml:space="preserve">Disease Signature Database: </w:t>
      </w:r>
      <w:r>
        <w:rPr>
          <w:rFonts w:ascii="Arial" w:cs="Arial" w:eastAsia="Arial" w:hAnsi="Arial"/>
          <w:sz w:val="24"/>
          <w:szCs w:val="24"/>
        </w:rPr>
        <w:t xml:space="preserve">Aggregate known disease-specific phenotypic alterations (e.g., neuroinflammatory markers, synaptic dysfunction hallmarks).</w:t>
      </w:r>
    </w:p>
    <w:p>
      <w:pPr>
        <w:pStyle w:val="ListParagraph"/>
        <w:numPr>
          <w:ilvl w:val="0"/>
          <w:numId w:val="2"/>
        </w:numPr>
        <w:spacing w:after="100" w:line="360"/>
      </w:pPr>
      <w:r>
        <w:rPr>
          <w:rFonts w:ascii="Arial" w:cs="Arial" w:eastAsia="Arial" w:hAnsi="Arial"/>
          <w:b/>
          <w:bCs/>
          <w:sz w:val="24"/>
          <w:szCs w:val="24"/>
        </w:rPr>
        <w:t xml:space="preserve">Multi-Omics Integration Tool: </w:t>
      </w:r>
      <w:r>
        <w:rPr>
          <w:rFonts w:ascii="Arial" w:cs="Arial" w:eastAsia="Arial" w:hAnsi="Arial"/>
          <w:sz w:val="24"/>
          <w:szCs w:val="24"/>
        </w:rPr>
        <w:t xml:space="preserve">Combine transcriptomic, proteomic, and metabolomic data to construct a comprehensive disease molecular signature.</w:t>
      </w:r>
    </w:p>
    <w:p>
      <w:pPr>
        <w:pStyle w:val="ListParagraph"/>
        <w:numPr>
          <w:ilvl w:val="0"/>
          <w:numId w:val="2"/>
        </w:numPr>
        <w:spacing w:after="100" w:line="360"/>
      </w:pPr>
      <w:r>
        <w:rPr>
          <w:rFonts w:ascii="Arial" w:cs="Arial" w:eastAsia="Arial" w:hAnsi="Arial"/>
          <w:b/>
          <w:bCs/>
          <w:sz w:val="24"/>
          <w:szCs w:val="24"/>
        </w:rPr>
        <w:t xml:space="preserve">Phenotype Harmonization Pipeline: </w:t>
      </w:r>
      <w:r>
        <w:rPr>
          <w:rFonts w:ascii="Arial" w:cs="Arial" w:eastAsia="Arial" w:hAnsi="Arial"/>
          <w:sz w:val="24"/>
          <w:szCs w:val="24"/>
        </w:rPr>
        <w:t xml:space="preserve">Normalize and standardize measurements across different assay platforms and batches for cross-feature comparison.</w:t>
      </w:r>
    </w:p>
    <w:p>
      <w:pPr>
        <w:pStyle w:val="ListParagraph"/>
        <w:numPr>
          <w:ilvl w:val="0"/>
          <w:numId w:val="2"/>
        </w:numPr>
        <w:spacing w:after="100" w:line="360"/>
      </w:pPr>
      <w:r>
        <w:rPr>
          <w:rFonts w:ascii="Arial" w:cs="Arial" w:eastAsia="Arial" w:hAnsi="Arial"/>
          <w:b/>
          <w:bCs/>
          <w:sz w:val="24"/>
          <w:szCs w:val="24"/>
        </w:rPr>
        <w:t xml:space="preserve">Network-Level Analysis Engine: </w:t>
      </w:r>
      <w:r>
        <w:rPr>
          <w:rFonts w:ascii="Arial" w:cs="Arial" w:eastAsia="Arial" w:hAnsi="Arial"/>
          <w:sz w:val="24"/>
          <w:szCs w:val="24"/>
        </w:rPr>
        <w:t xml:space="preserve">Build co-expression networks, pathway activity maps, and cell-state trajectories in disease vs. control neurons.</w:t>
      </w:r>
    </w:p>
    <w:p>
      <w:pPr>
        <w:pStyle w:val="ListParagraph"/>
        <w:numPr>
          <w:ilvl w:val="0"/>
          <w:numId w:val="2"/>
        </w:numPr>
        <w:spacing w:after="100" w:line="360"/>
      </w:pPr>
      <w:r>
        <w:rPr>
          <w:rFonts w:ascii="Arial" w:cs="Arial" w:eastAsia="Arial" w:hAnsi="Arial"/>
          <w:b/>
          <w:bCs/>
          <w:sz w:val="24"/>
          <w:szCs w:val="24"/>
        </w:rPr>
        <w:t xml:space="preserve">Temporal Phenotype Tracker: </w:t>
      </w:r>
      <w:r>
        <w:rPr>
          <w:rFonts w:ascii="Arial" w:cs="Arial" w:eastAsia="Arial" w:hAnsi="Arial"/>
          <w:sz w:val="24"/>
          <w:szCs w:val="24"/>
        </w:rPr>
        <w:t xml:space="preserve">Monitor disease signature evolution over culture time to distinguish primary (early) vs. secondary (late) pathological features.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key electrophysiological, molecular, and cellular hallmarks of the disease state in our neurons?"</w:t>
      </w:r>
    </w:p>
    <w:p>
      <w:pPr>
        <w:pStyle w:val="ListParagraph"/>
        <w:numPr>
          <w:ilvl w:val="0"/>
          <w:numId w:val="2"/>
        </w:numPr>
        <w:spacing w:after="100" w:line="360"/>
      </w:pPr>
      <w:r>
        <w:rPr>
          <w:rFonts w:ascii="Arial" w:cs="Arial" w:eastAsia="Arial" w:hAnsi="Arial"/>
          <w:sz w:val="24"/>
          <w:szCs w:val="24"/>
        </w:rPr>
        <w:t xml:space="preserve">"Which phenotypic dimensions show the greatest deviation from healthy controls (e.g., spike width, burst frequency, synaptic strength)?"</w:t>
      </w:r>
    </w:p>
    <w:p>
      <w:pPr>
        <w:pStyle w:val="ListParagraph"/>
        <w:numPr>
          <w:ilvl w:val="0"/>
          <w:numId w:val="2"/>
        </w:numPr>
        <w:spacing w:after="100" w:line="360"/>
      </w:pPr>
      <w:r>
        <w:rPr>
          <w:rFonts w:ascii="Arial" w:cs="Arial" w:eastAsia="Arial" w:hAnsi="Arial"/>
          <w:sz w:val="24"/>
          <w:szCs w:val="24"/>
        </w:rPr>
        <w:t xml:space="preserve">"Are there temporal relationships between primary molecular lesions and downstream cellular dysfunction?"</w:t>
      </w:r>
    </w:p>
    <w:p>
      <w:pPr>
        <w:pStyle w:val="ListParagraph"/>
        <w:numPr>
          <w:ilvl w:val="0"/>
          <w:numId w:val="2"/>
        </w:numPr>
        <w:spacing w:after="100" w:line="360"/>
      </w:pPr>
      <w:r>
        <w:rPr>
          <w:rFonts w:ascii="Arial" w:cs="Arial" w:eastAsia="Arial" w:hAnsi="Arial"/>
          <w:sz w:val="24"/>
          <w:szCs w:val="24"/>
        </w:rPr>
        <w:t xml:space="preserve">"Which pathways are most significantly dysregulated in the disease model at the transcriptome, proteome, and metabolome levels?"</w:t>
      </w:r>
    </w:p>
    <w:p>
      <w:pPr>
        <w:pStyle w:val="ListParagraph"/>
        <w:numPr>
          <w:ilvl w:val="0"/>
          <w:numId w:val="2"/>
        </w:numPr>
        <w:spacing w:after="100" w:line="360"/>
      </w:pPr>
      <w:r>
        <w:rPr>
          <w:rFonts w:ascii="Arial" w:cs="Arial" w:eastAsia="Arial" w:hAnsi="Arial"/>
          <w:sz w:val="24"/>
          <w:szCs w:val="24"/>
        </w:rPr>
        <w:t xml:space="preserve">"Can we define a quantitative disease severity score integrating the most discriminative phenotypic features?"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Disease Signature Feature Set: </w:t>
      </w:r>
      <w:r>
        <w:rPr>
          <w:rFonts w:ascii="Arial" w:cs="Arial" w:eastAsia="Arial" w:hAnsi="Arial"/>
          <w:sz w:val="24"/>
          <w:szCs w:val="24"/>
        </w:rPr>
        <w:t xml:space="preserve">Ranked list of phenotypic dimensions showing disease-related deviation (effect sizes, p-values, fold-changes)</w:t>
      </w:r>
    </w:p>
    <w:p>
      <w:pPr>
        <w:pStyle w:val="ListParagraph"/>
        <w:numPr>
          <w:ilvl w:val="0"/>
          <w:numId w:val="2"/>
        </w:numPr>
        <w:spacing w:after="100" w:line="360"/>
      </w:pPr>
      <w:r>
        <w:rPr>
          <w:rFonts w:ascii="Arial" w:cs="Arial" w:eastAsia="Arial" w:hAnsi="Arial"/>
          <w:b/>
          <w:bCs/>
          <w:sz w:val="24"/>
          <w:szCs w:val="24"/>
        </w:rPr>
        <w:t xml:space="preserve">Multi-Omics Integration Matrix: </w:t>
      </w:r>
      <w:r>
        <w:rPr>
          <w:rFonts w:ascii="Arial" w:cs="Arial" w:eastAsia="Arial" w:hAnsi="Arial"/>
          <w:sz w:val="24"/>
          <w:szCs w:val="24"/>
        </w:rPr>
        <w:t xml:space="preserve">Genes × phenotype features matrix integrating transcriptomics, proteomics, and metabolomics in disease vs. control</w:t>
      </w:r>
    </w:p>
    <w:p>
      <w:pPr>
        <w:pStyle w:val="ListParagraph"/>
        <w:numPr>
          <w:ilvl w:val="0"/>
          <w:numId w:val="2"/>
        </w:numPr>
        <w:spacing w:after="100" w:line="360"/>
      </w:pPr>
      <w:r>
        <w:rPr>
          <w:rFonts w:ascii="Arial" w:cs="Arial" w:eastAsia="Arial" w:hAnsi="Arial"/>
          <w:b/>
          <w:bCs/>
          <w:sz w:val="24"/>
          <w:szCs w:val="24"/>
        </w:rPr>
        <w:t xml:space="preserve">Network and Pathway Maps: </w:t>
      </w:r>
      <w:r>
        <w:rPr>
          <w:rFonts w:ascii="Arial" w:cs="Arial" w:eastAsia="Arial" w:hAnsi="Arial"/>
          <w:sz w:val="24"/>
          <w:szCs w:val="24"/>
        </w:rPr>
        <w:t xml:space="preserve">Co-expression networks, pathway activity heatmaps, and mechanistic pathway dysregulation summaries specific to disease state</w:t>
      </w:r>
    </w:p>
    <w:p>
      <w:pPr>
        <w:pStyle w:val="ListParagraph"/>
        <w:numPr>
          <w:ilvl w:val="0"/>
          <w:numId w:val="2"/>
        </w:numPr>
        <w:spacing w:after="100" w:line="360"/>
      </w:pPr>
      <w:r>
        <w:rPr>
          <w:rFonts w:ascii="Arial" w:cs="Arial" w:eastAsia="Arial" w:hAnsi="Arial"/>
          <w:b/>
          <w:bCs/>
          <w:sz w:val="24"/>
          <w:szCs w:val="24"/>
        </w:rPr>
        <w:t xml:space="preserve">Temporal Phenotype Trajectories: </w:t>
      </w:r>
      <w:r>
        <w:rPr>
          <w:rFonts w:ascii="Arial" w:cs="Arial" w:eastAsia="Arial" w:hAnsi="Arial"/>
          <w:sz w:val="24"/>
          <w:szCs w:val="24"/>
        </w:rPr>
        <w:t xml:space="preserve">Time-series plots showing evolution of disease signature features over culture duration</w:t>
      </w:r>
    </w:p>
    <w:p>
      <w:pPr>
        <w:pStyle w:val="ListParagraph"/>
        <w:numPr>
          <w:ilvl w:val="0"/>
          <w:numId w:val="2"/>
        </w:numPr>
        <w:spacing w:after="100" w:line="360"/>
      </w:pPr>
      <w:r>
        <w:rPr>
          <w:rFonts w:ascii="Arial" w:cs="Arial" w:eastAsia="Arial" w:hAnsi="Arial"/>
          <w:b/>
          <w:bCs/>
          <w:sz w:val="24"/>
          <w:szCs w:val="24"/>
        </w:rPr>
        <w:t xml:space="preserve">Disease Severity Scoring System: </w:t>
      </w:r>
      <w:r>
        <w:rPr>
          <w:rFonts w:ascii="Arial" w:cs="Arial" w:eastAsia="Arial" w:hAnsi="Arial"/>
          <w:sz w:val="24"/>
          <w:szCs w:val="24"/>
        </w:rPr>
        <w:t xml:space="preserve">Quantitative score integrating primary disease features for benchmarking therapeutic intervention effects</w:t>
      </w:r>
    </w:p>
    <w:p>
      <w:pPr>
        <w:pStyle w:val="ListParagraph"/>
        <w:numPr>
          <w:ilvl w:val="0"/>
          <w:numId w:val="2"/>
        </w:numPr>
        <w:spacing w:after="100" w:line="360"/>
      </w:pPr>
      <w:r>
        <w:rPr>
          <w:rFonts w:ascii="Arial" w:cs="Arial" w:eastAsia="Arial" w:hAnsi="Arial"/>
          <w:b/>
          <w:bCs/>
          <w:sz w:val="24"/>
          <w:szCs w:val="24"/>
        </w:rPr>
        <w:t xml:space="preserve">Control Reference Profiles: </w:t>
      </w:r>
      <w:r>
        <w:rPr>
          <w:rFonts w:ascii="Arial" w:cs="Arial" w:eastAsia="Arial" w:hAnsi="Arial"/>
          <w:sz w:val="24"/>
          <w:szCs w:val="24"/>
        </w:rPr>
        <w:t xml:space="preserve">Healthy neuron phenotype distribution for comparison, including inter-individual variability and variation sources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Signature feature tables as CSV, multi-omics matrices as TSV, network visualization as PDF or PNG, severity scores as JSON.</w:t>
      </w:r>
    </w:p>
    <w:p>
      <w:pPr>
        <w:pStyle w:val="Heading2"/>
        <w:spacing w:after="200" w:line="360"/>
      </w:pPr>
      <w:r>
        <w:rPr>
          <w:rFonts w:ascii="Arial" w:cs="Arial" w:eastAsia="Arial" w:hAnsi="Arial"/>
          <w:b w:val="false"/>
          <w:bCs w:val="false"/>
          <w:sz w:val="56"/>
          <w:szCs w:val="56"/>
        </w:rPr>
        <w:t xml:space="preserve">Stage 2: Gene Perturbation Phenotypic Profiling in Disease Context</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Systematically perturb candidate genes (or leverage pre-existing Quiver data) in disease model neurons to assess how perturbation modulates the complete disease phenotype signature.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Disease Model Neurons with Perturbations: </w:t>
      </w:r>
      <w:r>
        <w:rPr>
          <w:rFonts w:ascii="Arial" w:cs="Arial" w:eastAsia="Arial" w:hAnsi="Arial"/>
          <w:sz w:val="24"/>
          <w:szCs w:val="24"/>
        </w:rPr>
        <w:t xml:space="preserve">CRISPR-modified disease neurons for each candidate gene, with baseline phenotype established in Stage 1</w:t>
      </w:r>
    </w:p>
    <w:p>
      <w:pPr>
        <w:pStyle w:val="ListParagraph"/>
        <w:numPr>
          <w:ilvl w:val="0"/>
          <w:numId w:val="2"/>
        </w:numPr>
        <w:spacing w:after="100" w:line="360"/>
      </w:pPr>
      <w:r>
        <w:rPr>
          <w:rFonts w:ascii="Arial" w:cs="Arial" w:eastAsia="Arial" w:hAnsi="Arial"/>
          <w:b/>
          <w:bCs/>
          <w:sz w:val="24"/>
          <w:szCs w:val="24"/>
        </w:rPr>
        <w:t xml:space="preserve">Quiver Perturbation Library: </w:t>
      </w:r>
      <w:r>
        <w:rPr>
          <w:rFonts w:ascii="Arial" w:cs="Arial" w:eastAsia="Arial" w:hAnsi="Arial"/>
          <w:sz w:val="24"/>
          <w:szCs w:val="24"/>
        </w:rPr>
        <w:t xml:space="preserve">Pre-characterized phenotypic effects of ~18,000 gene perturbations across assays (EP, calcium, metabolomics, etc.)</w:t>
      </w:r>
    </w:p>
    <w:p>
      <w:pPr>
        <w:pStyle w:val="ListParagraph"/>
        <w:numPr>
          <w:ilvl w:val="0"/>
          <w:numId w:val="2"/>
        </w:numPr>
        <w:spacing w:after="100" w:line="360"/>
      </w:pPr>
      <w:r>
        <w:rPr>
          <w:rFonts w:ascii="Arial" w:cs="Arial" w:eastAsia="Arial" w:hAnsi="Arial"/>
          <w:b/>
          <w:bCs/>
          <w:sz w:val="24"/>
          <w:szCs w:val="24"/>
        </w:rPr>
        <w:t xml:space="preserve">Disease Signature Features from Stage 1: </w:t>
      </w:r>
      <w:r>
        <w:rPr>
          <w:rFonts w:ascii="Arial" w:cs="Arial" w:eastAsia="Arial" w:hAnsi="Arial"/>
          <w:sz w:val="24"/>
          <w:szCs w:val="24"/>
        </w:rPr>
        <w:t xml:space="preserve">Target phenotypes for measuring therapeutic benefit (primary disease hallmarks and secondary consequences)</w:t>
      </w:r>
    </w:p>
    <w:p>
      <w:pPr>
        <w:pStyle w:val="ListParagraph"/>
        <w:numPr>
          <w:ilvl w:val="0"/>
          <w:numId w:val="2"/>
        </w:numPr>
        <w:spacing w:after="100" w:line="360"/>
      </w:pPr>
      <w:r>
        <w:rPr>
          <w:rFonts w:ascii="Arial" w:cs="Arial" w:eastAsia="Arial" w:hAnsi="Arial"/>
          <w:b/>
          <w:bCs/>
          <w:sz w:val="24"/>
          <w:szCs w:val="24"/>
        </w:rPr>
        <w:t xml:space="preserve">Perturbation Type Annotations: </w:t>
      </w:r>
      <w:r>
        <w:rPr>
          <w:rFonts w:ascii="Arial" w:cs="Arial" w:eastAsia="Arial" w:hAnsi="Arial"/>
          <w:sz w:val="24"/>
          <w:szCs w:val="24"/>
        </w:rPr>
        <w:t xml:space="preserve">Classification of perturbations (knockout, knockdown, activation, overexpression, allele-specific) with predicted effect directions</w:t>
      </w:r>
    </w:p>
    <w:p>
      <w:pPr>
        <w:pStyle w:val="ListParagraph"/>
        <w:numPr>
          <w:ilvl w:val="0"/>
          <w:numId w:val="2"/>
        </w:numPr>
        <w:spacing w:after="100" w:line="360"/>
      </w:pPr>
      <w:r>
        <w:rPr>
          <w:rFonts w:ascii="Arial" w:cs="Arial" w:eastAsia="Arial" w:hAnsi="Arial"/>
          <w:b/>
          <w:bCs/>
          <w:sz w:val="24"/>
          <w:szCs w:val="24"/>
        </w:rPr>
        <w:t xml:space="preserve">Off-Target Assessment Data: </w:t>
      </w:r>
      <w:r>
        <w:rPr>
          <w:rFonts w:ascii="Arial" w:cs="Arial" w:eastAsia="Arial" w:hAnsi="Arial"/>
          <w:sz w:val="24"/>
          <w:szCs w:val="24"/>
        </w:rPr>
        <w:t xml:space="preserve">Redundancy analyses and secondary perturbation controls to distinguish on-target from off-target phenotypic effects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CRISPR Perturbation Matrix Extractor: </w:t>
      </w:r>
      <w:r>
        <w:rPr>
          <w:rFonts w:ascii="Arial" w:cs="Arial" w:eastAsia="Arial" w:hAnsi="Arial"/>
          <w:sz w:val="24"/>
          <w:szCs w:val="24"/>
        </w:rPr>
        <w:t xml:space="preserve">Query Quiver atlas for phenotypic profiles of specified gene perturbations across all assay types.</w:t>
      </w:r>
    </w:p>
    <w:p>
      <w:pPr>
        <w:pStyle w:val="ListParagraph"/>
        <w:numPr>
          <w:ilvl w:val="0"/>
          <w:numId w:val="2"/>
        </w:numPr>
        <w:spacing w:after="100" w:line="360"/>
      </w:pPr>
      <w:r>
        <w:rPr>
          <w:rFonts w:ascii="Arial" w:cs="Arial" w:eastAsia="Arial" w:hAnsi="Arial"/>
          <w:b/>
          <w:bCs/>
          <w:sz w:val="24"/>
          <w:szCs w:val="24"/>
        </w:rPr>
        <w:t xml:space="preserve">Disease Model Integration Layer: </w:t>
      </w:r>
      <w:r>
        <w:rPr>
          <w:rFonts w:ascii="Arial" w:cs="Arial" w:eastAsia="Arial" w:hAnsi="Arial"/>
          <w:sz w:val="24"/>
          <w:szCs w:val="24"/>
        </w:rPr>
        <w:t xml:space="preserve">Adapt general Quiver phenotypes to disease-context specific expectations and known disease modulation patterns.</w:t>
      </w:r>
    </w:p>
    <w:p>
      <w:pPr>
        <w:pStyle w:val="ListParagraph"/>
        <w:numPr>
          <w:ilvl w:val="0"/>
          <w:numId w:val="2"/>
        </w:numPr>
        <w:spacing w:after="100" w:line="360"/>
      </w:pPr>
      <w:r>
        <w:rPr>
          <w:rFonts w:ascii="Arial" w:cs="Arial" w:eastAsia="Arial" w:hAnsi="Arial"/>
          <w:b/>
          <w:bCs/>
          <w:sz w:val="24"/>
          <w:szCs w:val="24"/>
        </w:rPr>
        <w:t xml:space="preserve">Effect-Size Calculator: </w:t>
      </w:r>
      <w:r>
        <w:rPr>
          <w:rFonts w:ascii="Arial" w:cs="Arial" w:eastAsia="Arial" w:hAnsi="Arial"/>
          <w:sz w:val="24"/>
          <w:szCs w:val="24"/>
        </w:rPr>
        <w:t xml:space="preserve">Compute changes in disease signature features upon gene perturbation (Cohen's d, fold-change, standardized effect sizes).</w:t>
      </w:r>
    </w:p>
    <w:p>
      <w:pPr>
        <w:pStyle w:val="ListParagraph"/>
        <w:numPr>
          <w:ilvl w:val="0"/>
          <w:numId w:val="2"/>
        </w:numPr>
        <w:spacing w:after="100" w:line="360"/>
      </w:pPr>
      <w:r>
        <w:rPr>
          <w:rFonts w:ascii="Arial" w:cs="Arial" w:eastAsia="Arial" w:hAnsi="Arial"/>
          <w:b/>
          <w:bCs/>
          <w:sz w:val="24"/>
          <w:szCs w:val="24"/>
        </w:rPr>
        <w:t xml:space="preserve">Off-Target Analyzer: </w:t>
      </w:r>
      <w:r>
        <w:rPr>
          <w:rFonts w:ascii="Arial" w:cs="Arial" w:eastAsia="Arial" w:hAnsi="Arial"/>
          <w:sz w:val="24"/>
          <w:szCs w:val="24"/>
        </w:rPr>
        <w:t xml:space="preserve">Assess potential off-target CRISPR effects and genetic redundancy by analyzing correlated perturbation phenotypes.</w:t>
      </w:r>
    </w:p>
    <w:p>
      <w:pPr>
        <w:pStyle w:val="ListParagraph"/>
        <w:numPr>
          <w:ilvl w:val="0"/>
          <w:numId w:val="2"/>
        </w:numPr>
        <w:spacing w:after="100" w:line="360"/>
      </w:pPr>
      <w:r>
        <w:rPr>
          <w:rFonts w:ascii="Arial" w:cs="Arial" w:eastAsia="Arial" w:hAnsi="Arial"/>
          <w:b/>
          <w:bCs/>
          <w:sz w:val="24"/>
          <w:szCs w:val="24"/>
        </w:rPr>
        <w:t xml:space="preserve">Multi-Feature Phenotype Aggregator: </w:t>
      </w:r>
      <w:r>
        <w:rPr>
          <w:rFonts w:ascii="Arial" w:cs="Arial" w:eastAsia="Arial" w:hAnsi="Arial"/>
          <w:sz w:val="24"/>
          <w:szCs w:val="24"/>
        </w:rPr>
        <w:t xml:space="preserve">Integrate effects across dozens of phenotypic dimensions into a coherent perturbation signature per gene.</w:t>
      </w:r>
    </w:p>
    <w:p>
      <w:pPr>
        <w:pStyle w:val="ListParagraph"/>
        <w:numPr>
          <w:ilvl w:val="0"/>
          <w:numId w:val="2"/>
        </w:numPr>
        <w:spacing w:after="100" w:line="360"/>
      </w:pPr>
      <w:r>
        <w:rPr>
          <w:rFonts w:ascii="Arial" w:cs="Arial" w:eastAsia="Arial" w:hAnsi="Arial"/>
          <w:b/>
          <w:bCs/>
          <w:sz w:val="24"/>
          <w:szCs w:val="24"/>
        </w:rPr>
        <w:t xml:space="preserve">Phenotypic Diversity Scorer: </w:t>
      </w:r>
      <w:r>
        <w:rPr>
          <w:rFonts w:ascii="Arial" w:cs="Arial" w:eastAsia="Arial" w:hAnsi="Arial"/>
          <w:sz w:val="24"/>
          <w:szCs w:val="24"/>
        </w:rPr>
        <w:t xml:space="preserve">Characterize breadth of phenotypic effects (narrow vs. broad) to infer specificity and mechanism.</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 perturbations of gene X modulate the key disease signature features (firing rate, synaptic plasticity, pathway activity)?"</w:t>
      </w:r>
    </w:p>
    <w:p>
      <w:pPr>
        <w:pStyle w:val="ListParagraph"/>
        <w:numPr>
          <w:ilvl w:val="0"/>
          <w:numId w:val="2"/>
        </w:numPr>
        <w:spacing w:after="100" w:line="360"/>
      </w:pPr>
      <w:r>
        <w:rPr>
          <w:rFonts w:ascii="Arial" w:cs="Arial" w:eastAsia="Arial" w:hAnsi="Arial"/>
          <w:sz w:val="24"/>
          <w:szCs w:val="24"/>
        </w:rPr>
        <w:t xml:space="preserve">"Do different perturbation types (KO vs. KD vs. OE) produce consistent phenotypic effects, or is effect-size allele-dependent?"</w:t>
      </w:r>
    </w:p>
    <w:p>
      <w:pPr>
        <w:pStyle w:val="ListParagraph"/>
        <w:numPr>
          <w:ilvl w:val="0"/>
          <w:numId w:val="2"/>
        </w:numPr>
        <w:spacing w:after="100" w:line="360"/>
      </w:pPr>
      <w:r>
        <w:rPr>
          <w:rFonts w:ascii="Arial" w:cs="Arial" w:eastAsia="Arial" w:hAnsi="Arial"/>
          <w:sz w:val="24"/>
          <w:szCs w:val="24"/>
        </w:rPr>
        <w:t xml:space="preserve">"Which phenotypic dimensions improve upon gene X perturbation, and which remain unaffected or worsen?"</w:t>
      </w:r>
    </w:p>
    <w:p>
      <w:pPr>
        <w:pStyle w:val="ListParagraph"/>
        <w:numPr>
          <w:ilvl w:val="0"/>
          <w:numId w:val="2"/>
        </w:numPr>
        <w:spacing w:after="100" w:line="360"/>
      </w:pPr>
      <w:r>
        <w:rPr>
          <w:rFonts w:ascii="Arial" w:cs="Arial" w:eastAsia="Arial" w:hAnsi="Arial"/>
          <w:sz w:val="24"/>
          <w:szCs w:val="24"/>
        </w:rPr>
        <w:t xml:space="preserve">"Are there off-target effects or genetic redundancy confounding the gene X perturbation phenotype?"</w:t>
      </w:r>
    </w:p>
    <w:p>
      <w:pPr>
        <w:pStyle w:val="ListParagraph"/>
        <w:numPr>
          <w:ilvl w:val="0"/>
          <w:numId w:val="2"/>
        </w:numPr>
        <w:spacing w:after="100" w:line="360"/>
      </w:pPr>
      <w:r>
        <w:rPr>
          <w:rFonts w:ascii="Arial" w:cs="Arial" w:eastAsia="Arial" w:hAnsi="Arial"/>
          <w:sz w:val="24"/>
          <w:szCs w:val="24"/>
        </w:rPr>
        <w:t xml:space="preserve">"How broadly does gene X perturbation affect the disease phenotypic landscape (many features vs. few specific features)?"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Gene × Disease Feature Matrix: </w:t>
      </w:r>
      <w:r>
        <w:rPr>
          <w:rFonts w:ascii="Arial" w:cs="Arial" w:eastAsia="Arial" w:hAnsi="Arial"/>
          <w:sz w:val="24"/>
          <w:szCs w:val="24"/>
        </w:rPr>
        <w:t xml:space="preserve">Rows = candidate genes, columns = disease signature features; entries = effect sizes and statistical significance</w:t>
      </w:r>
    </w:p>
    <w:p>
      <w:pPr>
        <w:pStyle w:val="ListParagraph"/>
        <w:numPr>
          <w:ilvl w:val="0"/>
          <w:numId w:val="2"/>
        </w:numPr>
        <w:spacing w:after="100" w:line="360"/>
      </w:pPr>
      <w:r>
        <w:rPr>
          <w:rFonts w:ascii="Arial" w:cs="Arial" w:eastAsia="Arial" w:hAnsi="Arial"/>
          <w:b/>
          <w:bCs/>
          <w:sz w:val="24"/>
          <w:szCs w:val="24"/>
        </w:rPr>
        <w:t xml:space="preserve">Perturbation Response Profiles: </w:t>
      </w:r>
      <w:r>
        <w:rPr>
          <w:rFonts w:ascii="Arial" w:cs="Arial" w:eastAsia="Arial" w:hAnsi="Arial"/>
          <w:sz w:val="24"/>
          <w:szCs w:val="24"/>
        </w:rPr>
        <w:t xml:space="preserve">For each gene, ranked list of phenotypic changes induced by perturbation (most improved to most worsened features)</w:t>
      </w:r>
    </w:p>
    <w:p>
      <w:pPr>
        <w:pStyle w:val="ListParagraph"/>
        <w:numPr>
          <w:ilvl w:val="0"/>
          <w:numId w:val="2"/>
        </w:numPr>
        <w:spacing w:after="100" w:line="360"/>
      </w:pPr>
      <w:r>
        <w:rPr>
          <w:rFonts w:ascii="Arial" w:cs="Arial" w:eastAsia="Arial" w:hAnsi="Arial"/>
          <w:b/>
          <w:bCs/>
          <w:sz w:val="24"/>
          <w:szCs w:val="24"/>
        </w:rPr>
        <w:t xml:space="preserve">Off-Target and Redundancy Assessment: </w:t>
      </w:r>
      <w:r>
        <w:rPr>
          <w:rFonts w:ascii="Arial" w:cs="Arial" w:eastAsia="Arial" w:hAnsi="Arial"/>
          <w:sz w:val="24"/>
          <w:szCs w:val="24"/>
        </w:rPr>
        <w:t xml:space="preserve">Secondary perturbation controls and genetic redundancy analysis validating on-target interpretation of phenotypes</w:t>
      </w:r>
    </w:p>
    <w:p>
      <w:pPr>
        <w:pStyle w:val="ListParagraph"/>
        <w:numPr>
          <w:ilvl w:val="0"/>
          <w:numId w:val="2"/>
        </w:numPr>
        <w:spacing w:after="100" w:line="360"/>
      </w:pPr>
      <w:r>
        <w:rPr>
          <w:rFonts w:ascii="Arial" w:cs="Arial" w:eastAsia="Arial" w:hAnsi="Arial"/>
          <w:b/>
          <w:bCs/>
          <w:sz w:val="24"/>
          <w:szCs w:val="24"/>
        </w:rPr>
        <w:t xml:space="preserve">Multi-Feature Phenotype Scores: </w:t>
      </w:r>
      <w:r>
        <w:rPr>
          <w:rFonts w:ascii="Arial" w:cs="Arial" w:eastAsia="Arial" w:hAnsi="Arial"/>
          <w:sz w:val="24"/>
          <w:szCs w:val="24"/>
        </w:rPr>
        <w:t xml:space="preserve">Aggregate perturbation effects into summary scores reflecting overall disease phenotype improvement, worsening, or neutrality</w:t>
      </w:r>
    </w:p>
    <w:p>
      <w:pPr>
        <w:pStyle w:val="ListParagraph"/>
        <w:numPr>
          <w:ilvl w:val="0"/>
          <w:numId w:val="2"/>
        </w:numPr>
        <w:spacing w:after="100" w:line="360"/>
      </w:pPr>
      <w:r>
        <w:rPr>
          <w:rFonts w:ascii="Arial" w:cs="Arial" w:eastAsia="Arial" w:hAnsi="Arial"/>
          <w:b/>
          <w:bCs/>
          <w:sz w:val="24"/>
          <w:szCs w:val="24"/>
        </w:rPr>
        <w:t xml:space="preserve">Phenotypic Specificity Profiles: </w:t>
      </w:r>
      <w:r>
        <w:rPr>
          <w:rFonts w:ascii="Arial" w:cs="Arial" w:eastAsia="Arial" w:hAnsi="Arial"/>
          <w:sz w:val="24"/>
          <w:szCs w:val="24"/>
        </w:rPr>
        <w:t xml:space="preserve">For each gene, characterization of effect breadth (narrow/specific vs. broad/pleiotropic) across disease feature dimensions</w:t>
      </w:r>
    </w:p>
    <w:p>
      <w:pPr>
        <w:pStyle w:val="ListParagraph"/>
        <w:numPr>
          <w:ilvl w:val="0"/>
          <w:numId w:val="2"/>
        </w:numPr>
        <w:spacing w:after="100" w:line="360"/>
      </w:pPr>
      <w:r>
        <w:rPr>
          <w:rFonts w:ascii="Arial" w:cs="Arial" w:eastAsia="Arial" w:hAnsi="Arial"/>
          <w:b/>
          <w:bCs/>
          <w:sz w:val="24"/>
          <w:szCs w:val="24"/>
        </w:rPr>
        <w:t xml:space="preserve">Comparative Response Heatmaps: </w:t>
      </w:r>
      <w:r>
        <w:rPr>
          <w:rFonts w:ascii="Arial" w:cs="Arial" w:eastAsia="Arial" w:hAnsi="Arial"/>
          <w:sz w:val="24"/>
          <w:szCs w:val="24"/>
        </w:rPr>
        <w:t xml:space="preserve">Visual matrices of gene × disease feature effects, hierarchically clustered to identify genes with similar perturbation signatures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Gene × feature matrices as CSV, ranked response lists as TSV, heatmaps and clustergrams as PNG, detailed profiles as JSON.</w:t>
      </w:r>
    </w:p>
    <w:p>
      <w:pPr>
        <w:pStyle w:val="Heading2"/>
        <w:spacing w:after="200" w:line="360"/>
      </w:pPr>
      <w:r>
        <w:rPr>
          <w:rFonts w:ascii="Arial" w:cs="Arial" w:eastAsia="Arial" w:hAnsi="Arial"/>
          <w:b w:val="false"/>
          <w:bCs w:val="false"/>
          <w:sz w:val="56"/>
          <w:szCs w:val="56"/>
        </w:rPr>
        <w:t xml:space="preserve">Stage 3: Mechanistic Pathway Analysis of Therapeutic Effects</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Determine whether gene perturbation phenotypes reflect reversal of disease-driving mechanistic pathways (disease modification) or suppression of downstream symptomatic outputs independent of primary mechanism (symptomatic relief).</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Gene Perturbation Responses from Stage 2: </w:t>
      </w:r>
      <w:r>
        <w:rPr>
          <w:rFonts w:ascii="Arial" w:cs="Arial" w:eastAsia="Arial" w:hAnsi="Arial"/>
          <w:sz w:val="24"/>
          <w:szCs w:val="24"/>
        </w:rPr>
        <w:t xml:space="preserve">Phenotypic changes upon gene perturbation across all measured features</w:t>
      </w:r>
    </w:p>
    <w:p>
      <w:pPr>
        <w:pStyle w:val="ListParagraph"/>
        <w:numPr>
          <w:ilvl w:val="0"/>
          <w:numId w:val="2"/>
        </w:numPr>
        <w:spacing w:after="100" w:line="360"/>
      </w:pPr>
      <w:r>
        <w:rPr>
          <w:rFonts w:ascii="Arial" w:cs="Arial" w:eastAsia="Arial" w:hAnsi="Arial"/>
          <w:b/>
          <w:bCs/>
          <w:sz w:val="24"/>
          <w:szCs w:val="24"/>
        </w:rPr>
        <w:t xml:space="preserve">Disease-Driving Pathway Models: </w:t>
      </w:r>
      <w:r>
        <w:rPr>
          <w:rFonts w:ascii="Arial" w:cs="Arial" w:eastAsia="Arial" w:hAnsi="Arial"/>
          <w:sz w:val="24"/>
          <w:szCs w:val="24"/>
        </w:rPr>
        <w:t xml:space="preserve">Curated mechanistic pathway hypotheses defining primary lesions (e.g., amyloid production, tau phosphorylation) vs. secondary consequences (excitotoxicity, neurodegeneration)</w:t>
      </w:r>
    </w:p>
    <w:p>
      <w:pPr>
        <w:pStyle w:val="ListParagraph"/>
        <w:numPr>
          <w:ilvl w:val="0"/>
          <w:numId w:val="2"/>
        </w:numPr>
        <w:spacing w:after="100" w:line="360"/>
      </w:pPr>
      <w:r>
        <w:rPr>
          <w:rFonts w:ascii="Arial" w:cs="Arial" w:eastAsia="Arial" w:hAnsi="Arial"/>
          <w:b/>
          <w:bCs/>
          <w:sz w:val="24"/>
          <w:szCs w:val="24"/>
        </w:rPr>
        <w:t xml:space="preserve">Multi-Omics Data in Perturbed Cells: </w:t>
      </w:r>
      <w:r>
        <w:rPr>
          <w:rFonts w:ascii="Arial" w:cs="Arial" w:eastAsia="Arial" w:hAnsi="Arial"/>
          <w:sz w:val="24"/>
          <w:szCs w:val="24"/>
        </w:rPr>
        <w:t xml:space="preserve">Transcriptomics, proteomics, metabolomics, phosphoproteomics of gene-perturbed disease neurons to assess pathway activity changes</w:t>
      </w:r>
    </w:p>
    <w:p>
      <w:pPr>
        <w:pStyle w:val="ListParagraph"/>
        <w:numPr>
          <w:ilvl w:val="0"/>
          <w:numId w:val="2"/>
        </w:numPr>
        <w:spacing w:after="100" w:line="360"/>
      </w:pPr>
      <w:r>
        <w:rPr>
          <w:rFonts w:ascii="Arial" w:cs="Arial" w:eastAsia="Arial" w:hAnsi="Arial"/>
          <w:b/>
          <w:bCs/>
          <w:sz w:val="24"/>
          <w:szCs w:val="24"/>
        </w:rPr>
        <w:t xml:space="preserve">Literature-Curated Gene-Pathway Associations: </w:t>
      </w:r>
      <w:r>
        <w:rPr>
          <w:rFonts w:ascii="Arial" w:cs="Arial" w:eastAsia="Arial" w:hAnsi="Arial"/>
          <w:sz w:val="24"/>
          <w:szCs w:val="24"/>
        </w:rPr>
        <w:t xml:space="preserve">Known roles of candidate genes in disease mechanism, synaptic function, neuroinflammation, etc.</w:t>
      </w:r>
    </w:p>
    <w:p>
      <w:pPr>
        <w:pStyle w:val="ListParagraph"/>
        <w:numPr>
          <w:ilvl w:val="0"/>
          <w:numId w:val="2"/>
        </w:numPr>
        <w:spacing w:after="100" w:line="360"/>
      </w:pPr>
      <w:r>
        <w:rPr>
          <w:rFonts w:ascii="Arial" w:cs="Arial" w:eastAsia="Arial" w:hAnsi="Arial"/>
          <w:b/>
          <w:bCs/>
          <w:sz w:val="24"/>
          <w:szCs w:val="24"/>
        </w:rPr>
        <w:t xml:space="preserve">Pathway Activity Signatures: </w:t>
      </w:r>
      <w:r>
        <w:rPr>
          <w:rFonts w:ascii="Arial" w:cs="Arial" w:eastAsia="Arial" w:hAnsi="Arial"/>
          <w:sz w:val="24"/>
          <w:szCs w:val="24"/>
        </w:rPr>
        <w:t xml:space="preserve">Molecular signatures (e.g., amyloid/tau levels, neuroinflammatory cytokine panels, mitochondrial function markers) quantifying pathway flux changes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Disease Pathway Model Database: </w:t>
      </w:r>
      <w:r>
        <w:rPr>
          <w:rFonts w:ascii="Arial" w:cs="Arial" w:eastAsia="Arial" w:hAnsi="Arial"/>
          <w:sz w:val="24"/>
          <w:szCs w:val="24"/>
        </w:rPr>
        <w:t xml:space="preserve">Curated mechanistic pathway maps for target disease (Alzheimer's, Parkinson's, schizophrenia, etc.) with primary vs. secondary distinctions.</w:t>
      </w:r>
    </w:p>
    <w:p>
      <w:pPr>
        <w:pStyle w:val="ListParagraph"/>
        <w:numPr>
          <w:ilvl w:val="0"/>
          <w:numId w:val="2"/>
        </w:numPr>
        <w:spacing w:after="100" w:line="360"/>
      </w:pPr>
      <w:r>
        <w:rPr>
          <w:rFonts w:ascii="Arial" w:cs="Arial" w:eastAsia="Arial" w:hAnsi="Arial"/>
          <w:b/>
          <w:bCs/>
          <w:sz w:val="24"/>
          <w:szCs w:val="24"/>
        </w:rPr>
        <w:t xml:space="preserve">Pathway Activity Inference Engine: </w:t>
      </w:r>
      <w:r>
        <w:rPr>
          <w:rFonts w:ascii="Arial" w:cs="Arial" w:eastAsia="Arial" w:hAnsi="Arial"/>
          <w:sz w:val="24"/>
          <w:szCs w:val="24"/>
        </w:rPr>
        <w:t xml:space="preserve">Infer activity of disease-driving and compensatory pathways from multi-omics data using pathway activity scoring methods.</w:t>
      </w:r>
    </w:p>
    <w:p>
      <w:pPr>
        <w:pStyle w:val="ListParagraph"/>
        <w:numPr>
          <w:ilvl w:val="0"/>
          <w:numId w:val="2"/>
        </w:numPr>
        <w:spacing w:after="100" w:line="360"/>
      </w:pPr>
      <w:r>
        <w:rPr>
          <w:rFonts w:ascii="Arial" w:cs="Arial" w:eastAsia="Arial" w:hAnsi="Arial"/>
          <w:b/>
          <w:bCs/>
          <w:sz w:val="24"/>
          <w:szCs w:val="24"/>
        </w:rPr>
        <w:t xml:space="preserve">Primary vs. Secondary Phenotype Classifier: </w:t>
      </w:r>
      <w:r>
        <w:rPr>
          <w:rFonts w:ascii="Arial" w:cs="Arial" w:eastAsia="Arial" w:hAnsi="Arial"/>
          <w:sz w:val="24"/>
          <w:szCs w:val="24"/>
        </w:rPr>
        <w:t xml:space="preserve">Distinguish disease-driving primary lesions from downstream symptomatic features using pathway knowledge and temporal causality.</w:t>
      </w:r>
    </w:p>
    <w:p>
      <w:pPr>
        <w:pStyle w:val="ListParagraph"/>
        <w:numPr>
          <w:ilvl w:val="0"/>
          <w:numId w:val="2"/>
        </w:numPr>
        <w:spacing w:after="100" w:line="360"/>
      </w:pPr>
      <w:r>
        <w:rPr>
          <w:rFonts w:ascii="Arial" w:cs="Arial" w:eastAsia="Arial" w:hAnsi="Arial"/>
          <w:b/>
          <w:bCs/>
          <w:sz w:val="24"/>
          <w:szCs w:val="24"/>
        </w:rPr>
        <w:t xml:space="preserve">Mechanistic Evidence Aggregator: </w:t>
      </w:r>
      <w:r>
        <w:rPr>
          <w:rFonts w:ascii="Arial" w:cs="Arial" w:eastAsia="Arial" w:hAnsi="Arial"/>
          <w:sz w:val="24"/>
          <w:szCs w:val="24"/>
        </w:rPr>
        <w:t xml:space="preserve">Integrate transcriptomics, proteomics, metabolomics, and phosphoproteomics evidence for pathway flux changes upon perturbation.</w:t>
      </w:r>
    </w:p>
    <w:p>
      <w:pPr>
        <w:pStyle w:val="ListParagraph"/>
        <w:numPr>
          <w:ilvl w:val="0"/>
          <w:numId w:val="2"/>
        </w:numPr>
        <w:spacing w:after="100" w:line="360"/>
      </w:pPr>
      <w:r>
        <w:rPr>
          <w:rFonts w:ascii="Arial" w:cs="Arial" w:eastAsia="Arial" w:hAnsi="Arial"/>
          <w:b/>
          <w:bCs/>
          <w:sz w:val="24"/>
          <w:szCs w:val="24"/>
        </w:rPr>
        <w:t xml:space="preserve">Phenotype-to-Pathway Mapper: </w:t>
      </w:r>
      <w:r>
        <w:rPr>
          <w:rFonts w:ascii="Arial" w:cs="Arial" w:eastAsia="Arial" w:hAnsi="Arial"/>
          <w:sz w:val="24"/>
          <w:szCs w:val="24"/>
        </w:rPr>
        <w:t xml:space="preserve">Link phenotypic changes (e.g., firing rate alterations) to underlying pathway mechanisms (ion channel expression, synaptic strength, metabolic state).</w:t>
      </w:r>
    </w:p>
    <w:p>
      <w:pPr>
        <w:pStyle w:val="ListParagraph"/>
        <w:numPr>
          <w:ilvl w:val="0"/>
          <w:numId w:val="2"/>
        </w:numPr>
        <w:spacing w:after="100" w:line="360"/>
      </w:pPr>
      <w:r>
        <w:rPr>
          <w:rFonts w:ascii="Arial" w:cs="Arial" w:eastAsia="Arial" w:hAnsi="Arial"/>
          <w:b/>
          <w:bCs/>
          <w:sz w:val="24"/>
          <w:szCs w:val="24"/>
        </w:rPr>
        <w:t xml:space="preserve">Causal Inference Framework: </w:t>
      </w:r>
      <w:r>
        <w:rPr>
          <w:rFonts w:ascii="Arial" w:cs="Arial" w:eastAsia="Arial" w:hAnsi="Arial"/>
          <w:sz w:val="24"/>
          <w:szCs w:val="24"/>
        </w:rPr>
        <w:t xml:space="preserve">Assess whether perturbation-induced phenotypic changes represent direct pathway intervention (disease modification) or feedback compensation (symptomatic relief).</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"Does perturbation of gene X reverse the primary disease-driving pathway (e.g., amyloid production, tau phosphorylation) or only suppress downstream symptomatic features?"</w:t>
      </w:r>
    </w:p>
    <w:p>
      <w:pPr>
        <w:pStyle w:val="ListParagraph"/>
        <w:numPr>
          <w:ilvl w:val="0"/>
          <w:numId w:val="2"/>
        </w:numPr>
        <w:spacing w:after="100" w:line="360"/>
      </w:pPr>
      <w:r>
        <w:rPr>
          <w:rFonts w:ascii="Arial" w:cs="Arial" w:eastAsia="Arial" w:hAnsi="Arial"/>
          <w:sz w:val="24"/>
          <w:szCs w:val="24"/>
        </w:rPr>
        <w:t xml:space="preserve">"Which pathways are mechanistically affected by gene X perturbation based on multi-omics profiling (transcriptomics, proteomics, phosphoproteomics)?"</w:t>
      </w:r>
    </w:p>
    <w:p>
      <w:pPr>
        <w:pStyle w:val="ListParagraph"/>
        <w:numPr>
          <w:ilvl w:val="0"/>
          <w:numId w:val="2"/>
        </w:numPr>
        <w:spacing w:after="100" w:line="360"/>
      </w:pPr>
      <w:r>
        <w:rPr>
          <w:rFonts w:ascii="Arial" w:cs="Arial" w:eastAsia="Arial" w:hAnsi="Arial"/>
          <w:sz w:val="24"/>
          <w:szCs w:val="24"/>
        </w:rPr>
        <w:t xml:space="preserve">"Are the phenotypic improvements from gene X perturbation a direct result of pathway normalization, or secondary to compensatory mechanisms?"</w:t>
      </w:r>
    </w:p>
    <w:p>
      <w:pPr>
        <w:pStyle w:val="ListParagraph"/>
        <w:numPr>
          <w:ilvl w:val="0"/>
          <w:numId w:val="2"/>
        </w:numPr>
        <w:spacing w:after="100" w:line="360"/>
      </w:pPr>
      <w:r>
        <w:rPr>
          <w:rFonts w:ascii="Arial" w:cs="Arial" w:eastAsia="Arial" w:hAnsi="Arial"/>
          <w:sz w:val="24"/>
          <w:szCs w:val="24"/>
        </w:rPr>
        <w:t xml:space="preserve">"How deep into the disease pathway cascade does gene X perturbation intervene (primary mechanism vs. secondary compensation)?"</w:t>
      </w:r>
    </w:p>
    <w:p>
      <w:pPr>
        <w:pStyle w:val="ListParagraph"/>
        <w:numPr>
          <w:ilvl w:val="0"/>
          <w:numId w:val="2"/>
        </w:numPr>
        <w:spacing w:after="100" w:line="360"/>
      </w:pPr>
      <w:r>
        <w:rPr>
          <w:rFonts w:ascii="Arial" w:cs="Arial" w:eastAsia="Arial" w:hAnsi="Arial"/>
          <w:sz w:val="24"/>
          <w:szCs w:val="24"/>
        </w:rPr>
        <w:t xml:space="preserve">"Do disease model neurons perturbed for gene X show normalization of molecular hallmarks (protein aggregation, cytokine activation, metabolic dysregulation)?"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Pathway Activity Change Summary: </w:t>
      </w:r>
      <w:r>
        <w:rPr>
          <w:rFonts w:ascii="Arial" w:cs="Arial" w:eastAsia="Arial" w:hAnsi="Arial"/>
          <w:sz w:val="24"/>
          <w:szCs w:val="24"/>
        </w:rPr>
        <w:t xml:space="preserve">For each candidate gene, quantitative changes in primary disease pathway activity and secondary consequence pathways upon perturbation</w:t>
      </w:r>
    </w:p>
    <w:p>
      <w:pPr>
        <w:pStyle w:val="ListParagraph"/>
        <w:numPr>
          <w:ilvl w:val="0"/>
          <w:numId w:val="2"/>
        </w:numPr>
        <w:spacing w:after="100" w:line="360"/>
      </w:pPr>
      <w:r>
        <w:rPr>
          <w:rFonts w:ascii="Arial" w:cs="Arial" w:eastAsia="Arial" w:hAnsi="Arial"/>
          <w:b/>
          <w:bCs/>
          <w:sz w:val="24"/>
          <w:szCs w:val="24"/>
        </w:rPr>
        <w:t xml:space="preserve">Primary vs. Secondary Phenotype Classification: </w:t>
      </w:r>
      <w:r>
        <w:rPr>
          <w:rFonts w:ascii="Arial" w:cs="Arial" w:eastAsia="Arial" w:hAnsi="Arial"/>
          <w:sz w:val="24"/>
          <w:szCs w:val="24"/>
        </w:rPr>
        <w:t xml:space="preserve">Mapping of perturbed phenotypes to disease-driving primary lesions vs. downstream symptomatic features</w:t>
      </w:r>
    </w:p>
    <w:p>
      <w:pPr>
        <w:pStyle w:val="ListParagraph"/>
        <w:numPr>
          <w:ilvl w:val="0"/>
          <w:numId w:val="2"/>
        </w:numPr>
        <w:spacing w:after="100" w:line="360"/>
      </w:pPr>
      <w:r>
        <w:rPr>
          <w:rFonts w:ascii="Arial" w:cs="Arial" w:eastAsia="Arial" w:hAnsi="Arial"/>
          <w:b/>
          <w:bCs/>
          <w:sz w:val="24"/>
          <w:szCs w:val="24"/>
        </w:rPr>
        <w:t xml:space="preserve">Mechanistic Intervention Depth: </w:t>
      </w:r>
      <w:r>
        <w:rPr>
          <w:rFonts w:ascii="Arial" w:cs="Arial" w:eastAsia="Arial" w:hAnsi="Arial"/>
          <w:sz w:val="24"/>
          <w:szCs w:val="24"/>
        </w:rPr>
        <w:t xml:space="preserve">Classification of each gene (direct pathway intervention, compensatory, symptomatic only) based on pathway cascade position and evidence strength</w:t>
      </w:r>
    </w:p>
    <w:p>
      <w:pPr>
        <w:pStyle w:val="ListParagraph"/>
        <w:numPr>
          <w:ilvl w:val="0"/>
          <w:numId w:val="2"/>
        </w:numPr>
        <w:spacing w:after="100" w:line="360"/>
      </w:pPr>
      <w:r>
        <w:rPr>
          <w:rFonts w:ascii="Arial" w:cs="Arial" w:eastAsia="Arial" w:hAnsi="Arial"/>
          <w:b/>
          <w:bCs/>
          <w:sz w:val="24"/>
          <w:szCs w:val="24"/>
        </w:rPr>
        <w:t xml:space="preserve">Multi-Omics Pathway Response: </w:t>
      </w:r>
      <w:r>
        <w:rPr>
          <w:rFonts w:ascii="Arial" w:cs="Arial" w:eastAsia="Arial" w:hAnsi="Arial"/>
          <w:sz w:val="24"/>
          <w:szCs w:val="24"/>
        </w:rPr>
        <w:t xml:space="preserve">Tables and heatmaps showing transcriptomic, proteomic, and metabolomic pathway changes upon perturbation, stratified by pathway category</w:t>
      </w:r>
    </w:p>
    <w:p>
      <w:pPr>
        <w:pStyle w:val="ListParagraph"/>
        <w:numPr>
          <w:ilvl w:val="0"/>
          <w:numId w:val="2"/>
        </w:numPr>
        <w:spacing w:after="100" w:line="360"/>
      </w:pPr>
      <w:r>
        <w:rPr>
          <w:rFonts w:ascii="Arial" w:cs="Arial" w:eastAsia="Arial" w:hAnsi="Arial"/>
          <w:b/>
          <w:bCs/>
          <w:sz w:val="24"/>
          <w:szCs w:val="24"/>
        </w:rPr>
        <w:t xml:space="preserve">Causal Pathway Models: </w:t>
      </w:r>
      <w:r>
        <w:rPr>
          <w:rFonts w:ascii="Arial" w:cs="Arial" w:eastAsia="Arial" w:hAnsi="Arial"/>
          <w:sz w:val="24"/>
          <w:szCs w:val="24"/>
        </w:rPr>
        <w:t xml:space="preserve">Mechanistic narrative models for top candidates explaining how perturbation alters disease pathway flux and phenotypic consequences</w:t>
      </w:r>
    </w:p>
    <w:p>
      <w:pPr>
        <w:pStyle w:val="ListParagraph"/>
        <w:numPr>
          <w:ilvl w:val="0"/>
          <w:numId w:val="2"/>
        </w:numPr>
        <w:spacing w:after="100" w:line="360"/>
      </w:pPr>
      <w:r>
        <w:rPr>
          <w:rFonts w:ascii="Arial" w:cs="Arial" w:eastAsia="Arial" w:hAnsi="Arial"/>
          <w:b/>
          <w:bCs/>
          <w:sz w:val="24"/>
          <w:szCs w:val="24"/>
        </w:rPr>
        <w:t xml:space="preserve">Disease Modification Confidence Scores: </w:t>
      </w:r>
      <w:r>
        <w:rPr>
          <w:rFonts w:ascii="Arial" w:cs="Arial" w:eastAsia="Arial" w:hAnsi="Arial"/>
          <w:sz w:val="24"/>
          <w:szCs w:val="24"/>
        </w:rPr>
        <w:t xml:space="preserve">Quantitative scores (0-100) for each gene reflecting strength of evidence that perturbation achieves disease modification vs. symptomatic relief</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Pathway activity tables as CSV, phenotype classifications as annotated TSV, mechanistic narratives as Markdown, confidence scores as JSON.</w:t>
      </w:r>
    </w:p>
    <w:p>
      <w:pPr>
        <w:pStyle w:val="Heading2"/>
        <w:spacing w:after="200" w:line="360"/>
      </w:pPr>
      <w:r>
        <w:rPr>
          <w:rFonts w:ascii="Arial" w:cs="Arial" w:eastAsia="Arial" w:hAnsi="Arial"/>
          <w:b w:val="false"/>
          <w:bCs w:val="false"/>
          <w:sz w:val="56"/>
          <w:szCs w:val="56"/>
        </w:rPr>
        <w:t xml:space="preserve">Stage 4: Temporal and Dose-Response Characterization</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Evaluate temporal dynamics and dose-response relationships of perturbation effects to distinguish acute symptomatic relief (rapid, reversible) from chronic disease modification (progressive, sustained).</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Time-Course Phenotypic Data: </w:t>
      </w:r>
      <w:r>
        <w:rPr>
          <w:rFonts w:ascii="Arial" w:cs="Arial" w:eastAsia="Arial" w:hAnsi="Arial"/>
          <w:sz w:val="24"/>
          <w:szCs w:val="24"/>
        </w:rPr>
        <w:t xml:space="preserve">Measurements of disease signature features and perturbation effects over days to weeks in culture</w:t>
      </w:r>
    </w:p>
    <w:p>
      <w:pPr>
        <w:pStyle w:val="ListParagraph"/>
        <w:numPr>
          <w:ilvl w:val="0"/>
          <w:numId w:val="2"/>
        </w:numPr>
        <w:spacing w:after="100" w:line="360"/>
      </w:pPr>
      <w:r>
        <w:rPr>
          <w:rFonts w:ascii="Arial" w:cs="Arial" w:eastAsia="Arial" w:hAnsi="Arial"/>
          <w:b/>
          <w:bCs/>
          <w:sz w:val="24"/>
          <w:szCs w:val="24"/>
        </w:rPr>
        <w:t xml:space="preserve">Dose-Response Data: </w:t>
      </w:r>
      <w:r>
        <w:rPr>
          <w:rFonts w:ascii="Arial" w:cs="Arial" w:eastAsia="Arial" w:hAnsi="Arial"/>
          <w:sz w:val="24"/>
          <w:szCs w:val="24"/>
        </w:rPr>
        <w:t xml:space="preserve">Phenotypic effects of varying perturbation intensities (e.g., different sgRNA efficiency, CRISPRi dCas9 dosages, pharmaceutical dose ranges)</w:t>
      </w:r>
    </w:p>
    <w:p>
      <w:pPr>
        <w:pStyle w:val="ListParagraph"/>
        <w:numPr>
          <w:ilvl w:val="0"/>
          <w:numId w:val="2"/>
        </w:numPr>
        <w:spacing w:after="100" w:line="360"/>
      </w:pPr>
      <w:r>
        <w:rPr>
          <w:rFonts w:ascii="Arial" w:cs="Arial" w:eastAsia="Arial" w:hAnsi="Arial"/>
          <w:b/>
          <w:bCs/>
          <w:sz w:val="24"/>
          <w:szCs w:val="24"/>
        </w:rPr>
        <w:t xml:space="preserve">Pathway Activity Trajectories: </w:t>
      </w:r>
      <w:r>
        <w:rPr>
          <w:rFonts w:ascii="Arial" w:cs="Arial" w:eastAsia="Arial" w:hAnsi="Arial"/>
          <w:sz w:val="24"/>
          <w:szCs w:val="24"/>
        </w:rPr>
        <w:t xml:space="preserve">Time-course and dose-dependent changes in mechanistic biomarkers and pathway activity measures</w:t>
      </w:r>
    </w:p>
    <w:p>
      <w:pPr>
        <w:pStyle w:val="ListParagraph"/>
        <w:numPr>
          <w:ilvl w:val="0"/>
          <w:numId w:val="2"/>
        </w:numPr>
        <w:spacing w:after="100" w:line="360"/>
      </w:pPr>
      <w:r>
        <w:rPr>
          <w:rFonts w:ascii="Arial" w:cs="Arial" w:eastAsia="Arial" w:hAnsi="Arial"/>
          <w:b/>
          <w:bCs/>
          <w:sz w:val="24"/>
          <w:szCs w:val="24"/>
        </w:rPr>
        <w:t xml:space="preserve">Cellular Health and Toxicity Markers: </w:t>
      </w:r>
      <w:r>
        <w:rPr>
          <w:rFonts w:ascii="Arial" w:cs="Arial" w:eastAsia="Arial" w:hAnsi="Arial"/>
          <w:sz w:val="24"/>
          <w:szCs w:val="24"/>
        </w:rPr>
        <w:t xml:space="preserve">Apoptosis, mitochondrial function, proteostasis, and general neuronal viability over time in perturbed cells</w:t>
      </w:r>
    </w:p>
    <w:p>
      <w:pPr>
        <w:pStyle w:val="ListParagraph"/>
        <w:numPr>
          <w:ilvl w:val="0"/>
          <w:numId w:val="2"/>
        </w:numPr>
        <w:spacing w:after="100" w:line="360"/>
      </w:pPr>
      <w:r>
        <w:rPr>
          <w:rFonts w:ascii="Arial" w:cs="Arial" w:eastAsia="Arial" w:hAnsi="Arial"/>
          <w:b/>
          <w:bCs/>
          <w:sz w:val="24"/>
          <w:szCs w:val="24"/>
        </w:rPr>
        <w:t xml:space="preserve">Recovery/Reversibility Assays: </w:t>
      </w:r>
      <w:r>
        <w:rPr>
          <w:rFonts w:ascii="Arial" w:cs="Arial" w:eastAsia="Arial" w:hAnsi="Arial"/>
          <w:sz w:val="24"/>
          <w:szCs w:val="24"/>
        </w:rPr>
        <w:t xml:space="preserve">Measurements of phenotypic changes upon removal or reduction of perturbation stimulus (washout, doxycycline-inducible systems)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Time-Series Phenotype Tracker: </w:t>
      </w:r>
      <w:r>
        <w:rPr>
          <w:rFonts w:ascii="Arial" w:cs="Arial" w:eastAsia="Arial" w:hAnsi="Arial"/>
          <w:sz w:val="24"/>
          <w:szCs w:val="24"/>
        </w:rPr>
        <w:t xml:space="preserve">Monitor disease signature features and gene perturbation effects over multiple timepoints.</w:t>
      </w:r>
    </w:p>
    <w:p>
      <w:pPr>
        <w:pStyle w:val="ListParagraph"/>
        <w:numPr>
          <w:ilvl w:val="0"/>
          <w:numId w:val="2"/>
        </w:numPr>
        <w:spacing w:after="100" w:line="360"/>
      </w:pPr>
      <w:r>
        <w:rPr>
          <w:rFonts w:ascii="Arial" w:cs="Arial" w:eastAsia="Arial" w:hAnsi="Arial"/>
          <w:b/>
          <w:bCs/>
          <w:sz w:val="24"/>
          <w:szCs w:val="24"/>
        </w:rPr>
        <w:t xml:space="preserve">Dose-Response Curve Fitter: </w:t>
      </w:r>
      <w:r>
        <w:rPr>
          <w:rFonts w:ascii="Arial" w:cs="Arial" w:eastAsia="Arial" w:hAnsi="Arial"/>
          <w:sz w:val="24"/>
          <w:szCs w:val="24"/>
        </w:rPr>
        <w:t xml:space="preserve">Fit sigmoidal or Hill models to dose-response data, estimating EC50s, Hill coefficients, and therapeutic windows.</w:t>
      </w:r>
    </w:p>
    <w:p>
      <w:pPr>
        <w:pStyle w:val="ListParagraph"/>
        <w:numPr>
          <w:ilvl w:val="0"/>
          <w:numId w:val="2"/>
        </w:numPr>
        <w:spacing w:after="100" w:line="360"/>
      </w:pPr>
      <w:r>
        <w:rPr>
          <w:rFonts w:ascii="Arial" w:cs="Arial" w:eastAsia="Arial" w:hAnsi="Arial"/>
          <w:b/>
          <w:bCs/>
          <w:sz w:val="24"/>
          <w:szCs w:val="24"/>
        </w:rPr>
        <w:t xml:space="preserve">Temporal Phenotype Classifier: </w:t>
      </w:r>
      <w:r>
        <w:rPr>
          <w:rFonts w:ascii="Arial" w:cs="Arial" w:eastAsia="Arial" w:hAnsi="Arial"/>
          <w:sz w:val="24"/>
          <w:szCs w:val="24"/>
        </w:rPr>
        <w:t xml:space="preserve">Distinguish acute responses (immediate, reversible) from sustained effects (progressive, cumulative) based on kinetic profiles.</w:t>
      </w:r>
    </w:p>
    <w:p>
      <w:pPr>
        <w:pStyle w:val="ListParagraph"/>
        <w:numPr>
          <w:ilvl w:val="0"/>
          <w:numId w:val="2"/>
        </w:numPr>
        <w:spacing w:after="100" w:line="360"/>
      </w:pPr>
      <w:r>
        <w:rPr>
          <w:rFonts w:ascii="Arial" w:cs="Arial" w:eastAsia="Arial" w:hAnsi="Arial"/>
          <w:b/>
          <w:bCs/>
          <w:sz w:val="24"/>
          <w:szCs w:val="24"/>
        </w:rPr>
        <w:t xml:space="preserve">Cellular Toxicity Assessment: </w:t>
      </w:r>
      <w:r>
        <w:rPr>
          <w:rFonts w:ascii="Arial" w:cs="Arial" w:eastAsia="Arial" w:hAnsi="Arial"/>
          <w:sz w:val="24"/>
          <w:szCs w:val="24"/>
        </w:rPr>
        <w:t xml:space="preserve">Monitor neuronal viability, apoptosis markers, and organellar function to assess perturbation safety and long-term tolerability.</w:t>
      </w:r>
    </w:p>
    <w:p>
      <w:pPr>
        <w:pStyle w:val="ListParagraph"/>
        <w:numPr>
          <w:ilvl w:val="0"/>
          <w:numId w:val="2"/>
        </w:numPr>
        <w:spacing w:after="100" w:line="360"/>
      </w:pPr>
      <w:r>
        <w:rPr>
          <w:rFonts w:ascii="Arial" w:cs="Arial" w:eastAsia="Arial" w:hAnsi="Arial"/>
          <w:b/>
          <w:bCs/>
          <w:sz w:val="24"/>
          <w:szCs w:val="24"/>
        </w:rPr>
        <w:t xml:space="preserve">Reversibility and Washout Analyzer: </w:t>
      </w:r>
      <w:r>
        <w:rPr>
          <w:rFonts w:ascii="Arial" w:cs="Arial" w:eastAsia="Arial" w:hAnsi="Arial"/>
          <w:sz w:val="24"/>
          <w:szCs w:val="24"/>
        </w:rPr>
        <w:t xml:space="preserve">Quantify reversibility of perturbation effects by monitoring recovery kinetics upon perturbation removal.</w:t>
      </w:r>
    </w:p>
    <w:p>
      <w:pPr>
        <w:pStyle w:val="ListParagraph"/>
        <w:numPr>
          <w:ilvl w:val="0"/>
          <w:numId w:val="2"/>
        </w:numPr>
        <w:spacing w:after="100" w:line="360"/>
      </w:pPr>
      <w:r>
        <w:rPr>
          <w:rFonts w:ascii="Arial" w:cs="Arial" w:eastAsia="Arial" w:hAnsi="Arial"/>
          <w:b/>
          <w:bCs/>
          <w:sz w:val="24"/>
          <w:szCs w:val="24"/>
        </w:rPr>
        <w:t xml:space="preserve">Kinetic Model Builder: </w:t>
      </w:r>
      <w:r>
        <w:rPr>
          <w:rFonts w:ascii="Arial" w:cs="Arial" w:eastAsia="Arial" w:hAnsi="Arial"/>
          <w:sz w:val="24"/>
          <w:szCs w:val="24"/>
        </w:rPr>
        <w:t xml:space="preserve">Develop mathematical models of pathway and phenotype dynamics to predict long-term outcomes and steady-state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 disease signature features and pathway activity respond to gene X perturbation over days to weeks in culture?"</w:t>
      </w:r>
    </w:p>
    <w:p>
      <w:pPr>
        <w:pStyle w:val="ListParagraph"/>
        <w:numPr>
          <w:ilvl w:val="0"/>
          <w:numId w:val="2"/>
        </w:numPr>
        <w:spacing w:after="100" w:line="360"/>
      </w:pPr>
      <w:r>
        <w:rPr>
          <w:rFonts w:ascii="Arial" w:cs="Arial" w:eastAsia="Arial" w:hAnsi="Arial"/>
          <w:sz w:val="24"/>
          <w:szCs w:val="24"/>
        </w:rPr>
        <w:t xml:space="preserve">"Does gene X perturbation produce acute, rapidly-reversible phenotypic changes (symptomatic relief) or sustained, progressive improvements (disease modification)?"</w:t>
      </w:r>
    </w:p>
    <w:p>
      <w:pPr>
        <w:pStyle w:val="ListParagraph"/>
        <w:numPr>
          <w:ilvl w:val="0"/>
          <w:numId w:val="2"/>
        </w:numPr>
        <w:spacing w:after="100" w:line="360"/>
      </w:pPr>
      <w:r>
        <w:rPr>
          <w:rFonts w:ascii="Arial" w:cs="Arial" w:eastAsia="Arial" w:hAnsi="Arial"/>
          <w:sz w:val="24"/>
          <w:szCs w:val="24"/>
        </w:rPr>
        <w:t xml:space="preserve">"What is the dose-response relationship for gene X perturbation effects on disease phenotype, and what is the therapeutic window?"</w:t>
      </w:r>
    </w:p>
    <w:p>
      <w:pPr>
        <w:pStyle w:val="ListParagraph"/>
        <w:numPr>
          <w:ilvl w:val="0"/>
          <w:numId w:val="2"/>
        </w:numPr>
        <w:spacing w:after="100" w:line="360"/>
      </w:pPr>
      <w:r>
        <w:rPr>
          <w:rFonts w:ascii="Arial" w:cs="Arial" w:eastAsia="Arial" w:hAnsi="Arial"/>
          <w:sz w:val="24"/>
          <w:szCs w:val="24"/>
        </w:rPr>
        <w:t xml:space="preserve">"Are there signs of cellular toxicity or long-term tolerance development with sustained gene X perturbation?"</w:t>
      </w:r>
    </w:p>
    <w:p>
      <w:pPr>
        <w:pStyle w:val="ListParagraph"/>
        <w:numPr>
          <w:ilvl w:val="0"/>
          <w:numId w:val="2"/>
        </w:numPr>
        <w:spacing w:after="100" w:line="360"/>
      </w:pPr>
      <w:r>
        <w:rPr>
          <w:rFonts w:ascii="Arial" w:cs="Arial" w:eastAsia="Arial" w:hAnsi="Arial"/>
          <w:sz w:val="24"/>
          <w:szCs w:val="24"/>
        </w:rPr>
        <w:t xml:space="preserve">"Do phenotypic improvements reverse upon removal of gene X perturbation, indicating temporary compensation rather than durable disease modification?"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Time-Course Phenotype Trajectories: </w:t>
      </w:r>
      <w:r>
        <w:rPr>
          <w:rFonts w:ascii="Arial" w:cs="Arial" w:eastAsia="Arial" w:hAnsi="Arial"/>
          <w:sz w:val="24"/>
          <w:szCs w:val="24"/>
        </w:rPr>
        <w:t xml:space="preserve">Plots showing disease signature features and pathway activity over culture time, fitted with exponential or biphasic kinetic models</w:t>
      </w:r>
    </w:p>
    <w:p>
      <w:pPr>
        <w:pStyle w:val="ListParagraph"/>
        <w:numPr>
          <w:ilvl w:val="0"/>
          <w:numId w:val="2"/>
        </w:numPr>
        <w:spacing w:after="100" w:line="360"/>
      </w:pPr>
      <w:r>
        <w:rPr>
          <w:rFonts w:ascii="Arial" w:cs="Arial" w:eastAsia="Arial" w:hAnsi="Arial"/>
          <w:b/>
          <w:bCs/>
          <w:sz w:val="24"/>
          <w:szCs w:val="24"/>
        </w:rPr>
        <w:t xml:space="preserve">Dose-Response Curves: </w:t>
      </w:r>
      <w:r>
        <w:rPr>
          <w:rFonts w:ascii="Arial" w:cs="Arial" w:eastAsia="Arial" w:hAnsi="Arial"/>
          <w:sz w:val="24"/>
          <w:szCs w:val="24"/>
        </w:rPr>
        <w:t xml:space="preserve">Fitted dose-response relationships for key phenotypic features, with EC50s, Hill coefficients, and no-effect thresholds</w:t>
      </w:r>
    </w:p>
    <w:p>
      <w:pPr>
        <w:pStyle w:val="ListParagraph"/>
        <w:numPr>
          <w:ilvl w:val="0"/>
          <w:numId w:val="2"/>
        </w:numPr>
        <w:spacing w:after="100" w:line="360"/>
      </w:pPr>
      <w:r>
        <w:rPr>
          <w:rFonts w:ascii="Arial" w:cs="Arial" w:eastAsia="Arial" w:hAnsi="Arial"/>
          <w:b/>
          <w:bCs/>
          <w:sz w:val="24"/>
          <w:szCs w:val="24"/>
        </w:rPr>
        <w:t xml:space="preserve">Acute vs. Sustained Classification: </w:t>
      </w:r>
      <w:r>
        <w:rPr>
          <w:rFonts w:ascii="Arial" w:cs="Arial" w:eastAsia="Arial" w:hAnsi="Arial"/>
          <w:sz w:val="24"/>
          <w:szCs w:val="24"/>
        </w:rPr>
        <w:t xml:space="preserve">Categorization of perturbation effects as acute (minutes-hours), subacute (hours-days), or sustained (days-weeks or longer)</w:t>
      </w:r>
    </w:p>
    <w:p>
      <w:pPr>
        <w:pStyle w:val="ListParagraph"/>
        <w:numPr>
          <w:ilvl w:val="0"/>
          <w:numId w:val="2"/>
        </w:numPr>
        <w:spacing w:after="100" w:line="360"/>
      </w:pPr>
      <w:r>
        <w:rPr>
          <w:rFonts w:ascii="Arial" w:cs="Arial" w:eastAsia="Arial" w:hAnsi="Arial"/>
          <w:b/>
          <w:bCs/>
          <w:sz w:val="24"/>
          <w:szCs w:val="24"/>
        </w:rPr>
        <w:t xml:space="preserve">Cellular Toxicity Profile: </w:t>
      </w:r>
      <w:r>
        <w:rPr>
          <w:rFonts w:ascii="Arial" w:cs="Arial" w:eastAsia="Arial" w:hAnsi="Arial"/>
          <w:sz w:val="24"/>
          <w:szCs w:val="24"/>
        </w:rPr>
        <w:t xml:space="preserve">Viability, apoptosis, and organellar function metrics over dose and time, with safety margins defined</w:t>
      </w:r>
    </w:p>
    <w:p>
      <w:pPr>
        <w:pStyle w:val="ListParagraph"/>
        <w:numPr>
          <w:ilvl w:val="0"/>
          <w:numId w:val="2"/>
        </w:numPr>
        <w:spacing w:after="100" w:line="360"/>
      </w:pPr>
      <w:r>
        <w:rPr>
          <w:rFonts w:ascii="Arial" w:cs="Arial" w:eastAsia="Arial" w:hAnsi="Arial"/>
          <w:b/>
          <w:bCs/>
          <w:sz w:val="24"/>
          <w:szCs w:val="24"/>
        </w:rPr>
        <w:t xml:space="preserve">Reversibility Kinetics: </w:t>
      </w:r>
      <w:r>
        <w:rPr>
          <w:rFonts w:ascii="Arial" w:cs="Arial" w:eastAsia="Arial" w:hAnsi="Arial"/>
          <w:sz w:val="24"/>
          <w:szCs w:val="24"/>
        </w:rPr>
        <w:t xml:space="preserve">Recovery profiles and half-lives for reversal of perturbation effects, indicating durability of disease modification vs. symptomatic relief</w:t>
      </w:r>
    </w:p>
    <w:p>
      <w:pPr>
        <w:pStyle w:val="ListParagraph"/>
        <w:numPr>
          <w:ilvl w:val="0"/>
          <w:numId w:val="2"/>
        </w:numPr>
        <w:spacing w:after="100" w:line="360"/>
      </w:pPr>
      <w:r>
        <w:rPr>
          <w:rFonts w:ascii="Arial" w:cs="Arial" w:eastAsia="Arial" w:hAnsi="Arial"/>
          <w:b/>
          <w:bCs/>
          <w:sz w:val="24"/>
          <w:szCs w:val="24"/>
        </w:rPr>
        <w:t xml:space="preserve">Kinetic Model Parameters: </w:t>
      </w:r>
      <w:r>
        <w:rPr>
          <w:rFonts w:ascii="Arial" w:cs="Arial" w:eastAsia="Arial" w:hAnsi="Arial"/>
          <w:sz w:val="24"/>
          <w:szCs w:val="24"/>
        </w:rPr>
        <w:t xml:space="preserve">Estimated rate constants, steady-state levels, and equilibrium predictions for therapeutic optimization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Time-course and dose-response data as CSV, fitted curves and kinetic models as PNG plots, parameter estimates as JSON tables.</w:t>
      </w:r>
    </w:p>
    <w:p>
      <w:pPr>
        <w:pStyle w:val="Heading2"/>
        <w:spacing w:after="200" w:line="360"/>
      </w:pPr>
      <w:r>
        <w:rPr>
          <w:rFonts w:ascii="Arial" w:cs="Arial" w:eastAsia="Arial" w:hAnsi="Arial"/>
          <w:b w:val="false"/>
          <w:bCs w:val="false"/>
          <w:sz w:val="56"/>
          <w:szCs w:val="56"/>
        </w:rPr>
        <w:t xml:space="preserve">Stage 5: Biomarker Discovery and Validation</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Identify specific molecular and cellular biomarkers that distinguish disease modification (primary pathway normalization) from symptomatic relief (secondary compensation), enabling predictive screening and clinical trial readouts.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Mechanistic Pathway Data from Stage 3: </w:t>
      </w:r>
      <w:r>
        <w:rPr>
          <w:rFonts w:ascii="Arial" w:cs="Arial" w:eastAsia="Arial" w:hAnsi="Arial"/>
          <w:sz w:val="24"/>
          <w:szCs w:val="24"/>
        </w:rPr>
        <w:t xml:space="preserve">Multi-omics profiles distinguishing primary disease mechanisms from secondary symptomatic pathways</w:t>
      </w:r>
    </w:p>
    <w:p>
      <w:pPr>
        <w:pStyle w:val="ListParagraph"/>
        <w:numPr>
          <w:ilvl w:val="0"/>
          <w:numId w:val="2"/>
        </w:numPr>
        <w:spacing w:after="100" w:line="360"/>
      </w:pPr>
      <w:r>
        <w:rPr>
          <w:rFonts w:ascii="Arial" w:cs="Arial" w:eastAsia="Arial" w:hAnsi="Arial"/>
          <w:b/>
          <w:bCs/>
          <w:sz w:val="24"/>
          <w:szCs w:val="24"/>
        </w:rPr>
        <w:t xml:space="preserve">Temporal and Dose-Response Data from Stage 4: </w:t>
      </w:r>
      <w:r>
        <w:rPr>
          <w:rFonts w:ascii="Arial" w:cs="Arial" w:eastAsia="Arial" w:hAnsi="Arial"/>
          <w:sz w:val="24"/>
          <w:szCs w:val="24"/>
        </w:rPr>
        <w:t xml:space="preserve">Kinetic profiles of phenotypic and biomarker responses to help distinguish temporary vs. sustained effects</w:t>
      </w:r>
    </w:p>
    <w:p>
      <w:pPr>
        <w:pStyle w:val="ListParagraph"/>
        <w:numPr>
          <w:ilvl w:val="0"/>
          <w:numId w:val="2"/>
        </w:numPr>
        <w:spacing w:after="100" w:line="360"/>
      </w:pPr>
      <w:r>
        <w:rPr>
          <w:rFonts w:ascii="Arial" w:cs="Arial" w:eastAsia="Arial" w:hAnsi="Arial"/>
          <w:b/>
          <w:bCs/>
          <w:sz w:val="24"/>
          <w:szCs w:val="24"/>
        </w:rPr>
        <w:t xml:space="preserve">Clinical and Patient Data: </w:t>
      </w:r>
      <w:r>
        <w:rPr>
          <w:rFonts w:ascii="Arial" w:cs="Arial" w:eastAsia="Arial" w:hAnsi="Arial"/>
          <w:sz w:val="24"/>
          <w:szCs w:val="24"/>
        </w:rPr>
        <w:t xml:space="preserve">Human disease biomarkers from cerebrospinal fluid, blood, brain imaging, or patient-derived iPSC data</w:t>
      </w:r>
    </w:p>
    <w:p>
      <w:pPr>
        <w:pStyle w:val="ListParagraph"/>
        <w:numPr>
          <w:ilvl w:val="0"/>
          <w:numId w:val="2"/>
        </w:numPr>
        <w:spacing w:after="100" w:line="360"/>
      </w:pPr>
      <w:r>
        <w:rPr>
          <w:rFonts w:ascii="Arial" w:cs="Arial" w:eastAsia="Arial" w:hAnsi="Arial"/>
          <w:b/>
          <w:bCs/>
          <w:sz w:val="24"/>
          <w:szCs w:val="24"/>
        </w:rPr>
        <w:t xml:space="preserve">Literature-Curated Biomarker Sets: </w:t>
      </w:r>
      <w:r>
        <w:rPr>
          <w:rFonts w:ascii="Arial" w:cs="Arial" w:eastAsia="Arial" w:hAnsi="Arial"/>
          <w:sz w:val="24"/>
          <w:szCs w:val="24"/>
        </w:rPr>
        <w:t xml:space="preserve">Known disease-modifying and symptomatic-relief biomarkers from clinical trials and preclinical studies</w:t>
      </w:r>
    </w:p>
    <w:p>
      <w:pPr>
        <w:pStyle w:val="ListParagraph"/>
        <w:numPr>
          <w:ilvl w:val="0"/>
          <w:numId w:val="2"/>
        </w:numPr>
        <w:spacing w:after="100" w:line="360"/>
      </w:pPr>
      <w:r>
        <w:rPr>
          <w:rFonts w:ascii="Arial" w:cs="Arial" w:eastAsia="Arial" w:hAnsi="Arial"/>
          <w:b/>
          <w:bCs/>
          <w:sz w:val="24"/>
          <w:szCs w:val="24"/>
        </w:rPr>
        <w:t xml:space="preserve">Mechanistic Certainty and Specificity Measures: </w:t>
      </w:r>
      <w:r>
        <w:rPr>
          <w:rFonts w:ascii="Arial" w:cs="Arial" w:eastAsia="Arial" w:hAnsi="Arial"/>
          <w:sz w:val="24"/>
          <w:szCs w:val="24"/>
        </w:rPr>
        <w:t xml:space="preserve">Quantitative assessments of biomarker causality, specificity to disease mechanism, and predictive value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Primary vs. Secondary Biomarker Classifier: </w:t>
      </w:r>
      <w:r>
        <w:rPr>
          <w:rFonts w:ascii="Arial" w:cs="Arial" w:eastAsia="Arial" w:hAnsi="Arial"/>
          <w:sz w:val="24"/>
          <w:szCs w:val="24"/>
        </w:rPr>
        <w:t xml:space="preserve">Distinguish biomarkers linked to primary disease pathways (disease-modifying) from secondary compensation markers (symptomatic relief).</w:t>
      </w:r>
    </w:p>
    <w:p>
      <w:pPr>
        <w:pStyle w:val="ListParagraph"/>
        <w:numPr>
          <w:ilvl w:val="0"/>
          <w:numId w:val="2"/>
        </w:numPr>
        <w:spacing w:after="100" w:line="360"/>
      </w:pPr>
      <w:r>
        <w:rPr>
          <w:rFonts w:ascii="Arial" w:cs="Arial" w:eastAsia="Arial" w:hAnsi="Arial"/>
          <w:b/>
          <w:bCs/>
          <w:sz w:val="24"/>
          <w:szCs w:val="24"/>
        </w:rPr>
        <w:t xml:space="preserve">Biomarker Candidate Prioritizer: </w:t>
      </w:r>
      <w:r>
        <w:rPr>
          <w:rFonts w:ascii="Arial" w:cs="Arial" w:eastAsia="Arial" w:hAnsi="Arial"/>
          <w:sz w:val="24"/>
          <w:szCs w:val="24"/>
        </w:rPr>
        <w:t xml:space="preserve">Rank molecular and cellular features by mechanistic certainty, specificity, measurability, and clinical translation potential.</w:t>
      </w:r>
    </w:p>
    <w:p>
      <w:pPr>
        <w:pStyle w:val="ListParagraph"/>
        <w:numPr>
          <w:ilvl w:val="0"/>
          <w:numId w:val="2"/>
        </w:numPr>
        <w:spacing w:after="100" w:line="360"/>
      </w:pPr>
      <w:r>
        <w:rPr>
          <w:rFonts w:ascii="Arial" w:cs="Arial" w:eastAsia="Arial" w:hAnsi="Arial"/>
          <w:b/>
          <w:bCs/>
          <w:sz w:val="24"/>
          <w:szCs w:val="24"/>
        </w:rPr>
        <w:t xml:space="preserve">Temporal Biomarker Validator: </w:t>
      </w:r>
      <w:r>
        <w:rPr>
          <w:rFonts w:ascii="Arial" w:cs="Arial" w:eastAsia="Arial" w:hAnsi="Arial"/>
          <w:sz w:val="24"/>
          <w:szCs w:val="24"/>
        </w:rPr>
        <w:t xml:space="preserve">Test whether biomarker kinetics match predicted profiles for disease modification vs. symptomatic relief.</w:t>
      </w:r>
    </w:p>
    <w:p>
      <w:pPr>
        <w:pStyle w:val="ListParagraph"/>
        <w:numPr>
          <w:ilvl w:val="0"/>
          <w:numId w:val="2"/>
        </w:numPr>
        <w:spacing w:after="100" w:line="360"/>
      </w:pPr>
      <w:r>
        <w:rPr>
          <w:rFonts w:ascii="Arial" w:cs="Arial" w:eastAsia="Arial" w:hAnsi="Arial"/>
          <w:b/>
          <w:bCs/>
          <w:sz w:val="24"/>
          <w:szCs w:val="24"/>
        </w:rPr>
        <w:t xml:space="preserve">Clinical Biomarker Correlator: </w:t>
      </w:r>
      <w:r>
        <w:rPr>
          <w:rFonts w:ascii="Arial" w:cs="Arial" w:eastAsia="Arial" w:hAnsi="Arial"/>
          <w:sz w:val="24"/>
          <w:szCs w:val="24"/>
        </w:rPr>
        <w:t xml:space="preserve">Cross-reference in vitro biomarker changes with clinical trial outcomes and patient biomarker data to assess translational relevance.</w:t>
      </w:r>
    </w:p>
    <w:p>
      <w:pPr>
        <w:pStyle w:val="ListParagraph"/>
        <w:numPr>
          <w:ilvl w:val="0"/>
          <w:numId w:val="2"/>
        </w:numPr>
        <w:spacing w:after="100" w:line="360"/>
      </w:pPr>
      <w:r>
        <w:rPr>
          <w:rFonts w:ascii="Arial" w:cs="Arial" w:eastAsia="Arial" w:hAnsi="Arial"/>
          <w:b/>
          <w:bCs/>
          <w:sz w:val="24"/>
          <w:szCs w:val="24"/>
        </w:rPr>
        <w:t xml:space="preserve">Biomarker Combinations and Signatures: </w:t>
      </w:r>
      <w:r>
        <w:rPr>
          <w:rFonts w:ascii="Arial" w:cs="Arial" w:eastAsia="Arial" w:hAnsi="Arial"/>
          <w:sz w:val="24"/>
          <w:szCs w:val="24"/>
        </w:rPr>
        <w:t xml:space="preserve">Identify multi-marker biomarker signatures with improved specificity for disease modification vs. symptomatic relief.</w:t>
      </w:r>
    </w:p>
    <w:p>
      <w:pPr>
        <w:pStyle w:val="ListParagraph"/>
        <w:numPr>
          <w:ilvl w:val="0"/>
          <w:numId w:val="2"/>
        </w:numPr>
        <w:spacing w:after="100" w:line="360"/>
      </w:pPr>
      <w:r>
        <w:rPr>
          <w:rFonts w:ascii="Arial" w:cs="Arial" w:eastAsia="Arial" w:hAnsi="Arial"/>
          <w:b/>
          <w:bCs/>
          <w:sz w:val="24"/>
          <w:szCs w:val="24"/>
        </w:rPr>
        <w:t xml:space="preserve">Assay Feasibility Assessor: </w:t>
      </w:r>
      <w:r>
        <w:rPr>
          <w:rFonts w:ascii="Arial" w:cs="Arial" w:eastAsia="Arial" w:hAnsi="Arial"/>
          <w:sz w:val="24"/>
          <w:szCs w:val="24"/>
        </w:rPr>
        <w:t xml:space="preserve">Evaluate technical feasibility of biomarker measurement (blood, CSF, imaging, molecular assays) and scalability for clinical use.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molecular biomarkers (protein levels, phosphorylation states, metabolites) specifically mark disease-modifying pathway normalization?"</w:t>
      </w:r>
    </w:p>
    <w:p>
      <w:pPr>
        <w:pStyle w:val="ListParagraph"/>
        <w:numPr>
          <w:ilvl w:val="0"/>
          <w:numId w:val="2"/>
        </w:numPr>
        <w:spacing w:after="100" w:line="360"/>
      </w:pPr>
      <w:r>
        <w:rPr>
          <w:rFonts w:ascii="Arial" w:cs="Arial" w:eastAsia="Arial" w:hAnsi="Arial"/>
          <w:sz w:val="24"/>
          <w:szCs w:val="24"/>
        </w:rPr>
        <w:t xml:space="preserve">"Can we distinguish cellular biomarkers of disease modification (primary lesion reversal) from markers of compensation (secondary symptom suppression)?"</w:t>
      </w:r>
    </w:p>
    <w:p>
      <w:pPr>
        <w:pStyle w:val="ListParagraph"/>
        <w:numPr>
          <w:ilvl w:val="0"/>
          <w:numId w:val="2"/>
        </w:numPr>
        <w:spacing w:after="100" w:line="360"/>
      </w:pPr>
      <w:r>
        <w:rPr>
          <w:rFonts w:ascii="Arial" w:cs="Arial" w:eastAsia="Arial" w:hAnsi="Arial"/>
          <w:sz w:val="24"/>
          <w:szCs w:val="24"/>
        </w:rPr>
        <w:t xml:space="preserve">"Are in vitro biomarker changes from gene X perturbation consistent with clinical biomarker responses in disease-modifying therapeutic trials?"</w:t>
      </w:r>
    </w:p>
    <w:p>
      <w:pPr>
        <w:pStyle w:val="ListParagraph"/>
        <w:numPr>
          <w:ilvl w:val="0"/>
          <w:numId w:val="2"/>
        </w:numPr>
        <w:spacing w:after="100" w:line="360"/>
      </w:pPr>
      <w:r>
        <w:rPr>
          <w:rFonts w:ascii="Arial" w:cs="Arial" w:eastAsia="Arial" w:hAnsi="Arial"/>
          <w:sz w:val="24"/>
          <w:szCs w:val="24"/>
        </w:rPr>
        <w:t xml:space="preserve">"Do top biomarker candidates show kinetic profiles matching disease modification (sustained change) vs. symptomatic relief (rapid, reversible change)?"</w:t>
      </w:r>
    </w:p>
    <w:p>
      <w:pPr>
        <w:pStyle w:val="ListParagraph"/>
        <w:numPr>
          <w:ilvl w:val="0"/>
          <w:numId w:val="2"/>
        </w:numPr>
        <w:spacing w:after="100" w:line="360"/>
      </w:pPr>
      <w:r>
        <w:rPr>
          <w:rFonts w:ascii="Arial" w:cs="Arial" w:eastAsia="Arial" w:hAnsi="Arial"/>
          <w:sz w:val="24"/>
          <w:szCs w:val="24"/>
        </w:rPr>
        <w:t xml:space="preserve">"Can we measure putative disease-modifying biomarkers in accessible biofluids (blood, CSF) or non-invasive imaging modalities?"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Primary vs. Secondary Biomarker Classification: </w:t>
      </w:r>
      <w:r>
        <w:rPr>
          <w:rFonts w:ascii="Arial" w:cs="Arial" w:eastAsia="Arial" w:hAnsi="Arial"/>
          <w:sz w:val="24"/>
          <w:szCs w:val="24"/>
        </w:rPr>
        <w:t xml:space="preserve">Annotated lists of biomarkers assigned to disease-modifying or symptomatic-relief categories based on pathway context and mechanistic certainty</w:t>
      </w:r>
    </w:p>
    <w:p>
      <w:pPr>
        <w:pStyle w:val="ListParagraph"/>
        <w:numPr>
          <w:ilvl w:val="0"/>
          <w:numId w:val="2"/>
        </w:numPr>
        <w:spacing w:after="100" w:line="360"/>
      </w:pPr>
      <w:r>
        <w:rPr>
          <w:rFonts w:ascii="Arial" w:cs="Arial" w:eastAsia="Arial" w:hAnsi="Arial"/>
          <w:b/>
          <w:bCs/>
          <w:sz w:val="24"/>
          <w:szCs w:val="24"/>
        </w:rPr>
        <w:t xml:space="preserve">Ranked Biomarker Candidates: </w:t>
      </w:r>
      <w:r>
        <w:rPr>
          <w:rFonts w:ascii="Arial" w:cs="Arial" w:eastAsia="Arial" w:hAnsi="Arial"/>
          <w:sz w:val="24"/>
          <w:szCs w:val="24"/>
        </w:rPr>
        <w:t xml:space="preserve">Prioritized list of biomarker combinations with scores for mechanistic relevance, temporal dynamics fit, clinical translation potential</w:t>
      </w:r>
    </w:p>
    <w:p>
      <w:pPr>
        <w:pStyle w:val="ListParagraph"/>
        <w:numPr>
          <w:ilvl w:val="0"/>
          <w:numId w:val="2"/>
        </w:numPr>
        <w:spacing w:after="100" w:line="360"/>
      </w:pPr>
      <w:r>
        <w:rPr>
          <w:rFonts w:ascii="Arial" w:cs="Arial" w:eastAsia="Arial" w:hAnsi="Arial"/>
          <w:b/>
          <w:bCs/>
          <w:sz w:val="24"/>
          <w:szCs w:val="24"/>
        </w:rPr>
        <w:t xml:space="preserve">Biomarker Signature Panels: </w:t>
      </w:r>
      <w:r>
        <w:rPr>
          <w:rFonts w:ascii="Arial" w:cs="Arial" w:eastAsia="Arial" w:hAnsi="Arial"/>
          <w:sz w:val="24"/>
          <w:szCs w:val="24"/>
        </w:rPr>
        <w:t xml:space="preserve">Multi-marker signatures optimized for distinguishing disease modification from symptomatic relief with receiver-operating-characteristic curves</w:t>
      </w:r>
    </w:p>
    <w:p>
      <w:pPr>
        <w:pStyle w:val="ListParagraph"/>
        <w:numPr>
          <w:ilvl w:val="0"/>
          <w:numId w:val="2"/>
        </w:numPr>
        <w:spacing w:after="100" w:line="360"/>
      </w:pPr>
      <w:r>
        <w:rPr>
          <w:rFonts w:ascii="Arial" w:cs="Arial" w:eastAsia="Arial" w:hAnsi="Arial"/>
          <w:b/>
          <w:bCs/>
          <w:sz w:val="24"/>
          <w:szCs w:val="24"/>
        </w:rPr>
        <w:t xml:space="preserve">Clinical Correlation Summary: </w:t>
      </w:r>
      <w:r>
        <w:rPr>
          <w:rFonts w:ascii="Arial" w:cs="Arial" w:eastAsia="Arial" w:hAnsi="Arial"/>
          <w:sz w:val="24"/>
          <w:szCs w:val="24"/>
        </w:rPr>
        <w:t xml:space="preserve">Evidence linking in vitro biomarker changes to outcomes in clinical trials and patient-derived samples</w:t>
      </w:r>
    </w:p>
    <w:p>
      <w:pPr>
        <w:pStyle w:val="ListParagraph"/>
        <w:numPr>
          <w:ilvl w:val="0"/>
          <w:numId w:val="2"/>
        </w:numPr>
        <w:spacing w:after="100" w:line="360"/>
      </w:pPr>
      <w:r>
        <w:rPr>
          <w:rFonts w:ascii="Arial" w:cs="Arial" w:eastAsia="Arial" w:hAnsi="Arial"/>
          <w:b/>
          <w:bCs/>
          <w:sz w:val="24"/>
          <w:szCs w:val="24"/>
        </w:rPr>
        <w:t xml:space="preserve">Assay Development Roadmap: </w:t>
      </w:r>
      <w:r>
        <w:rPr>
          <w:rFonts w:ascii="Arial" w:cs="Arial" w:eastAsia="Arial" w:hAnsi="Arial"/>
          <w:sz w:val="24"/>
          <w:szCs w:val="24"/>
        </w:rPr>
        <w:t xml:space="preserve">Technical specifications, validation plans, and scalability assessment for translating biomarkers to clinical assays</w:t>
      </w:r>
    </w:p>
    <w:p>
      <w:pPr>
        <w:pStyle w:val="ListParagraph"/>
        <w:numPr>
          <w:ilvl w:val="0"/>
          <w:numId w:val="2"/>
        </w:numPr>
        <w:spacing w:after="100" w:line="360"/>
      </w:pPr>
      <w:r>
        <w:rPr>
          <w:rFonts w:ascii="Arial" w:cs="Arial" w:eastAsia="Arial" w:hAnsi="Arial"/>
          <w:b/>
          <w:bCs/>
          <w:sz w:val="24"/>
          <w:szCs w:val="24"/>
        </w:rPr>
        <w:t xml:space="preserve">Biomarker Kinetic Profiles: </w:t>
      </w:r>
      <w:r>
        <w:rPr>
          <w:rFonts w:ascii="Arial" w:cs="Arial" w:eastAsia="Arial" w:hAnsi="Arial"/>
          <w:sz w:val="24"/>
          <w:szCs w:val="24"/>
        </w:rPr>
        <w:t xml:space="preserve">Expected temporal changes in top biomarkers under disease-modifying vs. symptomatic-relief scenarios, with clinical trial prediction models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Biomarker classifications and rankings as CSV, signature panels as JSON, ROC curves and kinetic predictions as PNG plots.</w:t>
      </w:r>
    </w:p>
    <w:p>
      <w:pPr>
        <w:pStyle w:val="Heading2"/>
        <w:spacing w:after="200" w:line="360"/>
      </w:pPr>
      <w:r>
        <w:rPr>
          <w:rFonts w:ascii="Arial" w:cs="Arial" w:eastAsia="Arial" w:hAnsi="Arial"/>
          <w:b w:val="false"/>
          <w:bCs w:val="false"/>
          <w:sz w:val="56"/>
          <w:szCs w:val="56"/>
        </w:rPr>
        <w:t xml:space="preserve">Stage 6: Disease Modification Risk-Benefit Assessment and Clinical Strategy</w:t>
      </w:r>
    </w:p>
    <w:p>
      <w:pPr>
        <w:spacing w:after="100" w:line="360"/>
      </w:pPr>
      <w:r>
        <w:rPr>
          <w:rFonts w:ascii="Arial" w:cs="Arial" w:eastAsia="Arial" w:hAnsi="Arial"/>
          <w:b/>
          <w:bCs/>
          <w:sz w:val="24"/>
          <w:szCs w:val="24"/>
        </w:rPr>
        <w:t xml:space="preserve">Purpose: </w:t>
      </w:r>
    </w:p>
    <w:p>
      <w:pPr>
        <w:spacing w:after="200" w:line="360"/>
      </w:pPr>
      <w:r>
        <w:rPr>
          <w:rFonts w:ascii="Arial" w:cs="Arial" w:eastAsia="Arial" w:hAnsi="Arial"/>
          <w:sz w:val="24"/>
          <w:szCs w:val="24"/>
        </w:rPr>
        <w:t xml:space="preserve">Synthesize evidence of disease modification vs. symptomatic relief into risk-benefit profiles and clinical development recommendations, guiding regulatory positioning, patient selection, and therapeutic strategies.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b/>
          <w:bCs/>
          <w:sz w:val="24"/>
          <w:szCs w:val="24"/>
        </w:rPr>
        <w:t xml:space="preserve">Disease Modification Evidence Synthesis: </w:t>
      </w:r>
      <w:r>
        <w:rPr>
          <w:rFonts w:ascii="Arial" w:cs="Arial" w:eastAsia="Arial" w:hAnsi="Arial"/>
          <w:sz w:val="24"/>
          <w:szCs w:val="24"/>
        </w:rPr>
        <w:t xml:space="preserve">Mechanistic pathway changes, biomarker evidence, and temporal dynamics from Stages 3-5</w:t>
      </w:r>
    </w:p>
    <w:p>
      <w:pPr>
        <w:pStyle w:val="ListParagraph"/>
        <w:numPr>
          <w:ilvl w:val="0"/>
          <w:numId w:val="2"/>
        </w:numPr>
        <w:spacing w:after="100" w:line="360"/>
      </w:pPr>
      <w:r>
        <w:rPr>
          <w:rFonts w:ascii="Arial" w:cs="Arial" w:eastAsia="Arial" w:hAnsi="Arial"/>
          <w:b/>
          <w:bCs/>
          <w:sz w:val="24"/>
          <w:szCs w:val="24"/>
        </w:rPr>
        <w:t xml:space="preserve">Cellular Toxicity and Safety Profile: </w:t>
      </w:r>
      <w:r>
        <w:rPr>
          <w:rFonts w:ascii="Arial" w:cs="Arial" w:eastAsia="Arial" w:hAnsi="Arial"/>
          <w:sz w:val="24"/>
          <w:szCs w:val="24"/>
        </w:rPr>
        <w:t xml:space="preserve">Dose-response and long-term toxicity data from Stage 4 for risk assessment</w:t>
      </w:r>
    </w:p>
    <w:p>
      <w:pPr>
        <w:pStyle w:val="ListParagraph"/>
        <w:numPr>
          <w:ilvl w:val="0"/>
          <w:numId w:val="2"/>
        </w:numPr>
        <w:spacing w:after="100" w:line="360"/>
      </w:pPr>
      <w:r>
        <w:rPr>
          <w:rFonts w:ascii="Arial" w:cs="Arial" w:eastAsia="Arial" w:hAnsi="Arial"/>
          <w:b/>
          <w:bCs/>
          <w:sz w:val="24"/>
          <w:szCs w:val="24"/>
        </w:rPr>
        <w:t xml:space="preserve">Clinical Precedent and Regulatory Framework: </w:t>
      </w:r>
      <w:r>
        <w:rPr>
          <w:rFonts w:ascii="Arial" w:cs="Arial" w:eastAsia="Arial" w:hAnsi="Arial"/>
          <w:sz w:val="24"/>
          <w:szCs w:val="24"/>
        </w:rPr>
        <w:t xml:space="preserve">Prior therapeutic development for similar diseases, regulatory guidance on disease-modifying vs. symptomatic relief claims</w:t>
      </w:r>
    </w:p>
    <w:p>
      <w:pPr>
        <w:pStyle w:val="ListParagraph"/>
        <w:numPr>
          <w:ilvl w:val="0"/>
          <w:numId w:val="2"/>
        </w:numPr>
        <w:spacing w:after="100" w:line="360"/>
      </w:pPr>
      <w:r>
        <w:rPr>
          <w:rFonts w:ascii="Arial" w:cs="Arial" w:eastAsia="Arial" w:hAnsi="Arial"/>
          <w:b/>
          <w:bCs/>
          <w:sz w:val="24"/>
          <w:szCs w:val="24"/>
        </w:rPr>
        <w:t xml:space="preserve">Expected Clinical Trial Outcomes: </w:t>
      </w:r>
      <w:r>
        <w:rPr>
          <w:rFonts w:ascii="Arial" w:cs="Arial" w:eastAsia="Arial" w:hAnsi="Arial"/>
          <w:sz w:val="24"/>
          <w:szCs w:val="24"/>
        </w:rPr>
        <w:t xml:space="preserve">Predictions of effect size, responder rates, and timelines based on in vitro disease modification evidence</w:t>
      </w:r>
    </w:p>
    <w:p>
      <w:pPr>
        <w:pStyle w:val="ListParagraph"/>
        <w:numPr>
          <w:ilvl w:val="0"/>
          <w:numId w:val="2"/>
        </w:numPr>
        <w:spacing w:after="100" w:line="360"/>
      </w:pPr>
      <w:r>
        <w:rPr>
          <w:rFonts w:ascii="Arial" w:cs="Arial" w:eastAsia="Arial" w:hAnsi="Arial"/>
          <w:b/>
          <w:bCs/>
          <w:sz w:val="24"/>
          <w:szCs w:val="24"/>
        </w:rPr>
        <w:t xml:space="preserve">Patient Heterogeneity Factors: </w:t>
      </w:r>
      <w:r>
        <w:rPr>
          <w:rFonts w:ascii="Arial" w:cs="Arial" w:eastAsia="Arial" w:hAnsi="Arial"/>
          <w:sz w:val="24"/>
          <w:szCs w:val="24"/>
        </w:rPr>
        <w:t xml:space="preserve">Genetic background, disease stage, comorbidities, and demographic factors affecting therapy response and risk</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Disease Modification Evidence Aggregator: </w:t>
      </w:r>
      <w:r>
        <w:rPr>
          <w:rFonts w:ascii="Arial" w:cs="Arial" w:eastAsia="Arial" w:hAnsi="Arial"/>
          <w:sz w:val="24"/>
          <w:szCs w:val="24"/>
        </w:rPr>
        <w:t xml:space="preserve">Integrate multi-stage evidence into a comprehensive disease modification vs. symptomatic relief assessment.</w:t>
      </w:r>
    </w:p>
    <w:p>
      <w:pPr>
        <w:pStyle w:val="ListParagraph"/>
        <w:numPr>
          <w:ilvl w:val="0"/>
          <w:numId w:val="2"/>
        </w:numPr>
        <w:spacing w:after="100" w:line="360"/>
      </w:pPr>
      <w:r>
        <w:rPr>
          <w:rFonts w:ascii="Arial" w:cs="Arial" w:eastAsia="Arial" w:hAnsi="Arial"/>
          <w:b/>
          <w:bCs/>
          <w:sz w:val="24"/>
          <w:szCs w:val="24"/>
        </w:rPr>
        <w:t xml:space="preserve">Risk-Benefit Profiler: </w:t>
      </w:r>
      <w:r>
        <w:rPr>
          <w:rFonts w:ascii="Arial" w:cs="Arial" w:eastAsia="Arial" w:hAnsi="Arial"/>
          <w:sz w:val="24"/>
          <w:szCs w:val="24"/>
        </w:rPr>
        <w:t xml:space="preserve">Quantify disease modification benefit magnitude against toxicity risks for dose and patient population optimization.</w:t>
      </w:r>
    </w:p>
    <w:p>
      <w:pPr>
        <w:pStyle w:val="ListParagraph"/>
        <w:numPr>
          <w:ilvl w:val="0"/>
          <w:numId w:val="2"/>
        </w:numPr>
        <w:spacing w:after="100" w:line="360"/>
      </w:pPr>
      <w:r>
        <w:rPr>
          <w:rFonts w:ascii="Arial" w:cs="Arial" w:eastAsia="Arial" w:hAnsi="Arial"/>
          <w:b/>
          <w:bCs/>
          <w:sz w:val="24"/>
          <w:szCs w:val="24"/>
        </w:rPr>
        <w:t xml:space="preserve">Clinical Trial Outcome Predictor: </w:t>
      </w:r>
      <w:r>
        <w:rPr>
          <w:rFonts w:ascii="Arial" w:cs="Arial" w:eastAsia="Arial" w:hAnsi="Arial"/>
          <w:sz w:val="24"/>
          <w:szCs w:val="24"/>
        </w:rPr>
        <w:t xml:space="preserve">Project expected effect sizes, responder rates, biomarker response patterns, and timelines for disease-modifying clinical trials.</w:t>
      </w:r>
    </w:p>
    <w:p>
      <w:pPr>
        <w:pStyle w:val="ListParagraph"/>
        <w:numPr>
          <w:ilvl w:val="0"/>
          <w:numId w:val="2"/>
        </w:numPr>
        <w:spacing w:after="100" w:line="360"/>
      </w:pPr>
      <w:r>
        <w:rPr>
          <w:rFonts w:ascii="Arial" w:cs="Arial" w:eastAsia="Arial" w:hAnsi="Arial"/>
          <w:b/>
          <w:bCs/>
          <w:sz w:val="24"/>
          <w:szCs w:val="24"/>
        </w:rPr>
        <w:t xml:space="preserve">Regulatory Strategy Advisor: </w:t>
      </w:r>
      <w:r>
        <w:rPr>
          <w:rFonts w:ascii="Arial" w:cs="Arial" w:eastAsia="Arial" w:hAnsi="Arial"/>
          <w:sz w:val="24"/>
          <w:szCs w:val="24"/>
        </w:rPr>
        <w:t xml:space="preserve">Assess regulatory positioning (disease-modifying claim vs. symptomatic relief) and likelihood of approval based on evidence and precedent.</w:t>
      </w:r>
    </w:p>
    <w:p>
      <w:pPr>
        <w:pStyle w:val="ListParagraph"/>
        <w:numPr>
          <w:ilvl w:val="0"/>
          <w:numId w:val="2"/>
        </w:numPr>
        <w:spacing w:after="100" w:line="360"/>
      </w:pPr>
      <w:r>
        <w:rPr>
          <w:rFonts w:ascii="Arial" w:cs="Arial" w:eastAsia="Arial" w:hAnsi="Arial"/>
          <w:b/>
          <w:bCs/>
          <w:sz w:val="24"/>
          <w:szCs w:val="24"/>
        </w:rPr>
        <w:t xml:space="preserve">Patient Stratification Analyzer: </w:t>
      </w:r>
      <w:r>
        <w:rPr>
          <w:rFonts w:ascii="Arial" w:cs="Arial" w:eastAsia="Arial" w:hAnsi="Arial"/>
          <w:sz w:val="24"/>
          <w:szCs w:val="24"/>
        </w:rPr>
        <w:t xml:space="preserve">Identify genetic, demographic, or disease-stage factors predicting therapy response for personalized medicine applications.</w:t>
      </w:r>
    </w:p>
    <w:p>
      <w:pPr>
        <w:pStyle w:val="ListParagraph"/>
        <w:numPr>
          <w:ilvl w:val="0"/>
          <w:numId w:val="2"/>
        </w:numPr>
        <w:spacing w:after="100" w:line="360"/>
      </w:pPr>
      <w:r>
        <w:rPr>
          <w:rFonts w:ascii="Arial" w:cs="Arial" w:eastAsia="Arial" w:hAnsi="Arial"/>
          <w:b/>
          <w:bCs/>
          <w:sz w:val="24"/>
          <w:szCs w:val="24"/>
        </w:rPr>
        <w:t xml:space="preserve">Reporting Dashboard Generator: </w:t>
      </w:r>
      <w:r>
        <w:rPr>
          <w:rFonts w:ascii="Arial" w:cs="Arial" w:eastAsia="Arial" w:hAnsi="Arial"/>
          <w:sz w:val="24"/>
          <w:szCs w:val="24"/>
        </w:rPr>
        <w:t xml:space="preserve">Create comprehensive, visually compelling summary dashboards for stakeholder communication and regulatory submission.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"Based on disease modification evidence, what regulatory positioning (disease-modifying vs. symptomatic relief) is most defensible and likely to succeed?"</w:t>
      </w:r>
    </w:p>
    <w:p>
      <w:pPr>
        <w:pStyle w:val="ListParagraph"/>
        <w:numPr>
          <w:ilvl w:val="0"/>
          <w:numId w:val="2"/>
        </w:numPr>
        <w:spacing w:after="100" w:line="360"/>
      </w:pPr>
      <w:r>
        <w:rPr>
          <w:rFonts w:ascii="Arial" w:cs="Arial" w:eastAsia="Arial" w:hAnsi="Arial"/>
          <w:sz w:val="24"/>
          <w:szCs w:val="24"/>
        </w:rPr>
        <w:t xml:space="preserve">"What is the risk-benefit profile of gene X-targeted therapy, considering disease modification magnitude against toxicity and long-term safety concerns?"</w:t>
      </w:r>
    </w:p>
    <w:p>
      <w:pPr>
        <w:pStyle w:val="ListParagraph"/>
        <w:numPr>
          <w:ilvl w:val="0"/>
          <w:numId w:val="2"/>
        </w:numPr>
        <w:spacing w:after="100" w:line="360"/>
      </w:pPr>
      <w:r>
        <w:rPr>
          <w:rFonts w:ascii="Arial" w:cs="Arial" w:eastAsia="Arial" w:hAnsi="Arial"/>
          <w:sz w:val="24"/>
          <w:szCs w:val="24"/>
        </w:rPr>
        <w:t xml:space="preserve">"What patient characteristics (genetics, disease stage, biomarkers) predict response to gene X-targeted therapy, and how should trials be stratified?"</w:t>
      </w:r>
    </w:p>
    <w:p>
      <w:pPr>
        <w:pStyle w:val="ListParagraph"/>
        <w:numPr>
          <w:ilvl w:val="0"/>
          <w:numId w:val="2"/>
        </w:numPr>
        <w:spacing w:after="100" w:line="360"/>
      </w:pPr>
      <w:r>
        <w:rPr>
          <w:rFonts w:ascii="Arial" w:cs="Arial" w:eastAsia="Arial" w:hAnsi="Arial"/>
          <w:sz w:val="24"/>
          <w:szCs w:val="24"/>
        </w:rPr>
        <w:t xml:space="preserve">"Project the expected clinical trial outcomes (effect size, responder rate, time to benefit, durability) based on in vitro disease modification evidence."</w:t>
      </w:r>
    </w:p>
    <w:p>
      <w:pPr>
        <w:pStyle w:val="ListParagraph"/>
        <w:numPr>
          <w:ilvl w:val="0"/>
          <w:numId w:val="2"/>
        </w:numPr>
        <w:spacing w:after="100" w:line="360"/>
      </w:pPr>
      <w:r>
        <w:rPr>
          <w:rFonts w:ascii="Arial" w:cs="Arial" w:eastAsia="Arial" w:hAnsi="Arial"/>
          <w:sz w:val="24"/>
          <w:szCs w:val="24"/>
        </w:rPr>
        <w:t xml:space="preserve">"What are the key milestones and go/no-go decision points for advancing gene X therapy from preclinical to clinical development?"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b/>
          <w:bCs/>
          <w:sz w:val="24"/>
          <w:szCs w:val="24"/>
        </w:rPr>
        <w:t xml:space="preserve">Disease Modification vs. Symptomatic Relief Summary: </w:t>
      </w:r>
      <w:r>
        <w:rPr>
          <w:rFonts w:ascii="Arial" w:cs="Arial" w:eastAsia="Arial" w:hAnsi="Arial"/>
          <w:sz w:val="24"/>
          <w:szCs w:val="24"/>
        </w:rPr>
        <w:t xml:space="preserve">Evidence-based categorization of gene perturbation as disease-modifying, symptomatic-only, or combination therapy</w:t>
      </w:r>
    </w:p>
    <w:p>
      <w:pPr>
        <w:pStyle w:val="ListParagraph"/>
        <w:numPr>
          <w:ilvl w:val="0"/>
          <w:numId w:val="2"/>
        </w:numPr>
        <w:spacing w:after="100" w:line="360"/>
      </w:pPr>
      <w:r>
        <w:rPr>
          <w:rFonts w:ascii="Arial" w:cs="Arial" w:eastAsia="Arial" w:hAnsi="Arial"/>
          <w:b/>
          <w:bCs/>
          <w:sz w:val="24"/>
          <w:szCs w:val="24"/>
        </w:rPr>
        <w:t xml:space="preserve">Risk-Benefit Profile: </w:t>
      </w:r>
      <w:r>
        <w:rPr>
          <w:rFonts w:ascii="Arial" w:cs="Arial" w:eastAsia="Arial" w:hAnsi="Arial"/>
          <w:sz w:val="24"/>
          <w:szCs w:val="24"/>
        </w:rPr>
        <w:t xml:space="preserve">Quantitative and narrative summary of therapy benefit (expected clinical outcome improvement) vs. risks (toxicity, tolerability, off-target effects)</w:t>
      </w:r>
    </w:p>
    <w:p>
      <w:pPr>
        <w:pStyle w:val="ListParagraph"/>
        <w:numPr>
          <w:ilvl w:val="0"/>
          <w:numId w:val="2"/>
        </w:numPr>
        <w:spacing w:after="100" w:line="360"/>
      </w:pPr>
      <w:r>
        <w:rPr>
          <w:rFonts w:ascii="Arial" w:cs="Arial" w:eastAsia="Arial" w:hAnsi="Arial"/>
          <w:b/>
          <w:bCs/>
          <w:sz w:val="24"/>
          <w:szCs w:val="24"/>
        </w:rPr>
        <w:t xml:space="preserve">Regulatory Positioning Recommendation: </w:t>
      </w:r>
      <w:r>
        <w:rPr>
          <w:rFonts w:ascii="Arial" w:cs="Arial" w:eastAsia="Arial" w:hAnsi="Arial"/>
          <w:sz w:val="24"/>
          <w:szCs w:val="24"/>
        </w:rPr>
        <w:t xml:space="preserve">Guidance on disease-modifying vs. symptomatic relief claim defensibility, approval likelihood, and regulatory pathways</w:t>
      </w:r>
    </w:p>
    <w:p>
      <w:pPr>
        <w:pStyle w:val="ListParagraph"/>
        <w:numPr>
          <w:ilvl w:val="0"/>
          <w:numId w:val="2"/>
        </w:numPr>
        <w:spacing w:after="100" w:line="360"/>
      </w:pPr>
      <w:r>
        <w:rPr>
          <w:rFonts w:ascii="Arial" w:cs="Arial" w:eastAsia="Arial" w:hAnsi="Arial"/>
          <w:b/>
          <w:bCs/>
          <w:sz w:val="24"/>
          <w:szCs w:val="24"/>
        </w:rPr>
        <w:t xml:space="preserve">Clinical Trial Outcome Projection: </w:t>
      </w:r>
      <w:r>
        <w:rPr>
          <w:rFonts w:ascii="Arial" w:cs="Arial" w:eastAsia="Arial" w:hAnsi="Arial"/>
          <w:sz w:val="24"/>
          <w:szCs w:val="24"/>
        </w:rPr>
        <w:t xml:space="preserve">Predicted effect sizes, responder rates, biomarker response patterns, and timelines for pivotal clinical trials</w:t>
      </w:r>
    </w:p>
    <w:p>
      <w:pPr>
        <w:pStyle w:val="ListParagraph"/>
        <w:numPr>
          <w:ilvl w:val="0"/>
          <w:numId w:val="2"/>
        </w:numPr>
        <w:spacing w:after="100" w:line="360"/>
      </w:pPr>
      <w:r>
        <w:rPr>
          <w:rFonts w:ascii="Arial" w:cs="Arial" w:eastAsia="Arial" w:hAnsi="Arial"/>
          <w:b/>
          <w:bCs/>
          <w:sz w:val="24"/>
          <w:szCs w:val="24"/>
        </w:rPr>
        <w:t xml:space="preserve">Patient Stratification Strategy: </w:t>
      </w:r>
      <w:r>
        <w:rPr>
          <w:rFonts w:ascii="Arial" w:cs="Arial" w:eastAsia="Arial" w:hAnsi="Arial"/>
          <w:sz w:val="24"/>
          <w:szCs w:val="24"/>
        </w:rPr>
        <w:t xml:space="preserve">Biomarker or genetic factors defining likely responders vs. non-responders for precision medicine application</w:t>
      </w:r>
    </w:p>
    <w:p>
      <w:pPr>
        <w:pStyle w:val="ListParagraph"/>
        <w:numPr>
          <w:ilvl w:val="0"/>
          <w:numId w:val="2"/>
        </w:numPr>
        <w:spacing w:after="100" w:line="360"/>
      </w:pPr>
      <w:r>
        <w:rPr>
          <w:rFonts w:ascii="Arial" w:cs="Arial" w:eastAsia="Arial" w:hAnsi="Arial"/>
          <w:b/>
          <w:bCs/>
          <w:sz w:val="24"/>
          <w:szCs w:val="24"/>
        </w:rPr>
        <w:t xml:space="preserve">Development Roadmap and Go/No-Go Criteria: </w:t>
      </w:r>
      <w:r>
        <w:rPr>
          <w:rFonts w:ascii="Arial" w:cs="Arial" w:eastAsia="Arial" w:hAnsi="Arial"/>
          <w:sz w:val="24"/>
          <w:szCs w:val="24"/>
        </w:rPr>
        <w:t xml:space="preserve">Key milestones, data requirements, and decision points for advancing therapy with disease-modification evidence support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Summary reports as Markdown or PDF, regulatory positioning as structured JSON, trial projections as data tables and plots, roadmap as timeline diagram.</w:t>
      </w:r>
    </w:p>
    <w:p>
      <w:pPr>
        <w:pStyle w:val="Heading2"/>
        <w:spacing w:after="200" w:line="360"/>
      </w:pPr>
      <w:r>
        <w:rPr>
          <w:rFonts w:ascii="Arial" w:cs="Arial" w:eastAsia="Arial" w:hAnsi="Arial"/>
          <w:b w:val="false"/>
          <w:bCs w:val="false"/>
          <w:sz w:val="56"/>
          <w:szCs w:val="56"/>
        </w:rPr>
        <w:t xml:space="preserve">Tools &amp; Technologies Summary</w:t>
      </w:r>
    </w:p>
    <w:p>
      <w:pPr>
        <w:pStyle w:val="ListParagraph"/>
        <w:numPr>
          <w:ilvl w:val="0"/>
          <w:numId w:val="2"/>
        </w:numPr>
        <w:spacing w:after="100" w:line="360"/>
      </w:pPr>
      <w:r>
        <w:rPr>
          <w:rFonts w:ascii="Arial" w:cs="Arial" w:eastAsia="Arial" w:hAnsi="Arial"/>
          <w:b/>
          <w:bCs/>
          <w:sz w:val="24"/>
          <w:szCs w:val="24"/>
        </w:rPr>
        <w:t xml:space="preserve">Quiver CRISPR EP Atlas: </w:t>
      </w:r>
      <w:r>
        <w:rPr>
          <w:rFonts w:ascii="Arial" w:cs="Arial" w:eastAsia="Arial" w:hAnsi="Arial"/>
          <w:sz w:val="24"/>
          <w:szCs w:val="24"/>
        </w:rPr>
        <w:t xml:space="preserve">Central resource for CRISPR perturbations of ~18,000 genes with electrophysiology and multi-omics phenotyping across disease models and controls.</w:t>
      </w:r>
    </w:p>
    <w:p>
      <w:pPr>
        <w:pStyle w:val="ListParagraph"/>
        <w:numPr>
          <w:ilvl w:val="0"/>
          <w:numId w:val="2"/>
        </w:numPr>
        <w:spacing w:after="100" w:line="360"/>
      </w:pPr>
      <w:r>
        <w:rPr>
          <w:rFonts w:ascii="Arial" w:cs="Arial" w:eastAsia="Arial" w:hAnsi="Arial"/>
          <w:b/>
          <w:bCs/>
          <w:sz w:val="24"/>
          <w:szCs w:val="24"/>
        </w:rPr>
        <w:t xml:space="preserve">Disease Model and Neuron Platforms: </w:t>
      </w:r>
      <w:r>
        <w:rPr>
          <w:rFonts w:ascii="Arial" w:cs="Arial" w:eastAsia="Arial" w:hAnsi="Arial"/>
          <w:sz w:val="24"/>
          <w:szCs w:val="24"/>
        </w:rPr>
        <w:t xml:space="preserve">iPSC-derived neurons, patient-derived samples, engineered disease-relevant cell lines for relevant therapeutic target evaluation.</w:t>
      </w:r>
    </w:p>
    <w:p>
      <w:pPr>
        <w:pStyle w:val="ListParagraph"/>
        <w:numPr>
          <w:ilvl w:val="0"/>
          <w:numId w:val="2"/>
        </w:numPr>
        <w:spacing w:after="100" w:line="360"/>
      </w:pPr>
      <w:r>
        <w:rPr>
          <w:rFonts w:ascii="Arial" w:cs="Arial" w:eastAsia="Arial" w:hAnsi="Arial"/>
          <w:b/>
          <w:bCs/>
          <w:sz w:val="24"/>
          <w:szCs w:val="24"/>
        </w:rPr>
        <w:t xml:space="preserve">Multi-Omics Integration Workflows: </w:t>
      </w:r>
      <w:r>
        <w:rPr>
          <w:rFonts w:ascii="Arial" w:cs="Arial" w:eastAsia="Arial" w:hAnsi="Arial"/>
          <w:sz w:val="24"/>
          <w:szCs w:val="24"/>
        </w:rPr>
        <w:t xml:space="preserve">Unified analysis pipelines combining transcriptomics, proteomics, phosphoproteomics, metabolomics, and epigenomics for comprehensive molecular characterization.</w:t>
      </w:r>
    </w:p>
    <w:p>
      <w:pPr>
        <w:pStyle w:val="ListParagraph"/>
        <w:numPr>
          <w:ilvl w:val="0"/>
          <w:numId w:val="2"/>
        </w:numPr>
        <w:spacing w:after="100" w:line="360"/>
      </w:pPr>
      <w:r>
        <w:rPr>
          <w:rFonts w:ascii="Arial" w:cs="Arial" w:eastAsia="Arial" w:hAnsi="Arial"/>
          <w:b/>
          <w:bCs/>
          <w:sz w:val="24"/>
          <w:szCs w:val="24"/>
        </w:rPr>
        <w:t xml:space="preserve">Pathway Activity Inference Tools: </w:t>
      </w:r>
      <w:r>
        <w:rPr>
          <w:rFonts w:ascii="Arial" w:cs="Arial" w:eastAsia="Arial" w:hAnsi="Arial"/>
          <w:sz w:val="24"/>
          <w:szCs w:val="24"/>
        </w:rPr>
        <w:t xml:space="preserve">Computational methods scoring disease-driving and compensatory pathway activity from multi-omics data.</w:t>
      </w:r>
    </w:p>
    <w:p>
      <w:pPr>
        <w:pStyle w:val="ListParagraph"/>
        <w:numPr>
          <w:ilvl w:val="0"/>
          <w:numId w:val="2"/>
        </w:numPr>
        <w:spacing w:after="100" w:line="360"/>
      </w:pPr>
      <w:r>
        <w:rPr>
          <w:rFonts w:ascii="Arial" w:cs="Arial" w:eastAsia="Arial" w:hAnsi="Arial"/>
          <w:b/>
          <w:bCs/>
          <w:sz w:val="24"/>
          <w:szCs w:val="24"/>
        </w:rPr>
        <w:t xml:space="preserve">Dose-Response and Kinetics Modeling: </w:t>
      </w:r>
      <w:r>
        <w:rPr>
          <w:rFonts w:ascii="Arial" w:cs="Arial" w:eastAsia="Arial" w:hAnsi="Arial"/>
          <w:sz w:val="24"/>
          <w:szCs w:val="24"/>
        </w:rPr>
        <w:t xml:space="preserve">Non-linear regression and mechanistic modeling for dose-response curves, temporal dynamics, and reversibility analysis.</w:t>
      </w:r>
    </w:p>
    <w:p>
      <w:pPr>
        <w:pStyle w:val="ListParagraph"/>
        <w:numPr>
          <w:ilvl w:val="0"/>
          <w:numId w:val="2"/>
        </w:numPr>
        <w:spacing w:after="100" w:line="360"/>
      </w:pPr>
      <w:r>
        <w:rPr>
          <w:rFonts w:ascii="Arial" w:cs="Arial" w:eastAsia="Arial" w:hAnsi="Arial"/>
          <w:b/>
          <w:bCs/>
          <w:sz w:val="24"/>
          <w:szCs w:val="24"/>
        </w:rPr>
        <w:t xml:space="preserve">Temporal Phenotype Tracking: </w:t>
      </w:r>
      <w:r>
        <w:rPr>
          <w:rFonts w:ascii="Arial" w:cs="Arial" w:eastAsia="Arial" w:hAnsi="Arial"/>
          <w:sz w:val="24"/>
          <w:szCs w:val="24"/>
        </w:rPr>
        <w:t xml:space="preserve">Automated longitudinal measurement and kinetic profiling of disease signatures over days to weeks.</w:t>
      </w:r>
    </w:p>
    <w:p>
      <w:pPr>
        <w:pStyle w:val="ListParagraph"/>
        <w:numPr>
          <w:ilvl w:val="0"/>
          <w:numId w:val="2"/>
        </w:numPr>
        <w:spacing w:after="100" w:line="360"/>
      </w:pPr>
      <w:r>
        <w:rPr>
          <w:rFonts w:ascii="Arial" w:cs="Arial" w:eastAsia="Arial" w:hAnsi="Arial"/>
          <w:b/>
          <w:bCs/>
          <w:sz w:val="24"/>
          <w:szCs w:val="24"/>
        </w:rPr>
        <w:t xml:space="preserve">Cellular Toxicity and Safety Assessment: </w:t>
      </w:r>
      <w:r>
        <w:rPr>
          <w:rFonts w:ascii="Arial" w:cs="Arial" w:eastAsia="Arial" w:hAnsi="Arial"/>
          <w:sz w:val="24"/>
          <w:szCs w:val="24"/>
        </w:rPr>
        <w:t xml:space="preserve">Viability assays, apoptosis markers, mitochondrial function, proteostasis reporters, and organellar health monitoring.</w:t>
      </w:r>
    </w:p>
    <w:p>
      <w:pPr>
        <w:pStyle w:val="ListParagraph"/>
        <w:numPr>
          <w:ilvl w:val="0"/>
          <w:numId w:val="2"/>
        </w:numPr>
        <w:spacing w:after="100" w:line="360"/>
      </w:pPr>
      <w:r>
        <w:rPr>
          <w:rFonts w:ascii="Arial" w:cs="Arial" w:eastAsia="Arial" w:hAnsi="Arial"/>
          <w:b/>
          <w:bCs/>
          <w:sz w:val="24"/>
          <w:szCs w:val="24"/>
        </w:rPr>
        <w:t xml:space="preserve">Biomarker Discovery and Validation: </w:t>
      </w:r>
      <w:r>
        <w:rPr>
          <w:rFonts w:ascii="Arial" w:cs="Arial" w:eastAsia="Arial" w:hAnsi="Arial"/>
          <w:sz w:val="24"/>
          <w:szCs w:val="24"/>
        </w:rPr>
        <w:t xml:space="preserve">High-throughput screening and statistical validation of mechanistic biomarkers with clinical correlation.</w:t>
      </w:r>
    </w:p>
    <w:p>
      <w:pPr>
        <w:pStyle w:val="ListParagraph"/>
        <w:numPr>
          <w:ilvl w:val="0"/>
          <w:numId w:val="2"/>
        </w:numPr>
        <w:spacing w:after="100" w:line="360"/>
      </w:pPr>
      <w:r>
        <w:rPr>
          <w:rFonts w:ascii="Arial" w:cs="Arial" w:eastAsia="Arial" w:hAnsi="Arial"/>
          <w:b/>
          <w:bCs/>
          <w:sz w:val="24"/>
          <w:szCs w:val="24"/>
        </w:rPr>
        <w:t xml:space="preserve">Primary vs. Secondary Phenotype Classifiers: </w:t>
      </w:r>
      <w:r>
        <w:rPr>
          <w:rFonts w:ascii="Arial" w:cs="Arial" w:eastAsia="Arial" w:hAnsi="Arial"/>
          <w:sz w:val="24"/>
          <w:szCs w:val="24"/>
        </w:rPr>
        <w:t xml:space="preserve">Machine learning and knowledge-based approaches distinguishing disease-driving lesions from secondary consequences.</w:t>
      </w:r>
    </w:p>
    <w:p>
      <w:pPr>
        <w:pStyle w:val="ListParagraph"/>
        <w:numPr>
          <w:ilvl w:val="0"/>
          <w:numId w:val="2"/>
        </w:numPr>
        <w:spacing w:after="100" w:line="360"/>
      </w:pPr>
      <w:r>
        <w:rPr>
          <w:rFonts w:ascii="Arial" w:cs="Arial" w:eastAsia="Arial" w:hAnsi="Arial"/>
          <w:b/>
          <w:bCs/>
          <w:sz w:val="24"/>
          <w:szCs w:val="24"/>
        </w:rPr>
        <w:t xml:space="preserve">Clinical Data Integration: </w:t>
      </w:r>
      <w:r>
        <w:rPr>
          <w:rFonts w:ascii="Arial" w:cs="Arial" w:eastAsia="Arial" w:hAnsi="Arial"/>
          <w:sz w:val="24"/>
          <w:szCs w:val="24"/>
        </w:rPr>
        <w:t xml:space="preserve">Patient samples, cerebrospinal fluid, blood biomarkers, and imaging data for bridging in vitro findings to clinical outcomes.</w:t>
      </w:r>
    </w:p>
    <w:p>
      <w:pPr>
        <w:pStyle w:val="ListParagraph"/>
        <w:numPr>
          <w:ilvl w:val="0"/>
          <w:numId w:val="2"/>
        </w:numPr>
        <w:spacing w:after="100" w:line="360"/>
      </w:pPr>
      <w:r>
        <w:rPr>
          <w:rFonts w:ascii="Arial" w:cs="Arial" w:eastAsia="Arial" w:hAnsi="Arial"/>
          <w:b/>
          <w:bCs/>
          <w:sz w:val="24"/>
          <w:szCs w:val="24"/>
        </w:rPr>
        <w:t xml:space="preserve">Risk-Benefit Quantification: </w:t>
      </w:r>
      <w:r>
        <w:rPr>
          <w:rFonts w:ascii="Arial" w:cs="Arial" w:eastAsia="Arial" w:hAnsi="Arial"/>
          <w:sz w:val="24"/>
          <w:szCs w:val="24"/>
        </w:rPr>
        <w:t xml:space="preserve">Probabilistic and decision-analytic frameworks for assessing therapeutic benefit vs. risk trade-offs.</w:t>
      </w:r>
    </w:p>
    <w:p>
      <w:pPr>
        <w:pStyle w:val="ListParagraph"/>
        <w:numPr>
          <w:ilvl w:val="0"/>
          <w:numId w:val="2"/>
        </w:numPr>
        <w:spacing w:after="100" w:line="360"/>
      </w:pPr>
      <w:r>
        <w:rPr>
          <w:rFonts w:ascii="Arial" w:cs="Arial" w:eastAsia="Arial" w:hAnsi="Arial"/>
          <w:b/>
          <w:bCs/>
          <w:sz w:val="24"/>
          <w:szCs w:val="24"/>
        </w:rPr>
        <w:t xml:space="preserve">Regulatory Strategy Modeling: </w:t>
      </w:r>
      <w:r>
        <w:rPr>
          <w:rFonts w:ascii="Arial" w:cs="Arial" w:eastAsia="Arial" w:hAnsi="Arial"/>
          <w:sz w:val="24"/>
          <w:szCs w:val="24"/>
        </w:rPr>
        <w:t xml:space="preserve">Assessment tools for disease-modifying vs. symptomatic relief claim defensibility and approval likelihood.</w:t>
      </w:r>
    </w:p>
    <w:p>
      <w:pPr>
        <w:pStyle w:val="ListParagraph"/>
        <w:numPr>
          <w:ilvl w:val="0"/>
          <w:numId w:val="2"/>
        </w:numPr>
        <w:spacing w:after="100" w:line="360"/>
      </w:pPr>
      <w:r>
        <w:rPr>
          <w:rFonts w:ascii="Arial" w:cs="Arial" w:eastAsia="Arial" w:hAnsi="Arial"/>
          <w:b/>
          <w:bCs/>
          <w:sz w:val="24"/>
          <w:szCs w:val="24"/>
        </w:rPr>
        <w:t xml:space="preserve">Clinical Trial Outcome Prediction: </w:t>
      </w:r>
      <w:r>
        <w:rPr>
          <w:rFonts w:ascii="Arial" w:cs="Arial" w:eastAsia="Arial" w:hAnsi="Arial"/>
          <w:sz w:val="24"/>
          <w:szCs w:val="24"/>
        </w:rPr>
        <w:t xml:space="preserve">Statistical models projecting effect sizes, responder rates, timelines, and biomarker response patterns.</w:t>
      </w:r>
    </w:p>
    <w:p>
      <w:pPr>
        <w:pStyle w:val="ListParagraph"/>
        <w:numPr>
          <w:ilvl w:val="0"/>
          <w:numId w:val="2"/>
        </w:numPr>
        <w:spacing w:after="100" w:line="360"/>
      </w:pPr>
      <w:r>
        <w:rPr>
          <w:rFonts w:ascii="Arial" w:cs="Arial" w:eastAsia="Arial" w:hAnsi="Arial"/>
          <w:b/>
          <w:bCs/>
          <w:sz w:val="24"/>
          <w:szCs w:val="24"/>
        </w:rPr>
        <w:t xml:space="preserve">Patient Stratification Analytics: </w:t>
      </w:r>
      <w:r>
        <w:rPr>
          <w:rFonts w:ascii="Arial" w:cs="Arial" w:eastAsia="Arial" w:hAnsi="Arial"/>
          <w:sz w:val="24"/>
          <w:szCs w:val="24"/>
        </w:rPr>
        <w:t xml:space="preserve">Predictive models identifying genetic, demographic, and biomarker factors predicting therapy response.</w:t>
      </w:r>
    </w:p>
    <w:p>
      <w:pPr>
        <w:pStyle w:val="ListParagraph"/>
        <w:numPr>
          <w:ilvl w:val="0"/>
          <w:numId w:val="2"/>
        </w:numPr>
        <w:spacing w:after="100" w:line="360"/>
      </w:pPr>
      <w:r>
        <w:rPr>
          <w:rFonts w:ascii="Arial" w:cs="Arial" w:eastAsia="Arial" w:hAnsi="Arial"/>
          <w:b/>
          <w:bCs/>
          <w:sz w:val="24"/>
          <w:szCs w:val="24"/>
        </w:rPr>
        <w:t xml:space="preserve">Reporting and Visualization Suite: </w:t>
      </w:r>
      <w:r>
        <w:rPr>
          <w:rFonts w:ascii="Arial" w:cs="Arial" w:eastAsia="Arial" w:hAnsi="Arial"/>
          <w:sz w:val="24"/>
          <w:szCs w:val="24"/>
        </w:rPr>
        <w:t xml:space="preserve">Comprehensive dashboards, regulatory-ready summary tables, and executive-level communications for stakeholder alignment.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2026-02-27T19:50:06.100Z</dcterms:created>
  <dcterms:modified xsi:type="dcterms:W3CDTF">2026-02-27T19:50:06.100Z</dcterms:modified>
</cp:coreProperties>
</file>

<file path=docProps/custom.xml><?xml version="1.0" encoding="utf-8"?>
<Properties xmlns="http://schemas.openxmlformats.org/officeDocument/2006/custom-properties" xmlns:vt="http://schemas.openxmlformats.org/officeDocument/2006/docPropsVTypes"/>
</file>