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083: Network Synchrony Optimization</w:t>
      </w:r>
    </w:p>
    <w:p/>
    <w:p>
      <w:pPr>
        <w:pStyle w:val="Heading2"/>
      </w:pPr>
      <w:r>
        <w:rPr>
          <w:b/>
          <w:sz w:val="56"/>
        </w:rPr>
        <w:t>Core Research Question</w:t>
      </w:r>
    </w:p>
    <w:p>
      <w:r>
        <w:rPr>
          <w:rFonts w:ascii="Arial" w:hAnsi="Arial"/>
          <w:sz w:val="48"/>
        </w:rPr>
        <w:t>Rank perturbations that stabilize network synchrony without suppressing firing frequency.</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