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084: Synaptic Assay-Specific Phenotype Reversal</w:t>
      </w:r>
    </w:p>
    <w:p/>
    <w:p>
      <w:pPr>
        <w:pStyle w:val="Heading2"/>
      </w:pPr>
      <w:r>
        <w:rPr>
          <w:b/>
          <w:sz w:val="56"/>
        </w:rPr>
        <w:t>Core Research Question</w:t>
      </w:r>
    </w:p>
    <w:p>
      <w:r>
        <w:rPr>
          <w:rFonts w:ascii="Arial" w:hAnsi="Arial"/>
          <w:sz w:val="48"/>
        </w:rPr>
        <w:t>Which CRISPR hits produce phenotype reversal only under synaptic assay, not intrinsic excitability assay?</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