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t xml:space="preserve">Pipeline 086: Strong Quiver Phenotype, No GWAS Support - Novel Opportunities</w:t>
      </w:r>
    </w:p>
    <w:p>
      <w:pPr>
        <w:spacing w:after="120" w:line="360"/>
        <w:jc w:val="left"/>
      </w:pPr>
      <w:r>
        <w:rPr>
          <w:rFonts w:ascii="Arial" w:cs="Arial" w:eastAsia="Arial" w:hAnsi="Arial"/>
          <w:b/>
          <w:bCs/>
          <w:sz w:val="48"/>
          <w:szCs w:val="48"/>
        </w:rPr>
        <w:t xml:space="preserve">Pipeline Overview:</w:t>
      </w:r>
      <w:r>
        <w:rPr>
          <w:rFonts w:ascii="Arial" w:cs="Arial" w:eastAsia="Arial" w:hAnsi="Arial"/>
          <w:sz w:val="48"/>
          <w:szCs w:val="48"/>
        </w:rPr>
        <w:t xml:space="preserve"> This document describes a comprehensive analytical workflow for the Quiver Bioscience Sapphire AI drug discovery platform. The Sapphire platform enables systematic functional genomics analysis through a large-scale CRISPR gene perturbation screen of ~18,000 genes with electrophysiology (EP) phenotyping in human cortical neurons, integrated with genetics-first approaches to identify and validate therapeutic targets.</w:t>
      </w:r>
    </w:p>
    <w:p>
      <w:pPr>
        <w:spacing w:after="120" w:line="360"/>
        <w:jc w:val="left"/>
      </w:pPr>
      <w:r>
        <w:rPr>
          <w:rFonts w:ascii="Arial" w:cs="Arial" w:eastAsia="Arial" w:hAnsi="Arial"/>
          <w:b/>
          <w:bCs/>
          <w:sz w:val="48"/>
          <w:szCs w:val="48"/>
        </w:rPr>
        <w:t xml:space="preserve">Core Innovation:</w:t>
      </w:r>
      <w:r>
        <w:rPr>
          <w:rFonts w:ascii="Arial" w:cs="Arial" w:eastAsia="Arial" w:hAnsi="Arial"/>
          <w:sz w:val="48"/>
          <w:szCs w:val="48"/>
        </w:rPr>
        <w:t xml:space="preserve"> The Sapphire platform uniquely combines function-first phenotypic discovery from unbiased CRISPR screens with genetics-first validation through GWAS integration and clinical genomics. This bidirectional discovery model enables identification of novel targets missed by traditional genetics-only approaches while simultaneously validating genetically-supported targets through functional evidence.</w:t>
      </w:r>
    </w:p>
    <w:p>
      <w:pPr>
        <w:spacing w:after="120" w:line="360"/>
        <w:jc w:val="left"/>
      </w:pPr>
      <w:r>
        <w:rPr>
          <w:rFonts w:ascii="Arial" w:cs="Arial" w:eastAsia="Arial" w:hAnsi="Arial"/>
          <w:b/>
          <w:bCs/>
          <w:sz w:val="48"/>
          <w:szCs w:val="48"/>
        </w:rPr>
        <w:t xml:space="preserve">Pipeline Prompt:</w:t>
      </w:r>
      <w:r>
        <w:rPr>
          <w:rFonts w:ascii="Arial" w:cs="Arial" w:eastAsia="Arial" w:hAnsi="Arial"/>
          <w:sz w:val="48"/>
          <w:szCs w:val="48"/>
        </w:rPr>
        <w:t xml:space="preserve"> Identify genes with strong Quiver phenotype but no GWAS support — are these novel opportunities?</w:t>
      </w:r>
    </w:p>
    <w:p>
      <w:pPr>
        <w:spacing w:after="120" w:line="360"/>
        <w:jc w:val="left"/>
      </w:pPr>
      <w:r>
        <w:rPr>
          <w:rFonts w:ascii="Arial" w:cs="Arial" w:eastAsia="Arial" w:hAnsi="Arial"/>
          <w:b/>
          <w:bCs/>
          <w:sz w:val="48"/>
          <w:szCs w:val="48"/>
        </w:rPr>
        <w:t xml:space="preserve">Analytical Scope:</w:t>
      </w:r>
      <w:r>
        <w:rPr>
          <w:rFonts w:ascii="Arial" w:cs="Arial" w:eastAsia="Arial" w:hAnsi="Arial"/>
          <w:sz w:val="48"/>
          <w:szCs w:val="48"/>
        </w:rPr>
        <w:t xml:space="preserve"> Covers function-first target discovery by identifying genes with robust electrophysiology phenotypes in Quiver's CRISPR screen but no GWAS association, evaluating whether these represent genuinely novel therapeutic opportunities missed by genetics-first approaches, or whether the lack of genetic evidence reflects limitations of GWAS methodology. This pipeline leverages the full depth of Quiver's electrophysiology data to bridge computational genomics with translational neurobiology, enabling data-driven prioritization of targets for mechanistic validation and therapeutic development.</w:t>
      </w:r>
    </w:p>
    <w:p>
      <w:pPr>
        <w:spacing w:after="120" w:line="360"/>
        <w:jc w:val="left"/>
      </w:pPr>
      <w:r>
        <w:rPr>
          <w:rFonts w:ascii="Arial" w:cs="Arial" w:eastAsia="Arial" w:hAnsi="Arial"/>
          <w:b/>
          <w:bCs/>
          <w:sz w:val="48"/>
          <w:szCs w:val="48"/>
        </w:rPr>
        <w:t xml:space="preserve">Data Integration:</w:t>
      </w:r>
      <w:r>
        <w:rPr>
          <w:rFonts w:ascii="Arial" w:cs="Arial" w:eastAsia="Arial" w:hAnsi="Arial"/>
          <w:sz w:val="48"/>
          <w:szCs w:val="48"/>
        </w:rPr>
        <w:t xml:space="preserve"> Throughout this pipeline, multiple data modalities are integrated: Quiver's CRISPR-EP phenotypes, GWAS summary statistics, ClinVar clinical annotations, pathway databases, and human cortical neuron validation cohorts. Integration strategies emphasize cross-validation and evidence triangulation to maximize confidence in identified targets.</w:t>
      </w:r>
    </w:p>
    <w:p>
      <w:pPr>
        <w:spacing w:after="120" w:line="360"/>
        <w:jc w:val="left"/>
      </w:pPr>
      <w:r>
        <w:rPr>
          <w:rFonts w:ascii="Arial" w:cs="Arial" w:eastAsia="Arial" w:hAnsi="Arial"/>
          <w:b/>
          <w:bCs/>
          <w:sz w:val="48"/>
          <w:szCs w:val="48"/>
        </w:rPr>
        <w:t xml:space="preserve">Expected Value:</w:t>
      </w:r>
      <w:r>
        <w:rPr>
          <w:rFonts w:ascii="Arial" w:cs="Arial" w:eastAsia="Arial" w:hAnsi="Arial"/>
          <w:sz w:val="48"/>
          <w:szCs w:val="48"/>
        </w:rPr>
        <w:t xml:space="preserve"> Successful execution of this pipeline generates a curated set of high-confidence therapeutic targets with complementary evidence from functional genomics, human genetics, and clinical genetics. These targets advance toward preclinical validation studies with substantially de-risked translational potential.</w:t>
      </w:r>
    </w:p>
    <w:p>
      <w:pPr>
        <w:pStyle w:val="Heading2"/>
        <w:spacing w:after="200" w:before="200" w:line="360"/>
      </w:pPr>
      <w:r>
        <w:t xml:space="preserve">Stage 1: Data Integration &amp; Preprocessing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data integration &amp; preprocessing,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2: Phenotypic Characterization &amp; Embedding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phenotypic characterization &amp; embedding,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3: Target Discovery &amp; Filtering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target discovery &amp; filtering,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4: Cross-Validation &amp; Evidence Integration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cross-validation &amp; evidence integration,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5: Mechanistic Modeling &amp; Prediction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mechanistic modeling &amp; prediction,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6: Prioritization &amp; Output Generation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prioritization &amp; output generation,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1"/>
        <w:spacing w:after="200" w:before="200" w:line="360"/>
      </w:pPr>
      <w:r>
        <w:t xml:space="preserve">Pipeline Tools &amp; Platforms Summary</w:t>
      </w:r>
    </w:p>
    <w:p>
      <w:pPr>
        <w:spacing w:after="120" w:line="360"/>
        <w:jc w:val="left"/>
      </w:pPr>
      <w:r>
        <w:rPr>
          <w:rFonts w:ascii="Arial" w:cs="Arial" w:eastAsia="Arial" w:hAnsi="Arial"/>
          <w:b/>
          <w:bCs/>
          <w:sz w:val="48"/>
          <w:szCs w:val="48"/>
        </w:rPr>
        <w:t xml:space="preserve">Bioinformatics Frameworks:</w:t>
      </w:r>
      <w:r>
        <w:rPr>
          <w:rFonts w:ascii="Arial" w:cs="Arial" w:eastAsia="Arial" w:hAnsi="Arial"/>
          <w:sz w:val="48"/>
          <w:szCs w:val="48"/>
        </w:rPr>
        <w:t xml:space="preserve"> This pipeline integrates leading bioinformatics frameworks for genomic and phenotypic data analysis. Python-based ecosystems (scanpy, scikit-learn, pandas) provide core data processing and statistical capabilities, while specialized tools address domain-specific requirements including variant effect prediction, pathway analysis, and clinical genetics integration.</w:t>
      </w:r>
    </w:p>
    <w:p>
      <w:pPr>
        <w:spacing w:after="120" w:line="360"/>
        <w:jc w:val="left"/>
      </w:pPr>
      <w:r>
        <w:rPr>
          <w:rFonts w:ascii="Arial" w:cs="Arial" w:eastAsia="Arial" w:hAnsi="Arial"/>
          <w:b/>
          <w:bCs/>
          <w:sz w:val="48"/>
          <w:szCs w:val="48"/>
        </w:rPr>
        <w:t xml:space="preserve">Gene Expression &amp; Pathway Databases:</w:t>
      </w:r>
      <w:r>
        <w:rPr>
          <w:rFonts w:ascii="Arial" w:cs="Arial" w:eastAsia="Arial" w:hAnsi="Arial"/>
          <w:sz w:val="48"/>
          <w:szCs w:val="48"/>
        </w:rPr>
        <w:t xml:space="preserve"> GWAS Catalog, OpenTargets, Reactome, and KEGG provide comprehensive reference data on genetic associations, therapeutic targets, functional pathways, and pathway-level insights. These resources enable cross-validation of Quiver's functional findings against independent genetic and biological evidence.</w:t>
      </w:r>
    </w:p>
    <w:p>
      <w:pPr>
        <w:spacing w:after="120" w:line="360"/>
        <w:jc w:val="left"/>
      </w:pPr>
      <w:r>
        <w:rPr>
          <w:rFonts w:ascii="Arial" w:cs="Arial" w:eastAsia="Arial" w:hAnsi="Arial"/>
          <w:b/>
          <w:bCs/>
          <w:sz w:val="48"/>
          <w:szCs w:val="48"/>
        </w:rPr>
        <w:t xml:space="preserve">Clinical Genetics Integration:</w:t>
      </w:r>
      <w:r>
        <w:rPr>
          <w:rFonts w:ascii="Arial" w:cs="Arial" w:eastAsia="Arial" w:hAnsi="Arial"/>
          <w:sz w:val="48"/>
          <w:szCs w:val="48"/>
        </w:rPr>
        <w:t xml:space="preserve"> ClinVar API enables systematic integration of clinically annotated variants into the analytical framework. This integration bridges functional genomics (Quiver) with clinical genetics, enabling identification of targets with both functional evidence and clinical genetic support.</w:t>
      </w:r>
    </w:p>
    <w:p>
      <w:pPr>
        <w:spacing w:after="120" w:line="360"/>
        <w:jc w:val="left"/>
      </w:pPr>
      <w:r>
        <w:rPr>
          <w:rFonts w:ascii="Arial" w:cs="Arial" w:eastAsia="Arial" w:hAnsi="Arial"/>
          <w:b/>
          <w:bCs/>
          <w:sz w:val="48"/>
          <w:szCs w:val="48"/>
        </w:rPr>
        <w:t xml:space="preserve">Statistical &amp; Machine Learning Tools:</w:t>
      </w:r>
      <w:r>
        <w:rPr>
          <w:rFonts w:ascii="Arial" w:cs="Arial" w:eastAsia="Arial" w:hAnsi="Arial"/>
          <w:sz w:val="48"/>
          <w:szCs w:val="48"/>
        </w:rPr>
        <w:t xml:space="preserve"> scikit-learn, scipy, and R-based packages provide statistical testing, effect size estimation, and machine learning capabilities including clustering, dimensionality reduction, and predictive modeling. These tools enable robust statistical inference across all analytical stages.</w:t>
      </w:r>
    </w:p>
    <w:p>
      <w:pPr>
        <w:spacing w:after="120" w:line="360"/>
        <w:jc w:val="left"/>
      </w:pPr>
      <w:r>
        <w:rPr>
          <w:rFonts w:ascii="Arial" w:cs="Arial" w:eastAsia="Arial" w:hAnsi="Arial"/>
          <w:b/>
          <w:bCs/>
          <w:sz w:val="48"/>
          <w:szCs w:val="48"/>
        </w:rPr>
        <w:t xml:space="preserve">Visualization &amp; Reporting Frameworks:</w:t>
      </w:r>
      <w:r>
        <w:rPr>
          <w:rFonts w:ascii="Arial" w:cs="Arial" w:eastAsia="Arial" w:hAnsi="Arial"/>
          <w:sz w:val="48"/>
          <w:szCs w:val="48"/>
        </w:rPr>
        <w:t xml:space="preserve"> matplotlib, seaborn, plotly, and R's ggplot2 ecosystem generate publication-quality visualizations including heatmaps, scatter plots, network diagrams, and pathway-level summaries. Custom visualization pipelines ensure consistent aesthetic standards across all outputs.</w:t>
      </w:r>
    </w:p>
    <w:p>
      <w:pPr>
        <w:spacing w:after="120" w:line="360"/>
        <w:jc w:val="left"/>
      </w:pPr>
      <w:r>
        <w:rPr>
          <w:rFonts w:ascii="Arial" w:cs="Arial" w:eastAsia="Arial" w:hAnsi="Arial"/>
          <w:b/>
          <w:bCs/>
          <w:sz w:val="48"/>
          <w:szCs w:val="48"/>
        </w:rPr>
        <w:t xml:space="preserve">Sapphire Custom Pipelines:</w:t>
      </w:r>
      <w:r>
        <w:rPr>
          <w:rFonts w:ascii="Arial" w:cs="Arial" w:eastAsia="Arial" w:hAnsi="Arial"/>
          <w:sz w:val="48"/>
          <w:szCs w:val="48"/>
        </w:rPr>
        <w:t xml:space="preserve"> Purpose-built analytical modules handle Quiver-specific data processing including electrophysiology phenotyping algorithms, embedding computation, and similarity-based clustering. These custom pipelines leverage deep integration with Quiver's data architecture.</w:t>
      </w:r>
    </w:p>
    <w:p>
      <w:pPr>
        <w:spacing w:after="120" w:line="360"/>
        <w:jc w:val="left"/>
      </w:pPr>
      <w:r>
        <w:rPr>
          <w:rFonts w:ascii="Arial" w:cs="Arial" w:eastAsia="Arial" w:hAnsi="Arial"/>
          <w:b/>
          <w:bCs/>
          <w:sz w:val="48"/>
          <w:szCs w:val="48"/>
        </w:rPr>
        <w:t xml:space="preserve">Version Control &amp; Reproducibility:</w:t>
      </w:r>
      <w:r>
        <w:rPr>
          <w:rFonts w:ascii="Arial" w:cs="Arial" w:eastAsia="Arial" w:hAnsi="Arial"/>
          <w:sz w:val="48"/>
          <w:szCs w:val="48"/>
        </w:rPr>
        <w:t xml:space="preserve"> All analytical code, data processing steps, and results are version-controlled and documented to ensure reproducibility. Custom metadata tracking preserves analytical decisions, parameter choices, and evidence provenance throughout the pipeline.</w:t>
      </w:r>
    </w:p>
    <w:p>
      <w:pPr>
        <w:spacing w:after="120" w:line="360"/>
        <w:jc w:val="left"/>
      </w:pPr>
      <w:r>
        <w:rPr>
          <w:rFonts w:ascii="Arial" w:cs="Arial" w:eastAsia="Arial" w:hAnsi="Arial"/>
          <w:b/>
          <w:bCs/>
          <w:sz w:val="48"/>
          <w:szCs w:val="48"/>
        </w:rPr>
        <w:t xml:space="preserve">Validation &amp; QC Pipelines:</w:t>
      </w:r>
      <w:r>
        <w:rPr>
          <w:rFonts w:ascii="Arial" w:cs="Arial" w:eastAsia="Arial" w:hAnsi="Arial"/>
          <w:sz w:val="48"/>
          <w:szCs w:val="48"/>
        </w:rPr>
        <w:t xml:space="preserve"> Automated quality control checks assess data completeness, statistical power, effect size adequacy, and cross-validation consistency at each stage. Failing results trigger detailed diagnostic reports and remediation workflows.</w:t>
      </w:r>
    </w:p>
    <w:p>
      <w:pPr>
        <w:spacing w:after="120" w:line="360"/>
        <w:jc w:val="left"/>
      </w:pPr>
      <w:r>
        <w:rPr>
          <w:rFonts w:ascii="Arial" w:cs="Arial" w:eastAsia="Arial" w:hAnsi="Arial"/>
          <w:b/>
          <w:bCs/>
          <w:sz w:val="48"/>
          <w:szCs w:val="48"/>
        </w:rPr>
        <w:t xml:space="preserve">Advanced Phenotypic Analysis:</w:t>
      </w:r>
      <w:r>
        <w:rPr>
          <w:rFonts w:ascii="Arial" w:cs="Arial" w:eastAsia="Arial" w:hAnsi="Arial"/>
          <w:sz w:val="48"/>
          <w:szCs w:val="48"/>
        </w:rPr>
        <w:t xml:space="preserve"> Custom electrophysiology analysis modules extract biologically meaningful features from raw patch-clamp or voltage-clamp recordings, supporting sophisticated phenotypic characterization beyond simple summary statistics.</w:t>
      </w:r>
    </w:p>
    <w:p>
      <w:pPr>
        <w:spacing w:after="120" w:line="360"/>
        <w:jc w:val="left"/>
      </w:pPr>
      <w:r>
        <w:rPr>
          <w:rFonts w:ascii="Arial" w:cs="Arial" w:eastAsia="Arial" w:hAnsi="Arial"/>
          <w:b/>
          <w:bCs/>
          <w:sz w:val="48"/>
          <w:szCs w:val="48"/>
        </w:rPr>
        <w:t xml:space="preserve">Dose-Response Modeling:</w:t>
      </w:r>
      <w:r>
        <w:rPr>
          <w:rFonts w:ascii="Arial" w:cs="Arial" w:eastAsia="Arial" w:hAnsi="Arial"/>
          <w:sz w:val="48"/>
          <w:szCs w:val="48"/>
        </w:rPr>
        <w:t xml:space="preserve"> Specialized curve-fitting and modeling approaches enable precise quantification of gene dosage effects, supporting prediction of heterozygous carrier phenotypes from homozygous knockdown data.</w:t>
      </w:r>
    </w:p>
    <w:p>
      <w:pPr>
        <w:spacing w:after="120" w:line="360"/>
        <w:jc w:val="left"/>
      </w:pPr>
      <w:r>
        <w:rPr>
          <w:rFonts w:ascii="Arial" w:cs="Arial" w:eastAsia="Arial" w:hAnsi="Arial"/>
          <w:b/>
          <w:bCs/>
          <w:sz w:val="48"/>
          <w:szCs w:val="48"/>
        </w:rPr>
        <w:t xml:space="preserve">Network Analysis Frameworks:</w:t>
      </w:r>
      <w:r>
        <w:rPr>
          <w:rFonts w:ascii="Arial" w:cs="Arial" w:eastAsia="Arial" w:hAnsi="Arial"/>
          <w:sz w:val="48"/>
          <w:szCs w:val="48"/>
        </w:rPr>
        <w:t xml:space="preserve"> igraph, NetworkX, and Cytoscape-compatible formats enable systematic analysis of gene-gene functional relationships, pathway networks, and co-perturbation patterns derived from Quiver's cross-gene analysis.</w:t>
      </w:r>
    </w:p>
    <w:p>
      <w:pPr>
        <w:spacing w:after="120" w:line="360"/>
        <w:jc w:val="left"/>
      </w:pPr>
      <w:r>
        <w:rPr>
          <w:rFonts w:ascii="Arial" w:cs="Arial" w:eastAsia="Arial" w:hAnsi="Arial"/>
          <w:b/>
          <w:bCs/>
          <w:sz w:val="48"/>
          <w:szCs w:val="48"/>
        </w:rPr>
        <w:t xml:space="preserve">Temporal Integration:</w:t>
      </w:r>
      <w:r>
        <w:rPr>
          <w:rFonts w:ascii="Arial" w:cs="Arial" w:eastAsia="Arial" w:hAnsi="Arial"/>
          <w:sz w:val="48"/>
          <w:szCs w:val="48"/>
        </w:rPr>
        <w:t xml:space="preserve"> For longitudinal or developmental data, specialized analysis modules track phenotypic evolution, identify critical developmental windows, and characterize temporal phenotypic relationships.</w:t>
      </w:r>
    </w:p>
    <w:p>
      <w:pPr>
        <w:spacing w:after="120" w:line="360"/>
        <w:jc w:val="left"/>
      </w:pPr>
      <w:r>
        <w:rPr>
          <w:rFonts w:ascii="Arial" w:cs="Arial" w:eastAsia="Arial" w:hAnsi="Arial"/>
          <w:b/>
          <w:bCs/>
          <w:sz w:val="48"/>
          <w:szCs w:val="48"/>
        </w:rPr>
        <w:t xml:space="preserve">Multi-Modal Integration:</w:t>
      </w:r>
      <w:r>
        <w:rPr>
          <w:rFonts w:ascii="Arial" w:cs="Arial" w:eastAsia="Arial" w:hAnsi="Arial"/>
          <w:sz w:val="48"/>
          <w:szCs w:val="48"/>
        </w:rPr>
        <w:t xml:space="preserve"> Custom frameworks harmonize heterogeneous data types (CRISPR-EP, GWAS, ClinVar, structural variants, expression data) into unified analytical representations supporting integrated analysis and cross-evidence validation.</w:t>
      </w:r>
    </w:p>
    <w:p>
      <w:pPr>
        <w:spacing w:after="120" w:line="360"/>
        <w:jc w:val="left"/>
      </w:pPr>
      <w:r>
        <w:rPr>
          <w:rFonts w:ascii="Arial" w:cs="Arial" w:eastAsia="Arial" w:hAnsi="Arial"/>
          <w:b/>
          <w:bCs/>
          <w:sz w:val="48"/>
          <w:szCs w:val="48"/>
        </w:rPr>
        <w:t xml:space="preserve">Interpretation &amp; Prioritization Engines:</w:t>
      </w:r>
      <w:r>
        <w:rPr>
          <w:rFonts w:ascii="Arial" w:cs="Arial" w:eastAsia="Arial" w:hAnsi="Arial"/>
          <w:sz w:val="48"/>
          <w:szCs w:val="48"/>
        </w:rPr>
        <w:t xml:space="preserve"> Automated systems integrate multiple scoring rubrics (phenotypic strength, genetic evidence, clinical relevance, pathway position, target tractability) into unified prioritization frameworks supporting transparent candidate ranking.</w:t>
      </w:r>
    </w:p>
    <w:p>
      <w:pPr>
        <w:spacing w:after="120" w:line="360"/>
        <w:jc w:val="left"/>
      </w:pPr>
      <w:r>
        <w:rPr>
          <w:rFonts w:ascii="Arial" w:cs="Arial" w:eastAsia="Arial" w:hAnsi="Arial"/>
          <w:b/>
          <w:bCs/>
          <w:sz w:val="48"/>
          <w:szCs w:val="48"/>
        </w:rPr>
        <w:t xml:space="preserve">Documentation &amp; Stakeholder Reporting:</w:t>
      </w:r>
      <w:r>
        <w:rPr>
          <w:rFonts w:ascii="Arial" w:cs="Arial" w:eastAsia="Arial" w:hAnsi="Arial"/>
          <w:sz w:val="48"/>
          <w:szCs w:val="48"/>
        </w:rPr>
        <w:t xml:space="preserve"> Automated report generation produces publication-quality summaries, candidate dossiers, and executive briefings. Interactive dashboards enable stakeholder exploration of results with customizable filtering and drilling options.</w:t>
      </w:r>
    </w:p>
    <w:p>
      <w:pPr>
        <w:spacing w:after="120" w:line="360"/>
        <w:jc w:val="left"/>
      </w:pPr>
      <w:r>
        <w:rPr>
          <w:rFonts w:ascii="Arial" w:cs="Arial" w:eastAsia="Arial" w:hAnsi="Arial"/>
          <w:b/>
          <w:bCs/>
          <w:sz w:val="48"/>
          <w:szCs w:val="48"/>
        </w:rPr>
        <w:t xml:space="preserve">Continuous Improvement:</w:t>
      </w:r>
      <w:r>
        <w:rPr>
          <w:rFonts w:ascii="Arial" w:cs="Arial" w:eastAsia="Arial" w:hAnsi="Arial"/>
          <w:sz w:val="48"/>
          <w:szCs w:val="48"/>
        </w:rPr>
        <w:t xml:space="preserve"> Machine learning approaches identify systematic biases, optimize analytical parameters, and generate actionable insights for pipeline refinement. Feedback from experimental validation studies directly informs algorithmic improvements.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2026-02-27T19:56:14.678Z</dcterms:created>
  <dcterms:modified xsi:type="dcterms:W3CDTF">2026-02-27T19:56:14.678Z</dcterms:modified>
</cp:coreProperties>
</file>

<file path=docProps/custom.xml><?xml version="1.0" encoding="utf-8"?>
<Properties xmlns="http://schemas.openxmlformats.org/officeDocument/2006/custom-properties" xmlns:vt="http://schemas.openxmlformats.org/officeDocument/2006/docPropsVTypes"/>
</file>