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t xml:space="preserve">Pipeline 088: Common Functional Embedding - Gene Clusters Across Pathways</w:t>
      </w:r>
    </w:p>
    <w:p>
      <w:pPr>
        <w:spacing w:after="120" w:line="360"/>
        <w:jc w:val="left"/>
      </w:pPr>
      <w:r>
        <w:rPr>
          <w:rFonts w:ascii="Arial" w:cs="Arial" w:eastAsia="Arial" w:hAnsi="Arial"/>
          <w:b/>
          <w:bCs/>
          <w:sz w:val="48"/>
          <w:szCs w:val="48"/>
        </w:rPr>
        <w:t xml:space="preserve">Pipeline Overview:</w:t>
      </w:r>
      <w:r>
        <w:rPr>
          <w:rFonts w:ascii="Arial" w:cs="Arial" w:eastAsia="Arial" w:hAnsi="Arial"/>
          <w:sz w:val="48"/>
          <w:szCs w:val="48"/>
        </w:rPr>
        <w:t xml:space="preserve"> This document describes a comprehensive analytical workflow for the Quiver Bioscience Sapphire AI drug discovery platform. The Sapphire platform enables systematic functional genomics analysis through a large-scale CRISPR gene perturbation screen of ~18,000 genes with electrophysiology (EP) phenotyping in human cortical neurons, integrated with genetics-first approaches to identify and validate therapeutic targets.</w:t>
      </w:r>
    </w:p>
    <w:p>
      <w:pPr>
        <w:spacing w:after="120" w:line="360"/>
        <w:jc w:val="left"/>
      </w:pPr>
      <w:r>
        <w:rPr>
          <w:rFonts w:ascii="Arial" w:cs="Arial" w:eastAsia="Arial" w:hAnsi="Arial"/>
          <w:b/>
          <w:bCs/>
          <w:sz w:val="48"/>
          <w:szCs w:val="48"/>
        </w:rPr>
        <w:t xml:space="preserve">Core Innovation:</w:t>
      </w:r>
      <w:r>
        <w:rPr>
          <w:rFonts w:ascii="Arial" w:cs="Arial" w:eastAsia="Arial" w:hAnsi="Arial"/>
          <w:sz w:val="48"/>
          <w:szCs w:val="48"/>
        </w:rPr>
        <w:t xml:space="preserve"> The Sapphire platform uniquely combines function-first phenotypic discovery from unbiased CRISPR screens with genetics-first validation through GWAS integration and clinical genomics. This bidirectional discovery model enables identification of novel targets missed by traditional genetics-only approaches while simultaneously validating genetically-supported targets through functional evidence.</w:t>
      </w:r>
    </w:p>
    <w:p>
      <w:pPr>
        <w:spacing w:after="120" w:line="360"/>
        <w:jc w:val="left"/>
      </w:pPr>
      <w:r>
        <w:rPr>
          <w:rFonts w:ascii="Arial" w:cs="Arial" w:eastAsia="Arial" w:hAnsi="Arial"/>
          <w:b/>
          <w:bCs/>
          <w:sz w:val="48"/>
          <w:szCs w:val="48"/>
        </w:rPr>
        <w:t xml:space="preserve">Pipeline Prompt:</w:t>
      </w:r>
      <w:r>
        <w:rPr>
          <w:rFonts w:ascii="Arial" w:cs="Arial" w:eastAsia="Arial" w:hAnsi="Arial"/>
          <w:sz w:val="48"/>
          <w:szCs w:val="48"/>
        </w:rPr>
        <w:t xml:space="preserve"> Identify gene clusters converging on common functional embedding despite different genetic pathways.</w:t>
      </w:r>
    </w:p>
    <w:p>
      <w:pPr>
        <w:spacing w:after="120" w:line="360"/>
        <w:jc w:val="left"/>
      </w:pPr>
      <w:r>
        <w:rPr>
          <w:rFonts w:ascii="Arial" w:cs="Arial" w:eastAsia="Arial" w:hAnsi="Arial"/>
          <w:b/>
          <w:bCs/>
          <w:sz w:val="48"/>
          <w:szCs w:val="48"/>
        </w:rPr>
        <w:t xml:space="preserve">Analytical Scope:</w:t>
      </w:r>
      <w:r>
        <w:rPr>
          <w:rFonts w:ascii="Arial" w:cs="Arial" w:eastAsia="Arial" w:hAnsi="Arial"/>
          <w:sz w:val="48"/>
          <w:szCs w:val="48"/>
        </w:rPr>
        <w:t xml:space="preserve"> Covers functional convergence analysis by finding groups of genes from distinct genetic pathways (e.g., mTOR, Wnt, calcium signaling) that produce similar EP phenotypes in Quiver's embedding space, revealing shared functional endpoints that could be targeted by common therapeutic strategies. This pipeline leverages the full depth of Quiver's electrophysiology data to bridge computational genomics with translational neurobiology, enabling data-driven prioritization of targets for mechanistic validation and therapeutic development.</w:t>
      </w:r>
    </w:p>
    <w:p>
      <w:pPr>
        <w:spacing w:after="120" w:line="360"/>
        <w:jc w:val="left"/>
      </w:pPr>
      <w:r>
        <w:rPr>
          <w:rFonts w:ascii="Arial" w:cs="Arial" w:eastAsia="Arial" w:hAnsi="Arial"/>
          <w:b/>
          <w:bCs/>
          <w:sz w:val="48"/>
          <w:szCs w:val="48"/>
        </w:rPr>
        <w:t xml:space="preserve">Data Integration:</w:t>
      </w:r>
      <w:r>
        <w:rPr>
          <w:rFonts w:ascii="Arial" w:cs="Arial" w:eastAsia="Arial" w:hAnsi="Arial"/>
          <w:sz w:val="48"/>
          <w:szCs w:val="48"/>
        </w:rPr>
        <w:t xml:space="preserve"> Throughout this pipeline, multiple data modalities are integrated: Quiver's CRISPR-EP phenotypes, GWAS summary statistics, ClinVar clinical annotations, pathway databases, and human cortical neuron validation cohorts. Integration strategies emphasize cross-validation and evidence triangulation to maximize confidence in identified targets.</w:t>
      </w:r>
    </w:p>
    <w:p>
      <w:pPr>
        <w:spacing w:after="120" w:line="360"/>
        <w:jc w:val="left"/>
      </w:pPr>
      <w:r>
        <w:rPr>
          <w:rFonts w:ascii="Arial" w:cs="Arial" w:eastAsia="Arial" w:hAnsi="Arial"/>
          <w:b/>
          <w:bCs/>
          <w:sz w:val="48"/>
          <w:szCs w:val="48"/>
        </w:rPr>
        <w:t xml:space="preserve">Expected Value:</w:t>
      </w:r>
      <w:r>
        <w:rPr>
          <w:rFonts w:ascii="Arial" w:cs="Arial" w:eastAsia="Arial" w:hAnsi="Arial"/>
          <w:sz w:val="48"/>
          <w:szCs w:val="48"/>
        </w:rPr>
        <w:t xml:space="preserve"> Successful execution of this pipeline generates a curated set of high-confidence therapeutic targets with complementary evidence from functional genomics, human genetics, and clinical genetics. These targets advance toward preclinical validation studies with substantially de-risked translational potential.</w:t>
      </w:r>
    </w:p>
    <w:p>
      <w:pPr>
        <w:pStyle w:val="Heading2"/>
        <w:spacing w:after="200" w:before="200" w:line="360"/>
      </w:pPr>
      <w:r>
        <w:t xml:space="preserve">Stage 1: Data Integration &amp; Preprocessing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data integration &amp; preprocessing,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2: Phenotypic Characterization &amp; Embedding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phenotypic characterization &amp; embedding,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3: Target Discovery &amp; Filtering</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target discovery &amp; filtering,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4: Cross-Validation &amp; Evidence Integration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cross-validation &amp; evidence integration,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5: Mechanistic Modeling &amp; Prediction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mechanistic modeling &amp; prediction,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2"/>
        <w:spacing w:after="200" w:before="200" w:line="360"/>
      </w:pPr>
      <w:r>
        <w:t xml:space="preserve">Stage 6: Prioritization &amp; Output Generation</w:t>
      </w:r>
    </w:p>
    <w:p>
      <w:pPr>
        <w:spacing w:after="120" w:line="360"/>
        <w:jc w:val="left"/>
      </w:pPr>
      <w:r>
        <w:rPr>
          <w:rFonts w:ascii="Arial" w:cs="Arial" w:eastAsia="Arial" w:hAnsi="Arial"/>
          <w:b/>
          <w:bCs/>
          <w:sz w:val="48"/>
          <w:szCs w:val="48"/>
        </w:rPr>
        <w:t xml:space="preserve">Purpose:</w:t>
      </w:r>
      <w:r>
        <w:rPr>
          <w:rFonts w:ascii="Arial" w:cs="Arial" w:eastAsia="Arial" w:hAnsi="Arial"/>
          <w:sz w:val="48"/>
          <w:szCs w:val="48"/>
        </w:rPr>
        <w:t xml:space="preserve"> This stage focuses on prioritization &amp; output generation, defining the specific objectives and analytical approach for this phase of the pipeline. It establishes the foundation for downstream processing and ensures alignment with overarching therapeutic discovery goals within the Sapphire platform context.</w:t>
      </w:r>
    </w:p>
    <w:p>
      <w:pPr>
        <w:pStyle w:val="Heading2"/>
        <w:spacing w:after="200" w:before="200" w:line="360"/>
      </w:pPr>
      <w:r>
        <w:t xml:space="preserve">Inputs:</w:t>
      </w:r>
    </w:p>
    <w:p>
      <w:pPr>
        <w:pStyle w:val="ListParagraph"/>
        <w:numPr>
          <w:ilvl w:val="0"/>
          <w:numId w:val="1"/>
        </w:numPr>
        <w:spacing w:after="80" w:line="360"/>
        <w:jc w:val="left"/>
      </w:pPr>
      <w:r>
        <w:rPr>
          <w:rFonts w:ascii="Arial" w:cs="Arial" w:eastAsia="Arial" w:hAnsi="Arial"/>
          <w:b/>
          <w:bCs/>
          <w:sz w:val="48"/>
          <w:szCs w:val="48"/>
        </w:rPr>
        <w:t xml:space="preserve">Quiver CRISPR Screen Data:</w:t>
      </w:r>
      <w:r>
        <w:rPr>
          <w:rFonts w:ascii="Arial" w:cs="Arial" w:eastAsia="Arial" w:hAnsi="Arial"/>
          <w:sz w:val="48"/>
          <w:szCs w:val="48"/>
        </w:rPr>
        <w:t xml:space="preserve"> Complete perturbation dataset with electrophysiology readouts from ~18,000 genes</w:t>
      </w:r>
    </w:p>
    <w:p>
      <w:pPr>
        <w:pStyle w:val="ListParagraph"/>
        <w:numPr>
          <w:ilvl w:val="0"/>
          <w:numId w:val="1"/>
        </w:numPr>
        <w:spacing w:after="80" w:line="360"/>
        <w:jc w:val="left"/>
      </w:pPr>
      <w:r>
        <w:rPr>
          <w:rFonts w:ascii="Arial" w:cs="Arial" w:eastAsia="Arial" w:hAnsi="Arial"/>
          <w:b/>
          <w:bCs/>
          <w:sz w:val="48"/>
          <w:szCs w:val="48"/>
        </w:rPr>
        <w:t xml:space="preserve">Phenotypic Embeddings:</w:t>
      </w:r>
      <w:r>
        <w:rPr>
          <w:rFonts w:ascii="Arial" w:cs="Arial" w:eastAsia="Arial" w:hAnsi="Arial"/>
          <w:sz w:val="48"/>
          <w:szCs w:val="48"/>
        </w:rPr>
        <w:t xml:space="preserve"> Computed EP phenotypic representations and similarity matrices from prior stages</w:t>
      </w:r>
    </w:p>
    <w:p>
      <w:pPr>
        <w:pStyle w:val="ListParagraph"/>
        <w:numPr>
          <w:ilvl w:val="0"/>
          <w:numId w:val="1"/>
        </w:numPr>
        <w:spacing w:after="80" w:line="360"/>
        <w:jc w:val="left"/>
      </w:pPr>
      <w:r>
        <w:rPr>
          <w:rFonts w:ascii="Arial" w:cs="Arial" w:eastAsia="Arial" w:hAnsi="Arial"/>
          <w:b/>
          <w:bCs/>
          <w:sz w:val="48"/>
          <w:szCs w:val="48"/>
        </w:rPr>
        <w:t xml:space="preserve">External Reference Data:</w:t>
      </w:r>
      <w:r>
        <w:rPr>
          <w:rFonts w:ascii="Arial" w:cs="Arial" w:eastAsia="Arial" w:hAnsi="Arial"/>
          <w:sz w:val="48"/>
          <w:szCs w:val="48"/>
        </w:rPr>
        <w:t xml:space="preserve"> GWAS summary statistics, ClinVar annotations, and pathway databases</w:t>
      </w:r>
    </w:p>
    <w:p>
      <w:pPr>
        <w:pStyle w:val="ListParagraph"/>
        <w:numPr>
          <w:ilvl w:val="0"/>
          <w:numId w:val="1"/>
        </w:numPr>
        <w:spacing w:after="80" w:line="360"/>
        <w:jc w:val="left"/>
      </w:pPr>
      <w:r>
        <w:rPr>
          <w:rFonts w:ascii="Arial" w:cs="Arial" w:eastAsia="Arial" w:hAnsi="Arial"/>
          <w:b/>
          <w:bCs/>
          <w:sz w:val="48"/>
          <w:szCs w:val="48"/>
        </w:rPr>
        <w:t xml:space="preserve">Validation Cohorts:</w:t>
      </w:r>
      <w:r>
        <w:rPr>
          <w:rFonts w:ascii="Arial" w:cs="Arial" w:eastAsia="Arial" w:hAnsi="Arial"/>
          <w:sz w:val="48"/>
          <w:szCs w:val="48"/>
        </w:rPr>
        <w:t xml:space="preserve"> Human cortical neuron cultures with documented functional validation results</w:t>
      </w:r>
    </w:p>
    <w:p>
      <w:pPr>
        <w:pStyle w:val="ListParagraph"/>
        <w:numPr>
          <w:ilvl w:val="0"/>
          <w:numId w:val="1"/>
        </w:numPr>
        <w:spacing w:after="80" w:line="360"/>
        <w:jc w:val="left"/>
      </w:pPr>
      <w:r>
        <w:rPr>
          <w:rFonts w:ascii="Arial" w:cs="Arial" w:eastAsia="Arial" w:hAnsi="Arial"/>
          <w:b/>
          <w:bCs/>
          <w:sz w:val="48"/>
          <w:szCs w:val="48"/>
        </w:rPr>
        <w:t xml:space="preserve">Metadata &amp; Annotations:</w:t>
      </w:r>
      <w:r>
        <w:rPr>
          <w:rFonts w:ascii="Arial" w:cs="Arial" w:eastAsia="Arial" w:hAnsi="Arial"/>
          <w:sz w:val="48"/>
          <w:szCs w:val="48"/>
        </w:rPr>
        <w:t xml:space="preserve"> Gene function predictions, transcript models, and clinical relevance scores</w:t>
      </w:r>
    </w:p>
    <w:p>
      <w:pPr>
        <w:pStyle w:val="Heading2"/>
        <w:spacing w:after="200" w:before="200" w:line="360"/>
      </w:pPr>
      <w:r>
        <w:t xml:space="preserve">Tools &amp; Databases Called:</w:t>
      </w:r>
    </w:p>
    <w:p>
      <w:pPr>
        <w:pStyle w:val="ListParagraph"/>
        <w:numPr>
          <w:ilvl w:val="0"/>
          <w:numId w:val="1"/>
        </w:numPr>
        <w:spacing w:after="80" w:line="360"/>
        <w:jc w:val="left"/>
      </w:pPr>
      <w:r>
        <w:rPr>
          <w:rFonts w:ascii="Arial" w:cs="Arial" w:eastAsia="Arial" w:hAnsi="Arial"/>
          <w:b/>
          <w:bCs/>
          <w:sz w:val="48"/>
          <w:szCs w:val="48"/>
        </w:rPr>
        <w:t xml:space="preserve">scanpy:</w:t>
      </w:r>
      <w:r>
        <w:rPr>
          <w:rFonts w:ascii="Arial" w:cs="Arial" w:eastAsia="Arial" w:hAnsi="Arial"/>
          <w:sz w:val="48"/>
          <w:szCs w:val="48"/>
        </w:rPr>
        <w:t xml:space="preserve"> Computing dimensionality reduction and neighborhood graphs from electrophysiology embeddings</w:t>
      </w:r>
    </w:p>
    <w:p>
      <w:pPr>
        <w:pStyle w:val="ListParagraph"/>
        <w:numPr>
          <w:ilvl w:val="0"/>
          <w:numId w:val="1"/>
        </w:numPr>
        <w:spacing w:after="80" w:line="360"/>
        <w:jc w:val="left"/>
      </w:pPr>
      <w:r>
        <w:rPr>
          <w:rFonts w:ascii="Arial" w:cs="Arial" w:eastAsia="Arial" w:hAnsi="Arial"/>
          <w:b/>
          <w:bCs/>
          <w:sz w:val="48"/>
          <w:szCs w:val="48"/>
        </w:rPr>
        <w:t xml:space="preserve">scikit-learn:</w:t>
      </w:r>
      <w:r>
        <w:rPr>
          <w:rFonts w:ascii="Arial" w:cs="Arial" w:eastAsia="Arial" w:hAnsi="Arial"/>
          <w:sz w:val="48"/>
          <w:szCs w:val="48"/>
        </w:rPr>
        <w:t xml:space="preserve"> Performing clustering, classification, and statistical enrichment analyses on phenotypic data</w:t>
      </w:r>
    </w:p>
    <w:p>
      <w:pPr>
        <w:pStyle w:val="ListParagraph"/>
        <w:numPr>
          <w:ilvl w:val="0"/>
          <w:numId w:val="1"/>
        </w:numPr>
        <w:spacing w:after="80" w:line="360"/>
        <w:jc w:val="left"/>
      </w:pPr>
      <w:r>
        <w:rPr>
          <w:rFonts w:ascii="Arial" w:cs="Arial" w:eastAsia="Arial" w:hAnsi="Arial"/>
          <w:b/>
          <w:bCs/>
          <w:sz w:val="48"/>
          <w:szCs w:val="48"/>
        </w:rPr>
        <w:t xml:space="preserve">GWAS Catalog &amp; OpenTargets:</w:t>
      </w:r>
      <w:r>
        <w:rPr>
          <w:rFonts w:ascii="Arial" w:cs="Arial" w:eastAsia="Arial" w:hAnsi="Arial"/>
          <w:sz w:val="48"/>
          <w:szCs w:val="48"/>
        </w:rPr>
        <w:t xml:space="preserve"> Querying genetic associations for cross-validation and target prioritization</w:t>
      </w:r>
    </w:p>
    <w:p>
      <w:pPr>
        <w:pStyle w:val="ListParagraph"/>
        <w:numPr>
          <w:ilvl w:val="0"/>
          <w:numId w:val="1"/>
        </w:numPr>
        <w:spacing w:after="80" w:line="360"/>
        <w:jc w:val="left"/>
      </w:pPr>
      <w:r>
        <w:rPr>
          <w:rFonts w:ascii="Arial" w:cs="Arial" w:eastAsia="Arial" w:hAnsi="Arial"/>
          <w:b/>
          <w:bCs/>
          <w:sz w:val="48"/>
          <w:szCs w:val="48"/>
        </w:rPr>
        <w:t xml:space="preserve">ClinVar API:</w:t>
      </w:r>
      <w:r>
        <w:rPr>
          <w:rFonts w:ascii="Arial" w:cs="Arial" w:eastAsia="Arial" w:hAnsi="Arial"/>
          <w:sz w:val="48"/>
          <w:szCs w:val="48"/>
        </w:rPr>
        <w:t xml:space="preserve"> Retrieving pathogenic variant annotations for clinical integration</w:t>
      </w:r>
    </w:p>
    <w:p>
      <w:pPr>
        <w:pStyle w:val="ListParagraph"/>
        <w:numPr>
          <w:ilvl w:val="0"/>
          <w:numId w:val="1"/>
        </w:numPr>
        <w:spacing w:after="80" w:line="360"/>
        <w:jc w:val="left"/>
      </w:pPr>
      <w:r>
        <w:rPr>
          <w:rFonts w:ascii="Arial" w:cs="Arial" w:eastAsia="Arial" w:hAnsi="Arial"/>
          <w:b/>
          <w:bCs/>
          <w:sz w:val="48"/>
          <w:szCs w:val="48"/>
        </w:rPr>
        <w:t xml:space="preserve">Reactome &amp; KEGG:</w:t>
      </w:r>
      <w:r>
        <w:rPr>
          <w:rFonts w:ascii="Arial" w:cs="Arial" w:eastAsia="Arial" w:hAnsi="Arial"/>
          <w:sz w:val="48"/>
          <w:szCs w:val="48"/>
        </w:rPr>
        <w:t xml:space="preserve"> Mapping genes to functional pathways for convergence analysis</w:t>
      </w:r>
    </w:p>
    <w:p>
      <w:pPr>
        <w:pStyle w:val="ListParagraph"/>
        <w:numPr>
          <w:ilvl w:val="0"/>
          <w:numId w:val="1"/>
        </w:numPr>
        <w:spacing w:after="80" w:line="360"/>
        <w:jc w:val="left"/>
      </w:pPr>
      <w:r>
        <w:rPr>
          <w:rFonts w:ascii="Arial" w:cs="Arial" w:eastAsia="Arial" w:hAnsi="Arial"/>
          <w:b/>
          <w:bCs/>
          <w:sz w:val="48"/>
          <w:szCs w:val="48"/>
        </w:rPr>
        <w:t xml:space="preserve">Custom Sapphire Embedding Pipeline:</w:t>
      </w:r>
      <w:r>
        <w:rPr>
          <w:rFonts w:ascii="Arial" w:cs="Arial" w:eastAsia="Arial" w:hAnsi="Arial"/>
          <w:sz w:val="48"/>
          <w:szCs w:val="48"/>
        </w:rPr>
        <w:t xml:space="preserve"> Leveraging pre-computed electrophysiology phenotypic spaces</w:t>
      </w:r>
    </w:p>
    <w:p>
      <w:pPr>
        <w:pStyle w:val="Heading2"/>
        <w:spacing w:after="200" w:before="200" w:line="360"/>
      </w:pPr>
      <w:r>
        <w:t xml:space="preserve">Exemplary Sub-Prompts:</w:t>
      </w:r>
    </w:p>
    <w:p>
      <w:pPr>
        <w:pStyle w:val="ListParagraph"/>
        <w:numPr>
          <w:ilvl w:val="0"/>
          <w:numId w:val="1"/>
        </w:numPr>
        <w:spacing w:after="80" w:line="360"/>
        <w:jc w:val="left"/>
      </w:pPr>
      <w:r>
        <w:rPr>
          <w:rFonts w:ascii="Arial" w:cs="Arial" w:eastAsia="Arial" w:hAnsi="Arial"/>
          <w:sz w:val="48"/>
          <w:szCs w:val="48"/>
        </w:rPr>
        <w:t xml:space="preserve">What are the defining EP characteristics that distinguish this gene set from the broader Quiver cohort?</w:t>
      </w:r>
    </w:p>
    <w:p>
      <w:pPr>
        <w:pStyle w:val="ListParagraph"/>
        <w:numPr>
          <w:ilvl w:val="0"/>
          <w:numId w:val="1"/>
        </w:numPr>
        <w:spacing w:after="80" w:line="360"/>
        <w:jc w:val="left"/>
      </w:pPr>
      <w:r>
        <w:rPr>
          <w:rFonts w:ascii="Arial" w:cs="Arial" w:eastAsia="Arial" w:hAnsi="Arial"/>
          <w:sz w:val="48"/>
          <w:szCs w:val="48"/>
        </w:rPr>
        <w:t xml:space="preserve">How do the functional signatures observed in this stage integrate with known disease mechanisms?</w:t>
      </w:r>
    </w:p>
    <w:p>
      <w:pPr>
        <w:pStyle w:val="ListParagraph"/>
        <w:numPr>
          <w:ilvl w:val="0"/>
          <w:numId w:val="1"/>
        </w:numPr>
        <w:spacing w:after="80" w:line="360"/>
        <w:jc w:val="left"/>
      </w:pPr>
      <w:r>
        <w:rPr>
          <w:rFonts w:ascii="Arial" w:cs="Arial" w:eastAsia="Arial" w:hAnsi="Arial"/>
          <w:sz w:val="48"/>
          <w:szCs w:val="48"/>
        </w:rPr>
        <w:t xml:space="preserve">Which external datasets provide independent validation for the phenotypic patterns identified here?</w:t>
      </w:r>
    </w:p>
    <w:p>
      <w:pPr>
        <w:pStyle w:val="ListParagraph"/>
        <w:numPr>
          <w:ilvl w:val="0"/>
          <w:numId w:val="1"/>
        </w:numPr>
        <w:spacing w:after="80" w:line="360"/>
        <w:jc w:val="left"/>
      </w:pPr>
      <w:r>
        <w:rPr>
          <w:rFonts w:ascii="Arial" w:cs="Arial" w:eastAsia="Arial" w:hAnsi="Arial"/>
          <w:sz w:val="48"/>
          <w:szCs w:val="48"/>
        </w:rPr>
        <w:t xml:space="preserve">What therapeutic pathways are enriched or depleted in genes associated with these phenotypic profiles?</w:t>
      </w:r>
    </w:p>
    <w:p>
      <w:pPr>
        <w:pStyle w:val="ListParagraph"/>
        <w:numPr>
          <w:ilvl w:val="0"/>
          <w:numId w:val="1"/>
        </w:numPr>
        <w:spacing w:after="80" w:line="360"/>
        <w:jc w:val="left"/>
      </w:pPr>
      <w:r>
        <w:rPr>
          <w:rFonts w:ascii="Arial" w:cs="Arial" w:eastAsia="Arial" w:hAnsi="Arial"/>
          <w:sz w:val="48"/>
          <w:szCs w:val="48"/>
        </w:rPr>
        <w:t xml:space="preserve">How do partial knockdown dose-response curves predict heterozygous carrier phenotypes in humans?</w:t>
      </w:r>
    </w:p>
    <w:p>
      <w:pPr>
        <w:pStyle w:val="Heading2"/>
        <w:spacing w:after="200" w:before="200" w:line="360"/>
      </w:pPr>
      <w:r>
        <w:t xml:space="preserve">Expected Outputs:</w:t>
      </w:r>
    </w:p>
    <w:p>
      <w:pPr>
        <w:pStyle w:val="ListParagraph"/>
        <w:numPr>
          <w:ilvl w:val="0"/>
          <w:numId w:val="1"/>
        </w:numPr>
        <w:spacing w:after="80" w:line="360"/>
        <w:jc w:val="left"/>
      </w:pPr>
      <w:r>
        <w:rPr>
          <w:rFonts w:ascii="Arial" w:cs="Arial" w:eastAsia="Arial" w:hAnsi="Arial"/>
          <w:b/>
          <w:bCs/>
          <w:sz w:val="48"/>
          <w:szCs w:val="48"/>
        </w:rPr>
        <w:t xml:space="preserve">Ranked Gene Lists:</w:t>
      </w:r>
      <w:r>
        <w:rPr>
          <w:rFonts w:ascii="Arial" w:cs="Arial" w:eastAsia="Arial" w:hAnsi="Arial"/>
          <w:sz w:val="48"/>
          <w:szCs w:val="48"/>
        </w:rPr>
        <w:t xml:space="preserve"> Prioritized by functional relevance and therapeutic potential according to stage objectives</w:t>
      </w:r>
    </w:p>
    <w:p>
      <w:pPr>
        <w:pStyle w:val="ListParagraph"/>
        <w:numPr>
          <w:ilvl w:val="0"/>
          <w:numId w:val="1"/>
        </w:numPr>
        <w:spacing w:after="80" w:line="360"/>
        <w:jc w:val="left"/>
      </w:pPr>
      <w:r>
        <w:rPr>
          <w:rFonts w:ascii="Arial" w:cs="Arial" w:eastAsia="Arial" w:hAnsi="Arial"/>
          <w:b/>
          <w:bCs/>
          <w:sz w:val="48"/>
          <w:szCs w:val="48"/>
        </w:rPr>
        <w:t xml:space="preserve">Phenotypic Signatures:</w:t>
      </w:r>
      <w:r>
        <w:rPr>
          <w:rFonts w:ascii="Arial" w:cs="Arial" w:eastAsia="Arial" w:hAnsi="Arial"/>
          <w:sz w:val="48"/>
          <w:szCs w:val="48"/>
        </w:rPr>
        <w:t xml:space="preserve"> Detailed EP profiles with statistical confidence intervals and effect sizes</w:t>
      </w:r>
    </w:p>
    <w:p>
      <w:pPr>
        <w:pStyle w:val="ListParagraph"/>
        <w:numPr>
          <w:ilvl w:val="0"/>
          <w:numId w:val="1"/>
        </w:numPr>
        <w:spacing w:after="80" w:line="360"/>
        <w:jc w:val="left"/>
      </w:pPr>
      <w:r>
        <w:rPr>
          <w:rFonts w:ascii="Arial" w:cs="Arial" w:eastAsia="Arial" w:hAnsi="Arial"/>
          <w:b/>
          <w:bCs/>
          <w:sz w:val="48"/>
          <w:szCs w:val="48"/>
        </w:rPr>
        <w:t xml:space="preserve">Pathway Enrichment Maps:</w:t>
      </w:r>
      <w:r>
        <w:rPr>
          <w:rFonts w:ascii="Arial" w:cs="Arial" w:eastAsia="Arial" w:hAnsi="Arial"/>
          <w:sz w:val="48"/>
          <w:szCs w:val="48"/>
        </w:rPr>
        <w:t xml:space="preserve"> Visual and tabular representations of functional convergence and divergence</w:t>
      </w:r>
    </w:p>
    <w:p>
      <w:pPr>
        <w:pStyle w:val="ListParagraph"/>
        <w:numPr>
          <w:ilvl w:val="0"/>
          <w:numId w:val="1"/>
        </w:numPr>
        <w:spacing w:after="80" w:line="360"/>
        <w:jc w:val="left"/>
      </w:pPr>
      <w:r>
        <w:rPr>
          <w:rFonts w:ascii="Arial" w:cs="Arial" w:eastAsia="Arial" w:hAnsi="Arial"/>
          <w:b/>
          <w:bCs/>
          <w:sz w:val="48"/>
          <w:szCs w:val="48"/>
        </w:rPr>
        <w:t xml:space="preserve">Cross-Validation Reports:</w:t>
      </w:r>
      <w:r>
        <w:rPr>
          <w:rFonts w:ascii="Arial" w:cs="Arial" w:eastAsia="Arial" w:hAnsi="Arial"/>
          <w:sz w:val="48"/>
          <w:szCs w:val="48"/>
        </w:rPr>
        <w:t xml:space="preserve"> Evidence integration from GWAS, ClinVar, and functional literature</w:t>
      </w:r>
    </w:p>
    <w:p>
      <w:pPr>
        <w:pStyle w:val="ListParagraph"/>
        <w:numPr>
          <w:ilvl w:val="0"/>
          <w:numId w:val="1"/>
        </w:numPr>
        <w:spacing w:after="80" w:line="360"/>
        <w:jc w:val="left"/>
      </w:pPr>
      <w:r>
        <w:rPr>
          <w:rFonts w:ascii="Arial" w:cs="Arial" w:eastAsia="Arial" w:hAnsi="Arial"/>
          <w:b/>
          <w:bCs/>
          <w:sz w:val="48"/>
          <w:szCs w:val="48"/>
        </w:rPr>
        <w:t xml:space="preserve">Candidate Prioritization Scores:</w:t>
      </w:r>
      <w:r>
        <w:rPr>
          <w:rFonts w:ascii="Arial" w:cs="Arial" w:eastAsia="Arial" w:hAnsi="Arial"/>
          <w:sz w:val="48"/>
          <w:szCs w:val="48"/>
        </w:rPr>
        <w:t xml:space="preserve"> Multi-criteria rankings incorporating phenotype, genetics, and clinical evidence</w:t>
      </w:r>
    </w:p>
    <w:p>
      <w:pPr>
        <w:pStyle w:val="ListParagraph"/>
        <w:numPr>
          <w:ilvl w:val="0"/>
          <w:numId w:val="1"/>
        </w:numPr>
        <w:spacing w:after="80" w:line="360"/>
        <w:jc w:val="left"/>
      </w:pPr>
      <w:r>
        <w:rPr>
          <w:rFonts w:ascii="Arial" w:cs="Arial" w:eastAsia="Arial" w:hAnsi="Arial"/>
          <w:b/>
          <w:bCs/>
          <w:sz w:val="48"/>
          <w:szCs w:val="48"/>
        </w:rPr>
        <w:t xml:space="preserve">Summary Visualizations:</w:t>
      </w:r>
      <w:r>
        <w:rPr>
          <w:rFonts w:ascii="Arial" w:cs="Arial" w:eastAsia="Arial" w:hAnsi="Arial"/>
          <w:sz w:val="48"/>
          <w:szCs w:val="48"/>
        </w:rPr>
        <w:t xml:space="preserve"> Plots and heatmaps showing stage results and inter-stage relationships</w:t>
      </w:r>
    </w:p>
    <w:p>
      <w:pPr>
        <w:spacing w:after="120" w:line="360"/>
        <w:jc w:val="left"/>
      </w:pPr>
      <w:r>
        <w:rPr>
          <w:rFonts w:ascii="Arial" w:cs="Arial" w:eastAsia="Arial" w:hAnsi="Arial"/>
          <w:b/>
          <w:bCs/>
          <w:sz w:val="48"/>
          <w:szCs w:val="48"/>
        </w:rPr>
        <w:t xml:space="preserve">Format:</w:t>
      </w:r>
      <w:r>
        <w:rPr>
          <w:rFonts w:ascii="Arial" w:cs="Arial" w:eastAsia="Arial" w:hAnsi="Arial"/>
          <w:sz w:val="48"/>
          <w:szCs w:val="48"/>
        </w:rPr>
        <w:t xml:space="preserve"> Stage outputs are structured as ranked gene lists with phenotypic annotations, supplemented by pathway-level insights and clinical evidence matrices. Results are formatted for downstream pipeline integration and stakeholder review.</w:t>
      </w:r>
    </w:p>
    <w:p>
      <w:pPr>
        <w:pStyle w:val="Heading1"/>
        <w:spacing w:after="200" w:before="200" w:line="360"/>
      </w:pPr>
      <w:r>
        <w:t xml:space="preserve">Pipeline Tools &amp; Platforms Summary</w:t>
      </w:r>
    </w:p>
    <w:p>
      <w:pPr>
        <w:spacing w:after="120" w:line="360"/>
        <w:jc w:val="left"/>
      </w:pPr>
      <w:r>
        <w:rPr>
          <w:rFonts w:ascii="Arial" w:cs="Arial" w:eastAsia="Arial" w:hAnsi="Arial"/>
          <w:b/>
          <w:bCs/>
          <w:sz w:val="48"/>
          <w:szCs w:val="48"/>
        </w:rPr>
        <w:t xml:space="preserve">Bioinformatics Frameworks:</w:t>
      </w:r>
      <w:r>
        <w:rPr>
          <w:rFonts w:ascii="Arial" w:cs="Arial" w:eastAsia="Arial" w:hAnsi="Arial"/>
          <w:sz w:val="48"/>
          <w:szCs w:val="48"/>
        </w:rPr>
        <w:t xml:space="preserve"> This pipeline integrates leading bioinformatics frameworks for genomic and phenotypic data analysis. Python-based ecosystems (scanpy, scikit-learn, pandas) provide core data processing and statistical capabilities, while specialized tools address domain-specific requirements including variant effect prediction, pathway analysis, and clinical genetics integration.</w:t>
      </w:r>
    </w:p>
    <w:p>
      <w:pPr>
        <w:spacing w:after="120" w:line="360"/>
        <w:jc w:val="left"/>
      </w:pPr>
      <w:r>
        <w:rPr>
          <w:rFonts w:ascii="Arial" w:cs="Arial" w:eastAsia="Arial" w:hAnsi="Arial"/>
          <w:b/>
          <w:bCs/>
          <w:sz w:val="48"/>
          <w:szCs w:val="48"/>
        </w:rPr>
        <w:t xml:space="preserve">Gene Expression &amp; Pathway Databases:</w:t>
      </w:r>
      <w:r>
        <w:rPr>
          <w:rFonts w:ascii="Arial" w:cs="Arial" w:eastAsia="Arial" w:hAnsi="Arial"/>
          <w:sz w:val="48"/>
          <w:szCs w:val="48"/>
        </w:rPr>
        <w:t xml:space="preserve"> GWAS Catalog, OpenTargets, Reactome, and KEGG provide comprehensive reference data on genetic associations, therapeutic targets, functional pathways, and pathway-level insights. These resources enable cross-validation of Quiver's functional findings against independent genetic and biological evidence.</w:t>
      </w:r>
    </w:p>
    <w:p>
      <w:pPr>
        <w:spacing w:after="120" w:line="360"/>
        <w:jc w:val="left"/>
      </w:pPr>
      <w:r>
        <w:rPr>
          <w:rFonts w:ascii="Arial" w:cs="Arial" w:eastAsia="Arial" w:hAnsi="Arial"/>
          <w:b/>
          <w:bCs/>
          <w:sz w:val="48"/>
          <w:szCs w:val="48"/>
        </w:rPr>
        <w:t xml:space="preserve">Clinical Genetics Integration:</w:t>
      </w:r>
      <w:r>
        <w:rPr>
          <w:rFonts w:ascii="Arial" w:cs="Arial" w:eastAsia="Arial" w:hAnsi="Arial"/>
          <w:sz w:val="48"/>
          <w:szCs w:val="48"/>
        </w:rPr>
        <w:t xml:space="preserve"> ClinVar API enables systematic integration of clinically annotated variants into the analytical framework. This integration bridges functional genomics (Quiver) with clinical genetics, enabling identification of targets with both functional evidence and clinical genetic support.</w:t>
      </w:r>
    </w:p>
    <w:p>
      <w:pPr>
        <w:spacing w:after="120" w:line="360"/>
        <w:jc w:val="left"/>
      </w:pPr>
      <w:r>
        <w:rPr>
          <w:rFonts w:ascii="Arial" w:cs="Arial" w:eastAsia="Arial" w:hAnsi="Arial"/>
          <w:b/>
          <w:bCs/>
          <w:sz w:val="48"/>
          <w:szCs w:val="48"/>
        </w:rPr>
        <w:t xml:space="preserve">Statistical &amp; Machine Learning Tools:</w:t>
      </w:r>
      <w:r>
        <w:rPr>
          <w:rFonts w:ascii="Arial" w:cs="Arial" w:eastAsia="Arial" w:hAnsi="Arial"/>
          <w:sz w:val="48"/>
          <w:szCs w:val="48"/>
        </w:rPr>
        <w:t xml:space="preserve"> scikit-learn, scipy, and R-based packages provide statistical testing, effect size estimation, and machine learning capabilities including clustering, dimensionality reduction, and predictive modeling. These tools enable robust statistical inference across all analytical stages.</w:t>
      </w:r>
    </w:p>
    <w:p>
      <w:pPr>
        <w:spacing w:after="120" w:line="360"/>
        <w:jc w:val="left"/>
      </w:pPr>
      <w:r>
        <w:rPr>
          <w:rFonts w:ascii="Arial" w:cs="Arial" w:eastAsia="Arial" w:hAnsi="Arial"/>
          <w:b/>
          <w:bCs/>
          <w:sz w:val="48"/>
          <w:szCs w:val="48"/>
        </w:rPr>
        <w:t xml:space="preserve">Visualization &amp; Reporting Frameworks:</w:t>
      </w:r>
      <w:r>
        <w:rPr>
          <w:rFonts w:ascii="Arial" w:cs="Arial" w:eastAsia="Arial" w:hAnsi="Arial"/>
          <w:sz w:val="48"/>
          <w:szCs w:val="48"/>
        </w:rPr>
        <w:t xml:space="preserve"> matplotlib, seaborn, plotly, and R's ggplot2 ecosystem generate publication-quality visualizations including heatmaps, scatter plots, network diagrams, and pathway-level summaries. Custom visualization pipelines ensure consistent aesthetic standards across all outputs.</w:t>
      </w:r>
    </w:p>
    <w:p>
      <w:pPr>
        <w:spacing w:after="120" w:line="360"/>
        <w:jc w:val="left"/>
      </w:pPr>
      <w:r>
        <w:rPr>
          <w:rFonts w:ascii="Arial" w:cs="Arial" w:eastAsia="Arial" w:hAnsi="Arial"/>
          <w:b/>
          <w:bCs/>
          <w:sz w:val="48"/>
          <w:szCs w:val="48"/>
        </w:rPr>
        <w:t xml:space="preserve">Sapphire Custom Pipelines:</w:t>
      </w:r>
      <w:r>
        <w:rPr>
          <w:rFonts w:ascii="Arial" w:cs="Arial" w:eastAsia="Arial" w:hAnsi="Arial"/>
          <w:sz w:val="48"/>
          <w:szCs w:val="48"/>
        </w:rPr>
        <w:t xml:space="preserve"> Purpose-built analytical modules handle Quiver-specific data processing including electrophysiology phenotyping algorithms, embedding computation, and similarity-based clustering. These custom pipelines leverage deep integration with Quiver's data architecture.</w:t>
      </w:r>
    </w:p>
    <w:p>
      <w:pPr>
        <w:spacing w:after="120" w:line="360"/>
        <w:jc w:val="left"/>
      </w:pPr>
      <w:r>
        <w:rPr>
          <w:rFonts w:ascii="Arial" w:cs="Arial" w:eastAsia="Arial" w:hAnsi="Arial"/>
          <w:b/>
          <w:bCs/>
          <w:sz w:val="48"/>
          <w:szCs w:val="48"/>
        </w:rPr>
        <w:t xml:space="preserve">Version Control &amp; Reproducibility:</w:t>
      </w:r>
      <w:r>
        <w:rPr>
          <w:rFonts w:ascii="Arial" w:cs="Arial" w:eastAsia="Arial" w:hAnsi="Arial"/>
          <w:sz w:val="48"/>
          <w:szCs w:val="48"/>
        </w:rPr>
        <w:t xml:space="preserve"> All analytical code, data processing steps, and results are version-controlled and documented to ensure reproducibility. Custom metadata tracking preserves analytical decisions, parameter choices, and evidence provenance throughout the pipeline.</w:t>
      </w:r>
    </w:p>
    <w:p>
      <w:pPr>
        <w:spacing w:after="120" w:line="360"/>
        <w:jc w:val="left"/>
      </w:pPr>
      <w:r>
        <w:rPr>
          <w:rFonts w:ascii="Arial" w:cs="Arial" w:eastAsia="Arial" w:hAnsi="Arial"/>
          <w:b/>
          <w:bCs/>
          <w:sz w:val="48"/>
          <w:szCs w:val="48"/>
        </w:rPr>
        <w:t xml:space="preserve">Validation &amp; QC Pipelines:</w:t>
      </w:r>
      <w:r>
        <w:rPr>
          <w:rFonts w:ascii="Arial" w:cs="Arial" w:eastAsia="Arial" w:hAnsi="Arial"/>
          <w:sz w:val="48"/>
          <w:szCs w:val="48"/>
        </w:rPr>
        <w:t xml:space="preserve"> Automated quality control checks assess data completeness, statistical power, effect size adequacy, and cross-validation consistency at each stage. Failing results trigger detailed diagnostic reports and remediation workflows.</w:t>
      </w:r>
    </w:p>
    <w:p>
      <w:pPr>
        <w:spacing w:after="120" w:line="360"/>
        <w:jc w:val="left"/>
      </w:pPr>
      <w:r>
        <w:rPr>
          <w:rFonts w:ascii="Arial" w:cs="Arial" w:eastAsia="Arial" w:hAnsi="Arial"/>
          <w:b/>
          <w:bCs/>
          <w:sz w:val="48"/>
          <w:szCs w:val="48"/>
        </w:rPr>
        <w:t xml:space="preserve">Advanced Phenotypic Analysis:</w:t>
      </w:r>
      <w:r>
        <w:rPr>
          <w:rFonts w:ascii="Arial" w:cs="Arial" w:eastAsia="Arial" w:hAnsi="Arial"/>
          <w:sz w:val="48"/>
          <w:szCs w:val="48"/>
        </w:rPr>
        <w:t xml:space="preserve"> Custom electrophysiology analysis modules extract biologically meaningful features from raw patch-clamp or voltage-clamp recordings, supporting sophisticated phenotypic characterization beyond simple summary statistics.</w:t>
      </w:r>
    </w:p>
    <w:p>
      <w:pPr>
        <w:spacing w:after="120" w:line="360"/>
        <w:jc w:val="left"/>
      </w:pPr>
      <w:r>
        <w:rPr>
          <w:rFonts w:ascii="Arial" w:cs="Arial" w:eastAsia="Arial" w:hAnsi="Arial"/>
          <w:b/>
          <w:bCs/>
          <w:sz w:val="48"/>
          <w:szCs w:val="48"/>
        </w:rPr>
        <w:t xml:space="preserve">Dose-Response Modeling:</w:t>
      </w:r>
      <w:r>
        <w:rPr>
          <w:rFonts w:ascii="Arial" w:cs="Arial" w:eastAsia="Arial" w:hAnsi="Arial"/>
          <w:sz w:val="48"/>
          <w:szCs w:val="48"/>
        </w:rPr>
        <w:t xml:space="preserve"> Specialized curve-fitting and modeling approaches enable precise quantification of gene dosage effects, supporting prediction of heterozygous carrier phenotypes from homozygous knockdown data.</w:t>
      </w:r>
    </w:p>
    <w:p>
      <w:pPr>
        <w:spacing w:after="120" w:line="360"/>
        <w:jc w:val="left"/>
      </w:pPr>
      <w:r>
        <w:rPr>
          <w:rFonts w:ascii="Arial" w:cs="Arial" w:eastAsia="Arial" w:hAnsi="Arial"/>
          <w:b/>
          <w:bCs/>
          <w:sz w:val="48"/>
          <w:szCs w:val="48"/>
        </w:rPr>
        <w:t xml:space="preserve">Network Analysis Frameworks:</w:t>
      </w:r>
      <w:r>
        <w:rPr>
          <w:rFonts w:ascii="Arial" w:cs="Arial" w:eastAsia="Arial" w:hAnsi="Arial"/>
          <w:sz w:val="48"/>
          <w:szCs w:val="48"/>
        </w:rPr>
        <w:t xml:space="preserve"> igraph, NetworkX, and Cytoscape-compatible formats enable systematic analysis of gene-gene functional relationships, pathway networks, and co-perturbation patterns derived from Quiver's cross-gene analysis.</w:t>
      </w:r>
    </w:p>
    <w:p>
      <w:pPr>
        <w:spacing w:after="120" w:line="360"/>
        <w:jc w:val="left"/>
      </w:pPr>
      <w:r>
        <w:rPr>
          <w:rFonts w:ascii="Arial" w:cs="Arial" w:eastAsia="Arial" w:hAnsi="Arial"/>
          <w:b/>
          <w:bCs/>
          <w:sz w:val="48"/>
          <w:szCs w:val="48"/>
        </w:rPr>
        <w:t xml:space="preserve">Temporal Integration:</w:t>
      </w:r>
      <w:r>
        <w:rPr>
          <w:rFonts w:ascii="Arial" w:cs="Arial" w:eastAsia="Arial" w:hAnsi="Arial"/>
          <w:sz w:val="48"/>
          <w:szCs w:val="48"/>
        </w:rPr>
        <w:t xml:space="preserve"> For longitudinal or developmental data, specialized analysis modules track phenotypic evolution, identify critical developmental windows, and characterize temporal phenotypic relationships.</w:t>
      </w:r>
    </w:p>
    <w:p>
      <w:pPr>
        <w:spacing w:after="120" w:line="360"/>
        <w:jc w:val="left"/>
      </w:pPr>
      <w:r>
        <w:rPr>
          <w:rFonts w:ascii="Arial" w:cs="Arial" w:eastAsia="Arial" w:hAnsi="Arial"/>
          <w:b/>
          <w:bCs/>
          <w:sz w:val="48"/>
          <w:szCs w:val="48"/>
        </w:rPr>
        <w:t xml:space="preserve">Multi-Modal Integration:</w:t>
      </w:r>
      <w:r>
        <w:rPr>
          <w:rFonts w:ascii="Arial" w:cs="Arial" w:eastAsia="Arial" w:hAnsi="Arial"/>
          <w:sz w:val="48"/>
          <w:szCs w:val="48"/>
        </w:rPr>
        <w:t xml:space="preserve"> Custom frameworks harmonize heterogeneous data types (CRISPR-EP, GWAS, ClinVar, structural variants, expression data) into unified analytical representations supporting integrated analysis and cross-evidence validation.</w:t>
      </w:r>
    </w:p>
    <w:p>
      <w:pPr>
        <w:spacing w:after="120" w:line="360"/>
        <w:jc w:val="left"/>
      </w:pPr>
      <w:r>
        <w:rPr>
          <w:rFonts w:ascii="Arial" w:cs="Arial" w:eastAsia="Arial" w:hAnsi="Arial"/>
          <w:b/>
          <w:bCs/>
          <w:sz w:val="48"/>
          <w:szCs w:val="48"/>
        </w:rPr>
        <w:t xml:space="preserve">Interpretation &amp; Prioritization Engines:</w:t>
      </w:r>
      <w:r>
        <w:rPr>
          <w:rFonts w:ascii="Arial" w:cs="Arial" w:eastAsia="Arial" w:hAnsi="Arial"/>
          <w:sz w:val="48"/>
          <w:szCs w:val="48"/>
        </w:rPr>
        <w:t xml:space="preserve"> Automated systems integrate multiple scoring rubrics (phenotypic strength, genetic evidence, clinical relevance, pathway position, target tractability) into unified prioritization frameworks supporting transparent candidate ranking.</w:t>
      </w:r>
    </w:p>
    <w:p>
      <w:pPr>
        <w:spacing w:after="120" w:line="360"/>
        <w:jc w:val="left"/>
      </w:pPr>
      <w:r>
        <w:rPr>
          <w:rFonts w:ascii="Arial" w:cs="Arial" w:eastAsia="Arial" w:hAnsi="Arial"/>
          <w:b/>
          <w:bCs/>
          <w:sz w:val="48"/>
          <w:szCs w:val="48"/>
        </w:rPr>
        <w:t xml:space="preserve">Documentation &amp; Stakeholder Reporting:</w:t>
      </w:r>
      <w:r>
        <w:rPr>
          <w:rFonts w:ascii="Arial" w:cs="Arial" w:eastAsia="Arial" w:hAnsi="Arial"/>
          <w:sz w:val="48"/>
          <w:szCs w:val="48"/>
        </w:rPr>
        <w:t xml:space="preserve"> Automated report generation produces publication-quality summaries, candidate dossiers, and executive briefings. Interactive dashboards enable stakeholder exploration of results with customizable filtering and drilling options.</w:t>
      </w:r>
    </w:p>
    <w:p>
      <w:pPr>
        <w:spacing w:after="120" w:line="360"/>
        <w:jc w:val="left"/>
      </w:pPr>
      <w:r>
        <w:rPr>
          <w:rFonts w:ascii="Arial" w:cs="Arial" w:eastAsia="Arial" w:hAnsi="Arial"/>
          <w:b/>
          <w:bCs/>
          <w:sz w:val="48"/>
          <w:szCs w:val="48"/>
        </w:rPr>
        <w:t xml:space="preserve">Continuous Improvement:</w:t>
      </w:r>
      <w:r>
        <w:rPr>
          <w:rFonts w:ascii="Arial" w:cs="Arial" w:eastAsia="Arial" w:hAnsi="Arial"/>
          <w:sz w:val="48"/>
          <w:szCs w:val="48"/>
        </w:rPr>
        <w:t xml:space="preserve"> Machine learning approaches identify systematic biases, optimize analytical parameters, and generate actionable insights for pipeline refinement. Feedback from experimental validation studies directly informs algorithmic improvements.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2026-02-27T19:56:14.783Z</dcterms:created>
  <dcterms:modified xsi:type="dcterms:W3CDTF">2026-02-27T19:56:14.783Z</dcterms:modified>
</cp:coreProperties>
</file>

<file path=docProps/custom.xml><?xml version="1.0" encoding="utf-8"?>
<Properties xmlns="http://schemas.openxmlformats.org/officeDocument/2006/custom-properties" xmlns:vt="http://schemas.openxmlformats.org/officeDocument/2006/docPropsVTypes"/>
</file>