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Pipeline_090_Partial_vs_Full_Knockdown_Outcome</w:t>
      </w:r>
    </w:p>
    <w:p>
      <w:pPr>
        <w:spacing w:after="180"/>
      </w:pPr>
      <w:r>
        <w:t xml:space="preserve">Prompt: Identify genes where partial knockdown gives superior functional outcome compared to full knockdown.</w:t>
      </w:r>
    </w:p>
    <w:p>
      <w:pPr>
        <w:spacing w:after="180"/>
      </w:pPr>
      <w:r>
        <w:t xml:space="preserve">The Quiver Bioscience Sapphire platform represents a comprehensive AI-driven drug discovery system leveraging ~18,000 CRISPR gene perturbations coupled with high-throughput electrophysiology (EP) phenotyping in human cortical neurons. This unprecedented dataset captures functional consequences of precise genetic modifications across the proteome in a disease-relevant model system.</w:t>
      </w:r>
    </w:p>
    <w:p>
      <w:pPr>
        <w:spacing w:after="180"/>
      </w:pPr>
      <w:r>
        <w:t xml:space="preserve">The Pipeline_090_Partial_vs_Full_Knockdown_Outcome pipeline exemplifies the power of integrating massive-scale perturbation data with computational biology and clinical intelligence to identify therapeutically actionable targets. By systematically analyzing gene-phenotype relationships, this workflow enables rapid prioritization of candidates most likely to succeed in clinical translation.</w:t>
      </w:r>
    </w:p>
    <w:p>
      <w:pPr>
        <w:spacing w:after="180"/>
      </w:pPr>
      <w:r>
        <w:t xml:space="preserve">This pipeline leverages the unique strengths of the Sapphire platform: (1) graded knockdown capabilities enabling dose-response analysis rather than binary on/off perturbations, (2) functional readouts in human neurons rather than proxy systems, (3) embedding space representation of ~18,000 genes capturing phenotypic similarity and functional networks, and (4) integration with clinical databases and structural biology tools.</w:t>
      </w:r>
    </w:p>
    <w:p>
      <w:pPr>
        <w:spacing w:after="180"/>
      </w:pPr>
      <w:r>
        <w:t xml:space="preserve">The Sapphire platform enables drug discovery workflows that were previously impossible due to data scarcity. Traditional target validation relies on cell line transfections, knockout mouse models, or computational inference—each with significant limitations. Sapphire provides experimental ground truth for human neuronal function across the entire protein-coding genome with single-gene resolution.</w:t>
      </w:r>
    </w:p>
    <w:p>
      <w:pPr>
        <w:spacing w:after="180"/>
      </w:pPr>
      <w:r>
        <w:t xml:space="preserve">This standardized workflow can be executed iteratively on thousands of targets, generating hypothesis space for therapeutic intervention. The structured pipeline ensures reproducibility, scalability, and adherence to best practices in target prioritization. Each stage includes validation checkpoints, quality control filters, and decision gates to ensure only high-confidence candidates advance.</w:t>
      </w:r>
    </w:p>
    <w:p>
      <w:pPr>
        <w:spacing w:after="180"/>
      </w:pPr>
      <w:r>
        <w:t xml:space="preserve">The following sections detail the complete analytical workflow, including data sources, computational tools, exemplary prompts for AI-assisted analysis, expected outputs, and formatting specifications. This structure enables both human experts and AI systems to execute the pipeline consistently and generate actionable insights for drug discovery.</w:t>
      </w:r>
    </w:p>
    <w:p>
      <w:pPr>
        <w:pStyle w:val="Heading1"/>
        <w:spacing w:after="240"/>
      </w:pPr>
      <w:r>
        <w:t xml:space="preserve">Stage 1: Query Sapphire Dose-Response Phenotype Atlas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Extract and organize graded knockdown electrophysiology data for the target gene of interest, capturing functional readouts across multiple knockdown levels (e.g., 10%, 30%, 50%, 70%, 90%, full knockout).</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Target gene symbol or Entrez ID</w:t>
      </w:r>
    </w:p>
    <w:p>
      <w:pPr>
        <w:pStyle w:val="ListParagraph"/>
        <w:numPr>
          <w:ilvl w:val="0"/>
          <w:numId w:val="1"/>
        </w:numPr>
        <w:spacing w:after="120"/>
      </w:pPr>
      <w:r>
        <w:t xml:space="preserve">Sapphire dose-response dataset (query endpoint)</w:t>
      </w:r>
    </w:p>
    <w:p>
      <w:pPr>
        <w:pStyle w:val="ListParagraph"/>
        <w:numPr>
          <w:ilvl w:val="0"/>
          <w:numId w:val="1"/>
        </w:numPr>
        <w:spacing w:after="120"/>
      </w:pPr>
      <w:r>
        <w:t xml:space="preserve">Electrophysiology phenotype profiles (spike rate, burst frequency, intrinsic excitability, network synchrony)</w:t>
      </w:r>
    </w:p>
    <w:p>
      <w:pPr>
        <w:pStyle w:val="ListParagraph"/>
        <w:numPr>
          <w:ilvl w:val="0"/>
          <w:numId w:val="1"/>
        </w:numPr>
        <w:spacing w:after="120"/>
      </w:pPr>
      <w:r>
        <w:t xml:space="preserve">Quality control filters (SNR threshold, cell viability, replicate consistency)</w:t>
      </w:r>
    </w:p>
    <w:p>
      <w:pPr>
        <w:pStyle w:val="ListParagraph"/>
        <w:numPr>
          <w:ilvl w:val="0"/>
          <w:numId w:val="1"/>
        </w:numPr>
        <w:spacing w:after="120"/>
      </w:pPr>
      <w:r>
        <w:t xml:space="preserve">Knockdown efficiency validation data from qPCR or Western blot</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Quiver Sapphire dose-response EP atlas API</w:t>
      </w:r>
    </w:p>
    <w:p>
      <w:pPr>
        <w:pStyle w:val="ListParagraph"/>
        <w:numPr>
          <w:ilvl w:val="0"/>
          <w:numId w:val="1"/>
        </w:numPr>
        <w:spacing w:after="120"/>
      </w:pPr>
      <w:r>
        <w:t xml:space="preserve">Custom Python script for data normalization and aggregation</w:t>
      </w:r>
    </w:p>
    <w:p>
      <w:pPr>
        <w:pStyle w:val="ListParagraph"/>
        <w:numPr>
          <w:ilvl w:val="0"/>
          <w:numId w:val="1"/>
        </w:numPr>
        <w:spacing w:after="120"/>
      </w:pPr>
      <w:r>
        <w:t xml:space="preserve">Matplotlib/Seaborn for visualization</w:t>
      </w:r>
    </w:p>
    <w:p>
      <w:pPr>
        <w:pStyle w:val="ListParagraph"/>
        <w:numPr>
          <w:ilvl w:val="0"/>
          <w:numId w:val="1"/>
        </w:numPr>
        <w:spacing w:after="120"/>
      </w:pPr>
      <w:r>
        <w:t xml:space="preserve">Scipy.stats for statistical testing (ANOVA across dose levels)</w:t>
      </w:r>
    </w:p>
    <w:p>
      <w:pPr>
        <w:pStyle w:val="ListParagraph"/>
        <w:numPr>
          <w:ilvl w:val="0"/>
          <w:numId w:val="1"/>
        </w:numPr>
        <w:spacing w:after="120"/>
      </w:pPr>
      <w:r>
        <w:t xml:space="preserve">Pandas for data manipulation and filtering</w:t>
      </w:r>
    </w:p>
    <w:p>
      <w:pPr>
        <w:pStyle w:val="ListParagraph"/>
        <w:numPr>
          <w:ilvl w:val="0"/>
          <w:numId w:val="1"/>
        </w:numPr>
        <w:spacing w:after="120"/>
      </w:pPr>
      <w:r>
        <w:t xml:space="preserve">HDF5 or Parquet file readers for batch queries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Extract all dose-response curves for GENE_X across 18,000 gene knockdowns; identify top 50 genes where partial knockdown (30-50% suppression) improves spike rate phenotype compared to full knockout</w:t>
      </w:r>
    </w:p>
    <w:p>
      <w:pPr>
        <w:pStyle w:val="ListParagraph"/>
        <w:numPr>
          <w:ilvl w:val="0"/>
          <w:numId w:val="1"/>
        </w:numPr>
        <w:spacing w:after="120"/>
      </w:pPr>
      <w:r>
        <w:t xml:space="preserve">Quantify the phenotypic magnitude change at each knockdown level; identify inflection points where additional knockdown begins to produce harmful phenotypes</w:t>
      </w:r>
    </w:p>
    <w:p>
      <w:pPr>
        <w:pStyle w:val="ListParagraph"/>
        <w:numPr>
          <w:ilvl w:val="0"/>
          <w:numId w:val="1"/>
        </w:numPr>
        <w:spacing w:after="120"/>
      </w:pPr>
      <w:r>
        <w:t xml:space="preserve">Compare knockdown dose-response curves between healthy and disease-associated variants for GENE_X</w:t>
      </w:r>
    </w:p>
    <w:p>
      <w:pPr>
        <w:pStyle w:val="ListParagraph"/>
        <w:numPr>
          <w:ilvl w:val="0"/>
          <w:numId w:val="1"/>
        </w:numPr>
        <w:spacing w:after="120"/>
      </w:pPr>
      <w:r>
        <w:t xml:space="preserve">Generate synthetic dose-response data using sigmoid model fitting for genes with sparse data points</w:t>
      </w:r>
    </w:p>
    <w:p>
      <w:pPr>
        <w:pStyle w:val="ListParagraph"/>
        <w:numPr>
          <w:ilvl w:val="0"/>
          <w:numId w:val="1"/>
        </w:numPr>
        <w:spacing w:after="120"/>
      </w:pPr>
      <w:r>
        <w:t xml:space="preserve">Rank genes by the sharpness of their dose-response curve (steep vs. shallow slopes) to identify targets with narrow therapeutic windows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Dose-response phenotype table (gene x knockdown level x 12+ EP phenotypes)</w:t>
      </w:r>
    </w:p>
    <w:p>
      <w:pPr>
        <w:pStyle w:val="ListParagraph"/>
        <w:numPr>
          <w:ilvl w:val="0"/>
          <w:numId w:val="1"/>
        </w:numPr>
        <w:spacing w:after="120"/>
      </w:pPr>
      <w:r>
        <w:t xml:space="preserve">Visualization plots showing phenotype trajectories across knockdown levels</w:t>
      </w:r>
    </w:p>
    <w:p>
      <w:pPr>
        <w:pStyle w:val="ListParagraph"/>
        <w:numPr>
          <w:ilvl w:val="0"/>
          <w:numId w:val="1"/>
        </w:numPr>
        <w:spacing w:after="120"/>
      </w:pPr>
      <w:r>
        <w:t xml:space="preserve">Statistical significance matrix (p-values for dose effects by phenotype)</w:t>
      </w:r>
    </w:p>
    <w:p>
      <w:pPr>
        <w:pStyle w:val="ListParagraph"/>
        <w:numPr>
          <w:ilvl w:val="0"/>
          <w:numId w:val="1"/>
        </w:numPr>
        <w:spacing w:after="120"/>
      </w:pPr>
      <w:r>
        <w:t xml:space="preserve">Optimal knockdown level recommendations with confidence intervals</w:t>
      </w:r>
    </w:p>
    <w:p>
      <w:pPr>
        <w:pStyle w:val="ListParagraph"/>
        <w:numPr>
          <w:ilvl w:val="0"/>
          <w:numId w:val="1"/>
        </w:numPr>
        <w:spacing w:after="120"/>
      </w:pPr>
      <w:r>
        <w:t xml:space="preserve">Comparison reports between target and off-target perturbation phenotypes</w:t>
      </w:r>
    </w:p>
    <w:p>
      <w:pPr>
        <w:pStyle w:val="ListParagraph"/>
        <w:numPr>
          <w:ilvl w:val="0"/>
          <w:numId w:val="1"/>
        </w:numPr>
        <w:spacing w:after="120"/>
      </w:pPr>
      <w:r>
        <w:t xml:space="preserve">Quality metrics indicating data completeness and replicability</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CSV spreadsheet with 1000+ rows (one row per gene-knockdown combination), columns for gene ID, knockdown %, phenotype names, values, confidence intervals, p-values, and metadata.</w:t>
      </w:r>
    </w:p>
    <w:p>
      <w:pPr>
        <w:pStyle w:val="Heading1"/>
        <w:spacing w:after="240"/>
      </w:pPr>
      <w:r>
        <w:t xml:space="preserve">Stage 2: Fit Dose-Response Curves and Identify Therapeutic Windows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Construct parametric dose-response models (typically sigmoid/Hill functions) to quantify the relationship between knockdown level and phenotypic change, then identify knockdown ranges where therapeutic benefit is maximized relative to adverse effects.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Dose-response phenotype data from Stage 1</w:t>
      </w:r>
    </w:p>
    <w:p>
      <w:pPr>
        <w:pStyle w:val="ListParagraph"/>
        <w:numPr>
          <w:ilvl w:val="0"/>
          <w:numId w:val="1"/>
        </w:numPr>
        <w:spacing w:after="120"/>
      </w:pPr>
      <w:r>
        <w:t xml:space="preserve">Reference phenotype values from wild-type neurons (untreated control)</w:t>
      </w:r>
    </w:p>
    <w:p>
      <w:pPr>
        <w:pStyle w:val="ListParagraph"/>
        <w:numPr>
          <w:ilvl w:val="0"/>
          <w:numId w:val="1"/>
        </w:numPr>
        <w:spacing w:after="120"/>
      </w:pPr>
      <w:r>
        <w:t xml:space="preserve">Clinically relevant phenotype targets (e.g., spike rate normalized to 50% of baseline)</w:t>
      </w:r>
    </w:p>
    <w:p>
      <w:pPr>
        <w:pStyle w:val="ListParagraph"/>
        <w:numPr>
          <w:ilvl w:val="0"/>
          <w:numId w:val="1"/>
        </w:numPr>
        <w:spacing w:after="120"/>
      </w:pPr>
      <w:r>
        <w:t xml:space="preserve">Known toxicity phenotypes (e.g., cell death markers, neurotoxicity signatures)</w:t>
      </w:r>
    </w:p>
    <w:p>
      <w:pPr>
        <w:pStyle w:val="ListParagraph"/>
        <w:numPr>
          <w:ilvl w:val="0"/>
          <w:numId w:val="1"/>
        </w:numPr>
        <w:spacing w:after="120"/>
      </w:pPr>
      <w:r>
        <w:t xml:space="preserve">Regulatory guidance on acceptable safety margins (typically 10-fold)</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Scipy.optimize for curve fitting (minimize, least_squares)</w:t>
      </w:r>
    </w:p>
    <w:p>
      <w:pPr>
        <w:pStyle w:val="ListParagraph"/>
        <w:numPr>
          <w:ilvl w:val="0"/>
          <w:numId w:val="1"/>
        </w:numPr>
        <w:spacing w:after="120"/>
      </w:pPr>
      <w:r>
        <w:t xml:space="preserve">StatsModels for generalized linear models (GLM)</w:t>
      </w:r>
    </w:p>
    <w:p>
      <w:pPr>
        <w:pStyle w:val="ListParagraph"/>
        <w:numPr>
          <w:ilvl w:val="0"/>
          <w:numId w:val="1"/>
        </w:numPr>
        <w:spacing w:after="120"/>
      </w:pPr>
      <w:r>
        <w:t xml:space="preserve">Scikit-learn for regression model selection and cross-validation</w:t>
      </w:r>
    </w:p>
    <w:p>
      <w:pPr>
        <w:pStyle w:val="ListParagraph"/>
        <w:numPr>
          <w:ilvl w:val="0"/>
          <w:numId w:val="1"/>
        </w:numPr>
        <w:spacing w:after="120"/>
      </w:pPr>
      <w:r>
        <w:t xml:space="preserve">Custom Hill equation implementation (flexible sigmoids)</w:t>
      </w:r>
    </w:p>
    <w:p>
      <w:pPr>
        <w:pStyle w:val="ListParagraph"/>
        <w:numPr>
          <w:ilvl w:val="0"/>
          <w:numId w:val="1"/>
        </w:numPr>
        <w:spacing w:after="120"/>
      </w:pPr>
      <w:r>
        <w:t xml:space="preserve">Plotly for interactive dose-response visualization</w:t>
      </w:r>
    </w:p>
    <w:p>
      <w:pPr>
        <w:pStyle w:val="ListParagraph"/>
        <w:numPr>
          <w:ilvl w:val="0"/>
          <w:numId w:val="1"/>
        </w:numPr>
        <w:spacing w:after="120"/>
      </w:pPr>
      <w:r>
        <w:t xml:space="preserve">R package drc (if using R backend) for dose-response analysis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Fit a Hill equation (4-parameter sigmoid) to dose-response curves for spike rate, burst frequency, and network synchrony; extract EC50, Hill coefficient, and max response</w:t>
      </w:r>
    </w:p>
    <w:p>
      <w:pPr>
        <w:pStyle w:val="ListParagraph"/>
        <w:numPr>
          <w:ilvl w:val="0"/>
          <w:numId w:val="1"/>
        </w:numPr>
        <w:spacing w:after="120"/>
      </w:pPr>
      <w:r>
        <w:t xml:space="preserve">Identify the knockdown level where target phenotype reaches 80% of maximum beneficial effect with &lt;10% off-target toxicity phenotype change</w:t>
      </w:r>
    </w:p>
    <w:p>
      <w:pPr>
        <w:pStyle w:val="ListParagraph"/>
        <w:numPr>
          <w:ilvl w:val="0"/>
          <w:numId w:val="1"/>
        </w:numPr>
        <w:spacing w:after="120"/>
      </w:pPr>
      <w:r>
        <w:t xml:space="preserve">Compare therapeutic window widths between GENE_X and GENE_Y; determine which has more favorable dose-response profiles</w:t>
      </w:r>
    </w:p>
    <w:p>
      <w:pPr>
        <w:pStyle w:val="ListParagraph"/>
        <w:numPr>
          <w:ilvl w:val="0"/>
          <w:numId w:val="1"/>
        </w:numPr>
        <w:spacing w:after="120"/>
      </w:pPr>
      <w:r>
        <w:t xml:space="preserve">Extrapolate knockdown dose-response relationships to human in vivo pharmacokinetics using PK/PD modeling</w:t>
      </w:r>
    </w:p>
    <w:p>
      <w:pPr>
        <w:pStyle w:val="ListParagraph"/>
        <w:numPr>
          <w:ilvl w:val="0"/>
          <w:numId w:val="1"/>
        </w:numPr>
        <w:spacing w:after="120"/>
      </w:pPr>
      <w:r>
        <w:t xml:space="preserve">Quantify the robustness of optimal knockdown levels across different cell batches and neural differentiation protocols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Hill curve parameters (EC50, Hill coefficient, Emax) for each phenotype per gene</w:t>
      </w:r>
    </w:p>
    <w:p>
      <w:pPr>
        <w:pStyle w:val="ListParagraph"/>
        <w:numPr>
          <w:ilvl w:val="0"/>
          <w:numId w:val="1"/>
        </w:numPr>
        <w:spacing w:after="120"/>
      </w:pPr>
      <w:r>
        <w:t xml:space="preserve">Therapeutic window definition (knockdown % range with optimal benefit:risk ratio)</w:t>
      </w:r>
    </w:p>
    <w:p>
      <w:pPr>
        <w:pStyle w:val="ListParagraph"/>
        <w:numPr>
          <w:ilvl w:val="0"/>
          <w:numId w:val="1"/>
        </w:numPr>
        <w:spacing w:after="120"/>
      </w:pPr>
      <w:r>
        <w:t xml:space="preserve">Predicted phenotype values at half-maximal knockdown, optimal knockdown, and full knockout</w:t>
      </w:r>
    </w:p>
    <w:p>
      <w:pPr>
        <w:pStyle w:val="ListParagraph"/>
        <w:numPr>
          <w:ilvl w:val="0"/>
          <w:numId w:val="1"/>
        </w:numPr>
        <w:spacing w:after="120"/>
      </w:pPr>
      <w:r>
        <w:t xml:space="preserve">Sensitivity analysis showing which phenotypes drive therapeutic window width</w:t>
      </w:r>
    </w:p>
    <w:p>
      <w:pPr>
        <w:pStyle w:val="ListParagraph"/>
        <w:numPr>
          <w:ilvl w:val="0"/>
          <w:numId w:val="1"/>
        </w:numPr>
        <w:spacing w:after="120"/>
      </w:pPr>
      <w:r>
        <w:t xml:space="preserve">Comparison matrix of therapeutic windows across candidate genes</w:t>
      </w:r>
    </w:p>
    <w:p>
      <w:pPr>
        <w:pStyle w:val="ListParagraph"/>
        <w:numPr>
          <w:ilvl w:val="0"/>
          <w:numId w:val="1"/>
        </w:numPr>
        <w:spacing w:after="120"/>
      </w:pPr>
      <w:r>
        <w:t xml:space="preserve">Interactive dose-response plots with annotated therapeutic window region</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JSON file with nested structure: { gene_symbol: { phenotype: { ec50: value, hill_coeff: value, emax: value, therapeutic_window: [min%, max%] } } }; accompanying PNG plots with overlaid curves and highlighted regions.</w:t>
      </w:r>
    </w:p>
    <w:p>
      <w:pPr>
        <w:pStyle w:val="Heading1"/>
        <w:spacing w:after="240"/>
      </w:pPr>
      <w:r>
        <w:t xml:space="preserve">Stage 3: Compare Partial vs. Full Knockdown Outcome Classification</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Directly compare functional outcomes between partial knockdown (optimal dose) and full knockout conditions, classifying genes into categories based on whether partial knockdown offers superior, equivalent, or inferior benefit relative to complete suppression.</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Dose-response phenotype data and fitted curves from Stage 2</w:t>
      </w:r>
    </w:p>
    <w:p>
      <w:pPr>
        <w:pStyle w:val="ListParagraph"/>
        <w:numPr>
          <w:ilvl w:val="0"/>
          <w:numId w:val="1"/>
        </w:numPr>
        <w:spacing w:after="120"/>
      </w:pPr>
      <w:r>
        <w:t xml:space="preserve">Therapeutic window recommendations</w:t>
      </w:r>
    </w:p>
    <w:p>
      <w:pPr>
        <w:pStyle w:val="ListParagraph"/>
        <w:numPr>
          <w:ilvl w:val="0"/>
          <w:numId w:val="1"/>
        </w:numPr>
        <w:spacing w:after="120"/>
      </w:pPr>
      <w:r>
        <w:t xml:space="preserve">Phenotypic effect sizes at optimal partial knockdown vs. full knockout</w:t>
      </w:r>
    </w:p>
    <w:p>
      <w:pPr>
        <w:pStyle w:val="ListParagraph"/>
        <w:numPr>
          <w:ilvl w:val="0"/>
          <w:numId w:val="1"/>
        </w:numPr>
        <w:spacing w:after="120"/>
      </w:pPr>
      <w:r>
        <w:t xml:space="preserve">Statistical power calculations for outcome classification</w:t>
      </w:r>
    </w:p>
    <w:p>
      <w:pPr>
        <w:pStyle w:val="ListParagraph"/>
        <w:numPr>
          <w:ilvl w:val="0"/>
          <w:numId w:val="1"/>
        </w:numPr>
        <w:spacing w:after="120"/>
      </w:pPr>
      <w:r>
        <w:t xml:space="preserve">Prior classification assumptions (what defines "superior" benefit)</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Numpy/Scipy for effect size calculation (Cohen's d, eta-squared)</w:t>
      </w:r>
    </w:p>
    <w:p>
      <w:pPr>
        <w:pStyle w:val="ListParagraph"/>
        <w:numPr>
          <w:ilvl w:val="0"/>
          <w:numId w:val="1"/>
        </w:numPr>
        <w:spacing w:after="120"/>
      </w:pPr>
      <w:r>
        <w:t xml:space="preserve">Statsmodels for hypothesis testing (paired t-tests, Wilcoxon signed-rank)</w:t>
      </w:r>
    </w:p>
    <w:p>
      <w:pPr>
        <w:pStyle w:val="ListParagraph"/>
        <w:numPr>
          <w:ilvl w:val="0"/>
          <w:numId w:val="1"/>
        </w:numPr>
        <w:spacing w:after="120"/>
      </w:pPr>
      <w:r>
        <w:t xml:space="preserve">Custom classification algorithm (decision tree or rule-based logic)</w:t>
      </w:r>
    </w:p>
    <w:p>
      <w:pPr>
        <w:pStyle w:val="ListParagraph"/>
        <w:numPr>
          <w:ilvl w:val="0"/>
          <w:numId w:val="1"/>
        </w:numPr>
        <w:spacing w:after="120"/>
      </w:pPr>
      <w:r>
        <w:t xml:space="preserve">Scikit-learn for clustering genes by dose-response profile similarity</w:t>
      </w:r>
    </w:p>
    <w:p>
      <w:pPr>
        <w:pStyle w:val="ListParagraph"/>
        <w:numPr>
          <w:ilvl w:val="0"/>
          <w:numId w:val="1"/>
        </w:numPr>
        <w:spacing w:after="120"/>
      </w:pPr>
      <w:r>
        <w:t xml:space="preserve">Seaborn for categorical comparison visualizations</w:t>
      </w:r>
    </w:p>
    <w:p>
      <w:pPr>
        <w:pStyle w:val="ListParagraph"/>
        <w:numPr>
          <w:ilvl w:val="0"/>
          <w:numId w:val="1"/>
        </w:numPr>
        <w:spacing w:after="120"/>
      </w:pPr>
      <w:r>
        <w:t xml:space="preserve">Monte Carlo simulation for bootstrap confidence intervals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For genes where partial knockdown improves spike rate &gt;2-fold vs. full knockout, identify shared biological pathways and functional annotations</w:t>
      </w:r>
    </w:p>
    <w:p>
      <w:pPr>
        <w:pStyle w:val="ListParagraph"/>
        <w:numPr>
          <w:ilvl w:val="0"/>
          <w:numId w:val="1"/>
        </w:numPr>
        <w:spacing w:after="120"/>
      </w:pPr>
      <w:r>
        <w:t xml:space="preserve">Classify all 18,000 genes into: (A) partial superior, (B) equivalent, (C) full superior outcomes; generate aggregate statistics for each category</w:t>
      </w:r>
    </w:p>
    <w:p>
      <w:pPr>
        <w:pStyle w:val="ListParagraph"/>
        <w:numPr>
          <w:ilvl w:val="0"/>
          <w:numId w:val="1"/>
        </w:numPr>
        <w:spacing w:after="120"/>
      </w:pPr>
      <w:r>
        <w:t xml:space="preserve">Identify genes where full knockout triggers compensatory phenotypes (e.g., increased burst frequency following spike suppression) that are absent at partial knockdown</w:t>
      </w:r>
    </w:p>
    <w:p>
      <w:pPr>
        <w:pStyle w:val="ListParagraph"/>
        <w:numPr>
          <w:ilvl w:val="0"/>
          <w:numId w:val="1"/>
        </w:numPr>
        <w:spacing w:after="120"/>
      </w:pPr>
      <w:r>
        <w:t xml:space="preserve">Correlate outcome classification with gene features (protein domains, expression level, network degree) to predict which genes benefit from partial knockdown</w:t>
      </w:r>
    </w:p>
    <w:p>
      <w:pPr>
        <w:pStyle w:val="ListParagraph"/>
        <w:numPr>
          <w:ilvl w:val="0"/>
          <w:numId w:val="1"/>
        </w:numPr>
        <w:spacing w:after="120"/>
      </w:pPr>
      <w:r>
        <w:t xml:space="preserve">Generate a "partial knockdown advantage index" scoring how much benefit partial knockdown offers vs. full knockout for each gene</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Classification table: all genes with outcome category (partial superior / equivalent / full superior), effect sizes, and confidence intervals</w:t>
      </w:r>
    </w:p>
    <w:p>
      <w:pPr>
        <w:pStyle w:val="ListParagraph"/>
        <w:numPr>
          <w:ilvl w:val="0"/>
          <w:numId w:val="1"/>
        </w:numPr>
        <w:spacing w:after="120"/>
      </w:pPr>
      <w:r>
        <w:t xml:space="preserve">Contingency table showing overlap between outcome categories and gene annotations</w:t>
      </w:r>
    </w:p>
    <w:p>
      <w:pPr>
        <w:pStyle w:val="ListParagraph"/>
        <w:numPr>
          <w:ilvl w:val="0"/>
          <w:numId w:val="1"/>
        </w:numPr>
        <w:spacing w:after="120"/>
      </w:pPr>
      <w:r>
        <w:t xml:space="preserve">Stratified phenotype comparisons (partial optimal vs. full knockout) for top candidates</w:t>
      </w:r>
    </w:p>
    <w:p>
      <w:pPr>
        <w:pStyle w:val="ListParagraph"/>
        <w:numPr>
          <w:ilvl w:val="0"/>
          <w:numId w:val="1"/>
        </w:numPr>
        <w:spacing w:after="120"/>
      </w:pPr>
      <w:r>
        <w:t xml:space="preserve">Volcano plot-style visualization showing genes with largest benefits of partial knockdown</w:t>
      </w:r>
    </w:p>
    <w:p>
      <w:pPr>
        <w:pStyle w:val="ListParagraph"/>
        <w:numPr>
          <w:ilvl w:val="0"/>
          <w:numId w:val="1"/>
        </w:numPr>
        <w:spacing w:after="120"/>
      </w:pPr>
      <w:r>
        <w:t xml:space="preserve">Ranked list of top 100 genes where partial knockdown offers maximum therapeutic advantage</w:t>
      </w:r>
    </w:p>
    <w:p>
      <w:pPr>
        <w:pStyle w:val="ListParagraph"/>
        <w:numPr>
          <w:ilvl w:val="0"/>
          <w:numId w:val="1"/>
        </w:numPr>
        <w:spacing w:after="120"/>
      </w:pPr>
      <w:r>
        <w:t xml:space="preserve">Statistical summary: percentage of genes in each category, median effect sizes, and significance thresholds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Tab-separated values (TSV) table with columns: Gene Symbol, Outcome Category, Effect Size (Cohen's d), P-value, 95% CI Lower, 95% CI Upper, Top Phenotype Benefit, Confidence Level. Accompanying PNG volcano plots and category distribution charts.</w:t>
      </w:r>
    </w:p>
    <w:p>
      <w:pPr>
        <w:pStyle w:val="Heading1"/>
        <w:spacing w:after="240"/>
      </w:pPr>
      <w:r>
        <w:t xml:space="preserve">Stage 4: Validate Against Clinical Haploinsufficiency and gnomAD</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Cross-reference computational predictions with human genetic data to assess whether genes showing "partial knockdown advantage" phenotypes are compatible with heterozygous loss-of-function in human populations, indicating clinical feasibility for partial suppression strategies.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Genes classified in Stage 3 as "partial knockdown advantage"</w:t>
      </w:r>
    </w:p>
    <w:p>
      <w:pPr>
        <w:pStyle w:val="ListParagraph"/>
        <w:numPr>
          <w:ilvl w:val="0"/>
          <w:numId w:val="1"/>
        </w:numPr>
        <w:spacing w:after="120"/>
      </w:pPr>
      <w:r>
        <w:t xml:space="preserve">gnomAD database (allele frequencies, haploinsufficiency predictions)</w:t>
      </w:r>
    </w:p>
    <w:p>
      <w:pPr>
        <w:pStyle w:val="ListParagraph"/>
        <w:numPr>
          <w:ilvl w:val="0"/>
          <w:numId w:val="1"/>
        </w:numPr>
        <w:spacing w:after="120"/>
      </w:pPr>
      <w:r>
        <w:t xml:space="preserve">ClinVar clinical significance annotations</w:t>
      </w:r>
    </w:p>
    <w:p>
      <w:pPr>
        <w:pStyle w:val="ListParagraph"/>
        <w:numPr>
          <w:ilvl w:val="0"/>
          <w:numId w:val="1"/>
        </w:numPr>
        <w:spacing w:after="120"/>
      </w:pPr>
      <w:r>
        <w:t xml:space="preserve">Genome Aggregation Database (gnomAD) haploinsufficiency metrics</w:t>
      </w:r>
    </w:p>
    <w:p>
      <w:pPr>
        <w:pStyle w:val="ListParagraph"/>
        <w:numPr>
          <w:ilvl w:val="0"/>
          <w:numId w:val="1"/>
        </w:numPr>
        <w:spacing w:after="120"/>
      </w:pPr>
      <w:r>
        <w:t xml:space="preserve">Human genetic burden data from disease-specific studies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Ensembl API for variant annotation</w:t>
      </w:r>
    </w:p>
    <w:p>
      <w:pPr>
        <w:pStyle w:val="ListParagraph"/>
        <w:numPr>
          <w:ilvl w:val="0"/>
          <w:numId w:val="1"/>
        </w:numPr>
        <w:spacing w:after="120"/>
      </w:pPr>
      <w:r>
        <w:t xml:space="preserve">gnomAD Python client (gnomad.exomes, gnomad.genomes)</w:t>
      </w:r>
    </w:p>
    <w:p>
      <w:pPr>
        <w:pStyle w:val="ListParagraph"/>
        <w:numPr>
          <w:ilvl w:val="0"/>
          <w:numId w:val="1"/>
        </w:numPr>
        <w:spacing w:after="120"/>
      </w:pPr>
      <w:r>
        <w:t xml:space="preserve">ClinVar REST API for clinical significance lookup</w:t>
      </w:r>
    </w:p>
    <w:p>
      <w:pPr>
        <w:pStyle w:val="ListParagraph"/>
        <w:numPr>
          <w:ilvl w:val="0"/>
          <w:numId w:val="1"/>
        </w:numPr>
        <w:spacing w:after="120"/>
      </w:pPr>
      <w:r>
        <w:t xml:space="preserve">Custom score integration (haploinsufficiency pLI score)</w:t>
      </w:r>
    </w:p>
    <w:p>
      <w:pPr>
        <w:pStyle w:val="ListParagraph"/>
        <w:numPr>
          <w:ilvl w:val="0"/>
          <w:numId w:val="1"/>
        </w:numPr>
        <w:spacing w:after="120"/>
      </w:pPr>
      <w:r>
        <w:t xml:space="preserve">Python Pandas for cross-database merging and filtering</w:t>
      </w:r>
    </w:p>
    <w:p>
      <w:pPr>
        <w:pStyle w:val="ListParagraph"/>
        <w:numPr>
          <w:ilvl w:val="0"/>
          <w:numId w:val="1"/>
        </w:numPr>
        <w:spacing w:after="120"/>
      </w:pPr>
      <w:r>
        <w:t xml:space="preserve">Matplotlib for visualization of genetic burden profiles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Query gnomAD haploinsufficiency metrics (pLI, LOEUF scores) for all "partial knockdown advantage" genes; filter for genes tolerant of heterozygous loss-of-function (pLI &lt; 0.1)</w:t>
      </w:r>
    </w:p>
    <w:p>
      <w:pPr>
        <w:pStyle w:val="ListParagraph"/>
        <w:numPr>
          <w:ilvl w:val="0"/>
          <w:numId w:val="1"/>
        </w:numPr>
        <w:spacing w:after="120"/>
      </w:pPr>
      <w:r>
        <w:t xml:space="preserve">Cross-reference ClinVar to identify genes already associated with haploinsufficiency phenotypes in patients (indicating clinical precedent for partial suppression)</w:t>
      </w:r>
    </w:p>
    <w:p>
      <w:pPr>
        <w:pStyle w:val="ListParagraph"/>
        <w:numPr>
          <w:ilvl w:val="0"/>
          <w:numId w:val="1"/>
        </w:numPr>
        <w:spacing w:after="120"/>
      </w:pPr>
      <w:r>
        <w:t xml:space="preserve">Compare allele frequency distributions of loss-of-function variants in gnomAD between "partial advantage" genes and control genes</w:t>
      </w:r>
    </w:p>
    <w:p>
      <w:pPr>
        <w:pStyle w:val="ListParagraph"/>
        <w:numPr>
          <w:ilvl w:val="0"/>
          <w:numId w:val="1"/>
        </w:numPr>
        <w:spacing w:after="120"/>
      </w:pPr>
      <w:r>
        <w:t xml:space="preserve">Identify genes where haploinsufficiency is associated with neurodevelopmental benefits (counterintuitive to standard LoF burden models)</w:t>
      </w:r>
    </w:p>
    <w:p>
      <w:pPr>
        <w:pStyle w:val="ListParagraph"/>
        <w:numPr>
          <w:ilvl w:val="0"/>
          <w:numId w:val="1"/>
        </w:numPr>
        <w:spacing w:after="120"/>
      </w:pPr>
      <w:r>
        <w:t xml:space="preserve">Generate a "clinical feasibility score" integrating gnomAD tolerance, ClinVar precedent, and computational haploinsufficiency predictions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Filtered gene list: "partial knockdown advantage" genes compatible with heterozygous LoF (pLI &lt; 0.1)</w:t>
      </w:r>
    </w:p>
    <w:p>
      <w:pPr>
        <w:pStyle w:val="ListParagraph"/>
        <w:numPr>
          <w:ilvl w:val="0"/>
          <w:numId w:val="1"/>
        </w:numPr>
        <w:spacing w:after="120"/>
      </w:pPr>
      <w:r>
        <w:t xml:space="preserve">Haploinsufficiency metrics table (gene, pLI, LOEUF, gnomAD LoF count, allele frequency)</w:t>
      </w:r>
    </w:p>
    <w:p>
      <w:pPr>
        <w:pStyle w:val="ListParagraph"/>
        <w:numPr>
          <w:ilvl w:val="0"/>
          <w:numId w:val="1"/>
        </w:numPr>
        <w:spacing w:after="120"/>
      </w:pPr>
      <w:r>
        <w:t xml:space="preserve">ClinVar phenotype associations for candidate genes</w:t>
      </w:r>
    </w:p>
    <w:p>
      <w:pPr>
        <w:pStyle w:val="ListParagraph"/>
        <w:numPr>
          <w:ilvl w:val="0"/>
          <w:numId w:val="1"/>
        </w:numPr>
        <w:spacing w:after="120"/>
      </w:pPr>
      <w:r>
        <w:t xml:space="preserve">Comparison of Sapphire "partial advantage" classifications with human genetic tolerance metrics</w:t>
      </w:r>
    </w:p>
    <w:p>
      <w:pPr>
        <w:pStyle w:val="ListParagraph"/>
        <w:numPr>
          <w:ilvl w:val="0"/>
          <w:numId w:val="1"/>
        </w:numPr>
        <w:spacing w:after="120"/>
      </w:pPr>
      <w:r>
        <w:t xml:space="preserve">Clinical feasibility scores (0-1 scale) integrating multiple genetic evidence sources</w:t>
      </w:r>
    </w:p>
    <w:p>
      <w:pPr>
        <w:pStyle w:val="ListParagraph"/>
        <w:numPr>
          <w:ilvl w:val="0"/>
          <w:numId w:val="1"/>
        </w:numPr>
        <w:spacing w:after="120"/>
      </w:pPr>
      <w:r>
        <w:t xml:space="preserve">Literature summary of genes with documented haploinsufficiency phenotypes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Excel spreadsheet with multiple sheets: (1) Filtered gene list with clinical feasibility scores, (2) Haploinsufficiency metrics, (3) ClinVar annotations, (4) Comparison matrix. Columns: Gene, pLI, LOEUF, Sapphire Outcome, ClinVar Phenotype, Feasibility Score.</w:t>
      </w:r>
    </w:p>
    <w:p>
      <w:pPr>
        <w:pStyle w:val="Heading1"/>
        <w:spacing w:after="240"/>
      </w:pPr>
      <w:r>
        <w:t xml:space="preserve">Stage 5: Build Therapeutic Window Modeling and Dosing Projections</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Integrate Sapphire dose-response data with pharmacokinetic-pharmacodynamic (PK/PD) principles to project optimal dosing regimens for drug candidates targeting identified genes, accounting for human PK parameters, target engagement kinetics, and safety margins.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Fitted dose-response curves and therapeutic windows from Stage 2</w:t>
      </w:r>
    </w:p>
    <w:p>
      <w:pPr>
        <w:pStyle w:val="ListParagraph"/>
        <w:numPr>
          <w:ilvl w:val="0"/>
          <w:numId w:val="1"/>
        </w:numPr>
        <w:spacing w:after="120"/>
      </w:pPr>
      <w:r>
        <w:t xml:space="preserve">Sapphire knockdown efficiency data (relationship between siRNA/antisense levels and mRNA suppression)</w:t>
      </w:r>
    </w:p>
    <w:p>
      <w:pPr>
        <w:pStyle w:val="ListParagraph"/>
        <w:numPr>
          <w:ilvl w:val="0"/>
          <w:numId w:val="1"/>
        </w:numPr>
        <w:spacing w:after="120"/>
      </w:pPr>
      <w:r>
        <w:t xml:space="preserve">Typical PK parameters for small molecule inhibitors, antisense oligonucleotides, or other modalities</w:t>
      </w:r>
    </w:p>
    <w:p>
      <w:pPr>
        <w:pStyle w:val="ListParagraph"/>
        <w:numPr>
          <w:ilvl w:val="0"/>
          <w:numId w:val="1"/>
        </w:numPr>
        <w:spacing w:after="120"/>
      </w:pPr>
      <w:r>
        <w:t xml:space="preserve">Target engagement models (protein half-life, turnover kinetics)</w:t>
      </w:r>
    </w:p>
    <w:p>
      <w:pPr>
        <w:pStyle w:val="ListParagraph"/>
        <w:numPr>
          <w:ilvl w:val="0"/>
          <w:numId w:val="1"/>
        </w:numPr>
        <w:spacing w:after="120"/>
      </w:pPr>
      <w:r>
        <w:t xml:space="preserve">Regulatory guidance documents (FDA guidance on therapeutic window widths)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Scipy ODEs for pharmacokinetic compartment models</w:t>
      </w:r>
    </w:p>
    <w:p>
      <w:pPr>
        <w:pStyle w:val="ListParagraph"/>
        <w:numPr>
          <w:ilvl w:val="0"/>
          <w:numId w:val="1"/>
        </w:numPr>
        <w:spacing w:after="120"/>
      </w:pPr>
      <w:r>
        <w:t xml:space="preserve">CellML or SBML parsers for systems biology models</w:t>
      </w:r>
    </w:p>
    <w:p>
      <w:pPr>
        <w:pStyle w:val="ListParagraph"/>
        <w:numPr>
          <w:ilvl w:val="0"/>
          <w:numId w:val="1"/>
        </w:numPr>
        <w:spacing w:after="120"/>
      </w:pPr>
      <w:r>
        <w:t xml:space="preserve">Stan or PyMC3 for Bayesian PK/PD parameter estimation</w:t>
      </w:r>
    </w:p>
    <w:p>
      <w:pPr>
        <w:pStyle w:val="ListParagraph"/>
        <w:numPr>
          <w:ilvl w:val="0"/>
          <w:numId w:val="1"/>
        </w:numPr>
        <w:spacing w:after="120"/>
      </w:pPr>
      <w:r>
        <w:t xml:space="preserve">Quantitative Systems Pharmacology (QSP) simulation software</w:t>
      </w:r>
    </w:p>
    <w:p>
      <w:pPr>
        <w:pStyle w:val="ListParagraph"/>
        <w:numPr>
          <w:ilvl w:val="0"/>
          <w:numId w:val="1"/>
        </w:numPr>
        <w:spacing w:after="120"/>
      </w:pPr>
      <w:r>
        <w:t xml:space="preserve">Graphpad Prism (or R equivalents) for curve fitting</w:t>
      </w:r>
    </w:p>
    <w:p>
      <w:pPr>
        <w:pStyle w:val="ListParagraph"/>
        <w:numPr>
          <w:ilvl w:val="0"/>
          <w:numId w:val="1"/>
        </w:numPr>
        <w:spacing w:after="120"/>
      </w:pPr>
      <w:r>
        <w:t xml:space="preserve">Custom Python class for PK/PD simulation and visualization</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Given a small molecule inhibitor targeting GENE_X with typical PK parameters (Vd=2L, CL=1 L/h), project the steady-state drug concentration needed to achieve 30-50% target knockdown in human cortex</w:t>
      </w:r>
    </w:p>
    <w:p>
      <w:pPr>
        <w:pStyle w:val="ListParagraph"/>
        <w:numPr>
          <w:ilvl w:val="0"/>
          <w:numId w:val="1"/>
        </w:numPr>
        <w:spacing w:after="120"/>
      </w:pPr>
      <w:r>
        <w:t xml:space="preserve">Model long-term PK/PD dynamics assuming target-mediated drug disposition (TMDD), incorporating receptor recycling and occupancy kinetics</w:t>
      </w:r>
    </w:p>
    <w:p>
      <w:pPr>
        <w:pStyle w:val="ListParagraph"/>
        <w:numPr>
          <w:ilvl w:val="0"/>
          <w:numId w:val="1"/>
        </w:numPr>
        <w:spacing w:after="120"/>
      </w:pPr>
      <w:r>
        <w:t xml:space="preserve">Identify off-target binding partners of a GENE_X inhibitor using existing bioactivity data; predict phenotypic consequences at therapeutic vs. off-target occupancy</w:t>
      </w:r>
    </w:p>
    <w:p>
      <w:pPr>
        <w:pStyle w:val="ListParagraph"/>
        <w:numPr>
          <w:ilvl w:val="0"/>
          <w:numId w:val="1"/>
        </w:numPr>
        <w:spacing w:after="120"/>
      </w:pPr>
      <w:r>
        <w:t xml:space="preserve">Design a dosing regimen (frequency, duration) to maintain therapeutic knockdown levels within the identified therapeutic window over 12 weeks</w:t>
      </w:r>
    </w:p>
    <w:p>
      <w:pPr>
        <w:pStyle w:val="ListParagraph"/>
        <w:numPr>
          <w:ilvl w:val="0"/>
          <w:numId w:val="1"/>
        </w:numPr>
        <w:spacing w:after="120"/>
      </w:pPr>
      <w:r>
        <w:t xml:space="preserve">Quantify the impact of genetic variation (CYP450 polymorphisms, transporter variants) on predicted knockdown levels across patient populations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PK/PD model parameters (clearance, volume of distribution, target engagement rate constants)</w:t>
      </w:r>
    </w:p>
    <w:p>
      <w:pPr>
        <w:pStyle w:val="ListParagraph"/>
        <w:numPr>
          <w:ilvl w:val="0"/>
          <w:numId w:val="1"/>
        </w:numPr>
        <w:spacing w:after="120"/>
      </w:pPr>
      <w:r>
        <w:t xml:space="preserve">Projected steady-state drug concentrations for optimal knockdown (80% target occupancy, 30-50% suppression)</w:t>
      </w:r>
    </w:p>
    <w:p>
      <w:pPr>
        <w:pStyle w:val="ListParagraph"/>
        <w:numPr>
          <w:ilvl w:val="0"/>
          <w:numId w:val="1"/>
        </w:numPr>
        <w:spacing w:after="120"/>
      </w:pPr>
      <w:r>
        <w:t xml:space="preserve">Dosing regimen recommendations (mg/kg, frequency) with 10-fold safety margins</w:t>
      </w:r>
    </w:p>
    <w:p>
      <w:pPr>
        <w:pStyle w:val="ListParagraph"/>
        <w:numPr>
          <w:ilvl w:val="0"/>
          <w:numId w:val="1"/>
        </w:numPr>
        <w:spacing w:after="120"/>
      </w:pPr>
      <w:r>
        <w:t xml:space="preserve">Simulated time-course plots showing target knockdown and off-target engagement over 12 weeks</w:t>
      </w:r>
    </w:p>
    <w:p>
      <w:pPr>
        <w:pStyle w:val="ListParagraph"/>
        <w:numPr>
          <w:ilvl w:val="0"/>
          <w:numId w:val="1"/>
        </w:numPr>
        <w:spacing w:after="120"/>
      </w:pPr>
      <w:r>
        <w:t xml:space="preserve">Sensitivity analysis identifying key parameters driving therapeutic window width</w:t>
      </w:r>
    </w:p>
    <w:p>
      <w:pPr>
        <w:pStyle w:val="ListParagraph"/>
        <w:numPr>
          <w:ilvl w:val="0"/>
          <w:numId w:val="1"/>
        </w:numPr>
        <w:spacing w:after="120"/>
      </w:pPr>
      <w:r>
        <w:t xml:space="preserve">Population PK/PD predictions accounting for genetic and demographic variation</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JSON file containing PK/PD parameters, dosing recommendations, and simulation code. Accompanying text report with tables of projected concentrations, dosing regimens, and HTML interactive plots.</w:t>
      </w:r>
    </w:p>
    <w:p>
      <w:pPr>
        <w:pStyle w:val="Heading1"/>
        <w:spacing w:after="240"/>
      </w:pPr>
      <w:r>
        <w:t xml:space="preserve">Stage 6: Generate Final Therapeutic Target Ranking and Clinical Translation Roadmap</w:t>
      </w:r>
    </w:p>
    <w:p>
      <w:pPr>
        <w:spacing w:after="180"/>
      </w:pPr>
      <w:r>
        <w:rPr>
          <w:rFonts w:ascii="Arial" w:cs="Arial" w:eastAsia="Arial" w:hAnsi="Arial"/>
          <w:b/>
          <w:bCs/>
          <w:sz w:val="48"/>
          <w:szCs w:val="48"/>
        </w:rPr>
        <w:t xml:space="preserve">Purpose: </w:t>
      </w:r>
      <w:r>
        <w:rPr>
          <w:rFonts w:ascii="Arial" w:cs="Arial" w:eastAsia="Arial" w:hAnsi="Arial"/>
          <w:b w:val="false"/>
          <w:bCs w:val="false"/>
          <w:sz w:val="48"/>
          <w:szCs w:val="48"/>
        </w:rPr>
        <w:t xml:space="preserve">Synthesize all preceding analyses into a final prioritized ranking of therapeutic targets optimized for partial knockdown strategies, with detailed clinical translation roadmap including regulatory milestones, risk mitigation strategies, and recommended next-stage validation experiments.</w:t>
      </w:r>
    </w:p>
    <w:p>
      <w:pPr>
        <w:spacing w:after="120"/>
      </w:pPr>
      <w:r>
        <w:rPr>
          <w:rFonts w:ascii="Arial" w:cs="Arial" w:eastAsia="Arial" w:hAnsi="Arial"/>
          <w:b/>
          <w:bCs/>
          <w:sz w:val="48"/>
          <w:szCs w:val="48"/>
        </w:rPr>
        <w:t xml:space="preserve">Inputs:</w:t>
      </w:r>
    </w:p>
    <w:p>
      <w:pPr>
        <w:pStyle w:val="ListParagraph"/>
        <w:numPr>
          <w:ilvl w:val="0"/>
          <w:numId w:val="1"/>
        </w:numPr>
        <w:spacing w:after="120"/>
      </w:pPr>
      <w:r>
        <w:t xml:space="preserve">All outputs from Stages 1-5</w:t>
      </w:r>
    </w:p>
    <w:p>
      <w:pPr>
        <w:pStyle w:val="ListParagraph"/>
        <w:numPr>
          <w:ilvl w:val="0"/>
          <w:numId w:val="1"/>
        </w:numPr>
        <w:spacing w:after="120"/>
      </w:pPr>
      <w:r>
        <w:t xml:space="preserve">Competitive landscape analysis (existing clinical candidates, patent landscape)</w:t>
      </w:r>
    </w:p>
    <w:p>
      <w:pPr>
        <w:pStyle w:val="ListParagraph"/>
        <w:numPr>
          <w:ilvl w:val="0"/>
          <w:numId w:val="1"/>
        </w:numPr>
        <w:spacing w:after="120"/>
      </w:pPr>
      <w:r>
        <w:t xml:space="preserve">Target relevance to disease pathophysiology (correlation with disease-associated variants, pathway enrichment)</w:t>
      </w:r>
    </w:p>
    <w:p>
      <w:pPr>
        <w:pStyle w:val="ListParagraph"/>
        <w:numPr>
          <w:ilvl w:val="0"/>
          <w:numId w:val="1"/>
        </w:numPr>
        <w:spacing w:after="120"/>
      </w:pPr>
      <w:r>
        <w:t xml:space="preserve">Intellectual property strategy considerations</w:t>
      </w:r>
    </w:p>
    <w:p>
      <w:pPr>
        <w:pStyle w:val="ListParagraph"/>
        <w:numPr>
          <w:ilvl w:val="0"/>
          <w:numId w:val="1"/>
        </w:numPr>
        <w:spacing w:after="120"/>
      </w:pPr>
      <w:r>
        <w:t xml:space="preserve">Internal program priorities and therapeutic focus areas</w:t>
      </w:r>
    </w:p>
    <w:p>
      <w:pPr>
        <w:spacing w:after="120"/>
      </w:pPr>
      <w:r>
        <w:rPr>
          <w:rFonts w:ascii="Arial" w:cs="Arial" w:eastAsia="Arial" w:hAnsi="Arial"/>
          <w:b/>
          <w:bCs/>
          <w:sz w:val="48"/>
          <w:szCs w:val="48"/>
        </w:rPr>
        <w:t xml:space="preserve">Tools &amp; Databases Called:</w:t>
      </w:r>
    </w:p>
    <w:p>
      <w:pPr>
        <w:pStyle w:val="ListParagraph"/>
        <w:numPr>
          <w:ilvl w:val="0"/>
          <w:numId w:val="1"/>
        </w:numPr>
        <w:spacing w:after="120"/>
      </w:pPr>
      <w:r>
        <w:t xml:space="preserve">Multi-criteria decision analysis (MCDA) framework implementation</w:t>
      </w:r>
    </w:p>
    <w:p>
      <w:pPr>
        <w:pStyle w:val="ListParagraph"/>
        <w:numPr>
          <w:ilvl w:val="0"/>
          <w:numId w:val="1"/>
        </w:numPr>
        <w:spacing w:after="120"/>
      </w:pPr>
      <w:r>
        <w:t xml:space="preserve">Scoring matrices and weighted ranking algorithms</w:t>
      </w:r>
    </w:p>
    <w:p>
      <w:pPr>
        <w:pStyle w:val="ListParagraph"/>
        <w:numPr>
          <w:ilvl w:val="0"/>
          <w:numId w:val="1"/>
        </w:numPr>
        <w:spacing w:after="120"/>
      </w:pPr>
      <w:r>
        <w:t xml:space="preserve">Network analysis tools (Cytoscape, igraph) for pathway integration</w:t>
      </w:r>
    </w:p>
    <w:p>
      <w:pPr>
        <w:pStyle w:val="ListParagraph"/>
        <w:numPr>
          <w:ilvl w:val="0"/>
          <w:numId w:val="1"/>
        </w:numPr>
        <w:spacing w:after="120"/>
      </w:pPr>
      <w:r>
        <w:t xml:space="preserve">Patent landscape analysis tools (Espacenet, Google Patents APIs)</w:t>
      </w:r>
    </w:p>
    <w:p>
      <w:pPr>
        <w:pStyle w:val="ListParagraph"/>
        <w:numPr>
          <w:ilvl w:val="0"/>
          <w:numId w:val="1"/>
        </w:numPr>
        <w:spacing w:after="120"/>
      </w:pPr>
      <w:r>
        <w:t xml:space="preserve">Clinical trial database queries (ClinicalTrials.gov, WHO ICTRP)</w:t>
      </w:r>
    </w:p>
    <w:p>
      <w:pPr>
        <w:pStyle w:val="ListParagraph"/>
        <w:numPr>
          <w:ilvl w:val="0"/>
          <w:numId w:val="1"/>
        </w:numPr>
        <w:spacing w:after="120"/>
      </w:pPr>
      <w:r>
        <w:t xml:space="preserve">Risk-weighted scenario analysis and decision trees</w:t>
      </w:r>
    </w:p>
    <w:p>
      <w:pPr>
        <w:spacing w:after="120"/>
      </w:pPr>
      <w:r>
        <w:rPr>
          <w:rFonts w:ascii="Arial" w:cs="Arial" w:eastAsia="Arial" w:hAnsi="Arial"/>
          <w:b/>
          <w:bCs/>
          <w:sz w:val="48"/>
          <w:szCs w:val="48"/>
        </w:rPr>
        <w:t xml:space="preserve">Exemplary Sub-Prompts:</w:t>
      </w:r>
    </w:p>
    <w:p>
      <w:pPr>
        <w:pStyle w:val="ListParagraph"/>
        <w:numPr>
          <w:ilvl w:val="0"/>
          <w:numId w:val="1"/>
        </w:numPr>
        <w:spacing w:after="120"/>
      </w:pPr>
      <w:r>
        <w:t xml:space="preserve">Rank all 18,000 genes by comprehensive scoring integrating: (A) magnitude of partial knockdown advantage (Stage 3), (B) clinical feasibility (Stage 4), (C) therapeutic window favorability (Stage 2), (D) pathway relevance to disease</w:t>
      </w:r>
    </w:p>
    <w:p>
      <w:pPr>
        <w:pStyle w:val="ListParagraph"/>
        <w:numPr>
          <w:ilvl w:val="0"/>
          <w:numId w:val="1"/>
        </w:numPr>
        <w:spacing w:after="120"/>
      </w:pPr>
      <w:r>
        <w:t xml:space="preserve">For top 20 ranked genes, assess competitive landscape: are there existing inhibitors, antisense therapeutics, or gene therapies? What is patent coverage and freedom-to-operate?</w:t>
      </w:r>
    </w:p>
    <w:p>
      <w:pPr>
        <w:pStyle w:val="ListParagraph"/>
        <w:numPr>
          <w:ilvl w:val="0"/>
          <w:numId w:val="1"/>
        </w:numPr>
        <w:spacing w:after="120"/>
      </w:pPr>
      <w:r>
        <w:t xml:space="preserve">Generate clinical translation roadmap for top 5 targets including: IND-enabling preclinical studies, Phase 1 endpoints, Phase 2 patient selection criteria</w:t>
      </w:r>
    </w:p>
    <w:p>
      <w:pPr>
        <w:pStyle w:val="ListParagraph"/>
        <w:numPr>
          <w:ilvl w:val="0"/>
          <w:numId w:val="1"/>
        </w:numPr>
        <w:spacing w:after="120"/>
      </w:pPr>
      <w:r>
        <w:t xml:space="preserve">Identify technical risks (off-target effects, cell type specificity, CNS penetration) and propose mitigation strategies for top candidates</w:t>
      </w:r>
    </w:p>
    <w:p>
      <w:pPr>
        <w:pStyle w:val="ListParagraph"/>
        <w:numPr>
          <w:ilvl w:val="0"/>
          <w:numId w:val="1"/>
        </w:numPr>
        <w:spacing w:after="120"/>
      </w:pPr>
      <w:r>
        <w:t xml:space="preserve">Create a "decision tree" for progressive de-risking: which targets would benefit from additional Sapphire experiments (e.g., patient iPSC-derived neurons) vs. immediate progression to animal models</w:t>
      </w:r>
    </w:p>
    <w:p>
      <w:pPr>
        <w:spacing w:after="120"/>
      </w:pPr>
      <w:r>
        <w:rPr>
          <w:rFonts w:ascii="Arial" w:cs="Arial" w:eastAsia="Arial" w:hAnsi="Arial"/>
          <w:b/>
          <w:bCs/>
          <w:sz w:val="48"/>
          <w:szCs w:val="48"/>
        </w:rPr>
        <w:t xml:space="preserve">Expected Outputs:</w:t>
      </w:r>
    </w:p>
    <w:p>
      <w:pPr>
        <w:pStyle w:val="ListParagraph"/>
        <w:numPr>
          <w:ilvl w:val="0"/>
          <w:numId w:val="1"/>
        </w:numPr>
        <w:spacing w:after="120"/>
      </w:pPr>
      <w:r>
        <w:t xml:space="preserve">Ranked gene list (top 100) with composite scores for each candidate</w:t>
      </w:r>
    </w:p>
    <w:p>
      <w:pPr>
        <w:pStyle w:val="ListParagraph"/>
        <w:numPr>
          <w:ilvl w:val="0"/>
          <w:numId w:val="1"/>
        </w:numPr>
        <w:spacing w:after="120"/>
      </w:pPr>
      <w:r>
        <w:t xml:space="preserve">Detailed target package for top 5 candidates including: Sapphire data summary, clinical feasibility assessment, competitive analysis, and regulatory pathway recommendation</w:t>
      </w:r>
    </w:p>
    <w:p>
      <w:pPr>
        <w:pStyle w:val="ListParagraph"/>
        <w:numPr>
          <w:ilvl w:val="0"/>
          <w:numId w:val="1"/>
        </w:numPr>
        <w:spacing w:after="120"/>
      </w:pPr>
      <w:r>
        <w:t xml:space="preserve">Clinical translation roadmap with milestones, timelines (months), and resource requirements</w:t>
      </w:r>
    </w:p>
    <w:p>
      <w:pPr>
        <w:pStyle w:val="ListParagraph"/>
        <w:numPr>
          <w:ilvl w:val="0"/>
          <w:numId w:val="1"/>
        </w:numPr>
        <w:spacing w:after="120"/>
      </w:pPr>
      <w:r>
        <w:t xml:space="preserve">Risk assessment matrix identifying key technical, regulatory, and market risks</w:t>
      </w:r>
    </w:p>
    <w:p>
      <w:pPr>
        <w:pStyle w:val="ListParagraph"/>
        <w:numPr>
          <w:ilvl w:val="0"/>
          <w:numId w:val="1"/>
        </w:numPr>
        <w:spacing w:after="120"/>
      </w:pPr>
      <w:r>
        <w:t xml:space="preserve">Recommended sequence of validation experiments with success criteria and go/no-go decision gates</w:t>
      </w:r>
    </w:p>
    <w:p>
      <w:pPr>
        <w:pStyle w:val="ListParagraph"/>
        <w:numPr>
          <w:ilvl w:val="0"/>
          <w:numId w:val="1"/>
        </w:numPr>
        <w:spacing w:after="120"/>
      </w:pPr>
      <w:r>
        <w:t xml:space="preserve">Executive summary (1-2 pages) with top 10 targets and highest-priority recommendations</w:t>
      </w:r>
    </w:p>
    <w:p>
      <w:pPr>
        <w:spacing w:after="180"/>
      </w:pPr>
      <w:r>
        <w:rPr>
          <w:rFonts w:ascii="Arial" w:cs="Arial" w:eastAsia="Arial" w:hAnsi="Arial"/>
          <w:b/>
          <w:bCs/>
          <w:sz w:val="48"/>
          <w:szCs w:val="48"/>
        </w:rPr>
        <w:t xml:space="preserve">Format: </w:t>
      </w:r>
      <w:r>
        <w:rPr>
          <w:rFonts w:ascii="Arial" w:cs="Arial" w:eastAsia="Arial" w:hAnsi="Arial"/>
          <w:b w:val="false"/>
          <w:bCs w:val="false"/>
          <w:sz w:val="48"/>
          <w:szCs w:val="48"/>
        </w:rPr>
        <w:t xml:space="preserve">Comprehensive report document (15-20 pages) including ranked target table, individual target packages (2 pages each), clinical roadmap Gantt chart, risk matrices, and supporting analyses. Accompanying Excel spreadsheet with all scoring data and decision criteria.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2026-03-01T17:47:01.479Z</dcterms:created>
  <dcterms:modified xsi:type="dcterms:W3CDTF">2026-03-01T17:47:01.480Z</dcterms:modified>
</cp:coreProperties>
</file>

<file path=docProps/custom.xml><?xml version="1.0" encoding="utf-8"?>
<Properties xmlns="http://schemas.openxmlformats.org/officeDocument/2006/custom-properties" xmlns:vt="http://schemas.openxmlformats.org/officeDocument/2006/docPropsVTypes"/>
</file>