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091: LoF vs GoF Clinical Feasibility Ranking</w:t>
      </w:r>
    </w:p>
    <w:p/>
    <w:p>
      <w:pPr>
        <w:pStyle w:val="Heading2"/>
      </w:pPr>
      <w:r>
        <w:rPr>
          <w:b/>
          <w:sz w:val="56"/>
        </w:rPr>
        <w:t>Core Research Question</w:t>
      </w:r>
    </w:p>
    <w:p>
      <w:r>
        <w:rPr>
          <w:rFonts w:ascii="Arial" w:hAnsi="Arial"/>
          <w:sz w:val="48"/>
        </w:rPr>
        <w:t>Rank LoF vs GoF perturbations for gene Y by predicted clinical feasibility.</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