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Pipeline_091_LoF_vs_GoF_Clinical_Feasibility</w:t>
      </w:r>
    </w:p>
    <w:p>
      <w:pPr>
        <w:spacing w:after="180"/>
      </w:pPr>
      <w:r>
        <w:t xml:space="preserve">Prompt: Rank LoF vs GoF perturbations for gene Y by predicted clinical feasibility.</w:t>
      </w:r>
    </w:p>
    <w:p>
      <w:pPr>
        <w:spacing w:after="180"/>
      </w:pPr>
      <w:r>
        <w:t xml:space="preserve">The Quiver Bioscience Sapphire platform represents a comprehensive AI-driven drug discovery system leveraging ~18,000 CRISPR gene perturbations coupled with high-throughput electrophysiology (EP) phenotyping in human cortical neurons. This unprecedented dataset captures functional consequences of precise genetic modifications across the proteome in a disease-relevant model system.</w:t>
      </w:r>
    </w:p>
    <w:p>
      <w:pPr>
        <w:spacing w:after="180"/>
      </w:pPr>
      <w:r>
        <w:t xml:space="preserve">The Pipeline_091_LoF_vs_GoF_Clinical_Feasibility pipeline exemplifies the power of integrating massive-scale perturbation data with computational biology and clinical intelligence to identify therapeutically actionable targets. By systematically analyzing gene-phenotype relationships, this workflow enables rapid prioritization of candidates most likely to succeed in clinical translation.</w:t>
      </w:r>
    </w:p>
    <w:p>
      <w:pPr>
        <w:spacing w:after="180"/>
      </w:pPr>
      <w:r>
        <w:t xml:space="preserve">This pipeline leverages the unique strengths of the Sapphire platform: (1) graded knockdown capabilities enabling dose-response analysis rather than binary on/off perturbations, (2) functional readouts in human neurons rather than proxy systems, (3) embedding space representation of ~18,000 genes capturing phenotypic similarity and functional networks, and (4) integration with clinical databases and structural biology tools.</w:t>
      </w:r>
    </w:p>
    <w:p>
      <w:pPr>
        <w:spacing w:after="180"/>
      </w:pPr>
      <w:r>
        <w:t xml:space="preserve">The Sapphire platform enables drug discovery workflows that were previously impossible due to data scarcity. Traditional target validation relies on cell line transfections, knockout mouse models, or computational inference—each with significant limitations. Sapphire provides experimental ground truth for human neuronal function across the entire protein-coding genome with single-gene resolution.</w:t>
      </w:r>
    </w:p>
    <w:p>
      <w:pPr>
        <w:spacing w:after="180"/>
      </w:pPr>
      <w:r>
        <w:t xml:space="preserve">This standardized workflow can be executed iteratively on thousands of targets, generating hypothesis space for therapeutic intervention. The structured pipeline ensures reproducibility, scalability, and adherence to best practices in target prioritization. Each stage includes validation checkpoints, quality control filters, and decision gates to ensure only high-confidence candidates advance.</w:t>
      </w:r>
    </w:p>
    <w:p>
      <w:pPr>
        <w:spacing w:after="180"/>
      </w:pPr>
      <w:r>
        <w:t xml:space="preserve">The following sections detail the complete analytical workflow, including data sources, computational tools, exemplary prompts for AI-assisted analysis, expected outputs, and formatting specifications. This structure enables both human experts and AI systems to execute the pipeline consistently and generate actionable insights for drug discovery.</w:t>
      </w:r>
    </w:p>
    <w:p>
      <w:pPr>
        <w:pStyle w:val="Heading1"/>
        <w:spacing w:after="240"/>
      </w:pPr>
      <w:r>
        <w:t xml:space="preserve">Stage 1: Query Sapphire Bidirectional Perturbation Phenotypes</w:t>
      </w:r>
    </w:p>
    <w:p>
      <w:pPr>
        <w:spacing w:after="180"/>
      </w:pPr>
      <w:r>
        <w:rPr>
          <w:rFonts w:ascii="Arial" w:cs="Arial" w:eastAsia="Arial" w:hAnsi="Arial"/>
          <w:b/>
          <w:bCs/>
          <w:sz w:val="48"/>
          <w:szCs w:val="48"/>
        </w:rPr>
        <w:t xml:space="preserve">Purpose: </w:t>
      </w:r>
      <w:r>
        <w:rPr>
          <w:rFonts w:ascii="Arial" w:cs="Arial" w:eastAsia="Arial" w:hAnsi="Arial"/>
          <w:b w:val="false"/>
          <w:bCs w:val="false"/>
          <w:sz w:val="48"/>
          <w:szCs w:val="48"/>
        </w:rPr>
        <w:t xml:space="preserve">Extract loss-of-function (LoF) and gain-of-function (GoF) electrophysiology phenotypes for the target gene from Sapphire, comparing knockdown (LoF) and overexpression (GoF) data to establish bidirectional functional space.</w:t>
      </w:r>
    </w:p>
    <w:p>
      <w:pPr>
        <w:spacing w:after="120"/>
      </w:pPr>
      <w:r>
        <w:rPr>
          <w:rFonts w:ascii="Arial" w:cs="Arial" w:eastAsia="Arial" w:hAnsi="Arial"/>
          <w:b/>
          <w:bCs/>
          <w:sz w:val="48"/>
          <w:szCs w:val="48"/>
        </w:rPr>
        <w:t xml:space="preserve">Inputs:</w:t>
      </w:r>
    </w:p>
    <w:p>
      <w:pPr>
        <w:pStyle w:val="ListParagraph"/>
        <w:numPr>
          <w:ilvl w:val="0"/>
          <w:numId w:val="1"/>
        </w:numPr>
        <w:spacing w:after="120"/>
      </w:pPr>
      <w:r>
        <w:t xml:space="preserve">Target gene symbol or Entrez ID</w:t>
      </w:r>
    </w:p>
    <w:p>
      <w:pPr>
        <w:pStyle w:val="ListParagraph"/>
        <w:numPr>
          <w:ilvl w:val="0"/>
          <w:numId w:val="1"/>
        </w:numPr>
        <w:spacing w:after="120"/>
      </w:pPr>
      <w:r>
        <w:t xml:space="preserve">Sapphire LoF dataset (shRNA/CRISPR knockdown electrophysiology)</w:t>
      </w:r>
    </w:p>
    <w:p>
      <w:pPr>
        <w:pStyle w:val="ListParagraph"/>
        <w:numPr>
          <w:ilvl w:val="0"/>
          <w:numId w:val="1"/>
        </w:numPr>
        <w:spacing w:after="120"/>
      </w:pPr>
      <w:r>
        <w:t xml:space="preserve">Sapphire GoF dataset (lentiviral overexpression electrophysiology, if available)</w:t>
      </w:r>
    </w:p>
    <w:p>
      <w:pPr>
        <w:pStyle w:val="ListParagraph"/>
        <w:numPr>
          <w:ilvl w:val="0"/>
          <w:numId w:val="1"/>
        </w:numPr>
        <w:spacing w:after="120"/>
      </w:pPr>
      <w:r>
        <w:t xml:space="preserve">Alternative GoF data sources (patient variant modeling, disease-associated gain-of-function mutations)</w:t>
      </w:r>
    </w:p>
    <w:p>
      <w:pPr>
        <w:pStyle w:val="ListParagraph"/>
        <w:numPr>
          <w:ilvl w:val="0"/>
          <w:numId w:val="1"/>
        </w:numPr>
        <w:spacing w:after="120"/>
      </w:pPr>
      <w:r>
        <w:t xml:space="preserve">Comprehensive EP phenotype profiles (12+ electrophysiology metrics)</w:t>
      </w:r>
    </w:p>
    <w:p>
      <w:pPr>
        <w:spacing w:after="120"/>
      </w:pPr>
      <w:r>
        <w:rPr>
          <w:rFonts w:ascii="Arial" w:cs="Arial" w:eastAsia="Arial" w:hAnsi="Arial"/>
          <w:b/>
          <w:bCs/>
          <w:sz w:val="48"/>
          <w:szCs w:val="48"/>
        </w:rPr>
        <w:t xml:space="preserve">Tools &amp; Databases Called:</w:t>
      </w:r>
    </w:p>
    <w:p>
      <w:pPr>
        <w:pStyle w:val="ListParagraph"/>
        <w:numPr>
          <w:ilvl w:val="0"/>
          <w:numId w:val="1"/>
        </w:numPr>
        <w:spacing w:after="120"/>
      </w:pPr>
      <w:r>
        <w:t xml:space="preserve">Quiver Sapphire LoF/GoF dataset APIs</w:t>
      </w:r>
    </w:p>
    <w:p>
      <w:pPr>
        <w:pStyle w:val="ListParagraph"/>
        <w:numPr>
          <w:ilvl w:val="0"/>
          <w:numId w:val="1"/>
        </w:numPr>
        <w:spacing w:after="120"/>
      </w:pPr>
      <w:r>
        <w:t xml:space="preserve">Custom query builder for bidirectional phenotype extraction</w:t>
      </w:r>
    </w:p>
    <w:p>
      <w:pPr>
        <w:pStyle w:val="ListParagraph"/>
        <w:numPr>
          <w:ilvl w:val="0"/>
          <w:numId w:val="1"/>
        </w:numPr>
        <w:spacing w:after="120"/>
      </w:pPr>
      <w:r>
        <w:t xml:space="preserve">Pandas DataFrames for cross-phenotype aggregation</w:t>
      </w:r>
    </w:p>
    <w:p>
      <w:pPr>
        <w:pStyle w:val="ListParagraph"/>
        <w:numPr>
          <w:ilvl w:val="0"/>
          <w:numId w:val="1"/>
        </w:numPr>
        <w:spacing w:after="120"/>
      </w:pPr>
      <w:r>
        <w:t xml:space="preserve">Scipy for statistical comparisons (paired t-tests, correlation)</w:t>
      </w:r>
    </w:p>
    <w:p>
      <w:pPr>
        <w:pStyle w:val="ListParagraph"/>
        <w:numPr>
          <w:ilvl w:val="0"/>
          <w:numId w:val="1"/>
        </w:numPr>
        <w:spacing w:after="120"/>
      </w:pPr>
      <w:r>
        <w:t xml:space="preserve">Matplotlib/Seaborn for bidirectional phenotype visualization</w:t>
      </w:r>
    </w:p>
    <w:p>
      <w:pPr>
        <w:pStyle w:val="ListParagraph"/>
        <w:numPr>
          <w:ilvl w:val="0"/>
          <w:numId w:val="1"/>
        </w:numPr>
        <w:spacing w:after="120"/>
      </w:pPr>
      <w:r>
        <w:t xml:space="preserve">Network analysis tools (NetworkX) for multi-phenotype relationships</w:t>
      </w:r>
    </w:p>
    <w:p>
      <w:pPr>
        <w:spacing w:after="120"/>
      </w:pPr>
      <w:r>
        <w:rPr>
          <w:rFonts w:ascii="Arial" w:cs="Arial" w:eastAsia="Arial" w:hAnsi="Arial"/>
          <w:b/>
          <w:bCs/>
          <w:sz w:val="48"/>
          <w:szCs w:val="48"/>
        </w:rPr>
        <w:t xml:space="preserve">Exemplary Sub-Prompts:</w:t>
      </w:r>
    </w:p>
    <w:p>
      <w:pPr>
        <w:pStyle w:val="ListParagraph"/>
        <w:numPr>
          <w:ilvl w:val="0"/>
          <w:numId w:val="1"/>
        </w:numPr>
        <w:spacing w:after="120"/>
      </w:pPr>
      <w:r>
        <w:t xml:space="preserve">Extract LoF (knockdown) and GoF (overexpression) EP phenotypes for GENE_Y from Sapphire; generate bidirectional phenotype heatmap showing directional changes</w:t>
      </w:r>
    </w:p>
    <w:p>
      <w:pPr>
        <w:pStyle w:val="ListParagraph"/>
        <w:numPr>
          <w:ilvl w:val="0"/>
          <w:numId w:val="1"/>
        </w:numPr>
        <w:spacing w:after="120"/>
      </w:pPr>
      <w:r>
        <w:t xml:space="preserve">Identify phenotypes that show opposite directional changes between LoF and GoF (e.g., spike rate increase in LoF but decrease in GoF), indicating compensatory mechanisms</w:t>
      </w:r>
    </w:p>
    <w:p>
      <w:pPr>
        <w:pStyle w:val="ListParagraph"/>
        <w:numPr>
          <w:ilvl w:val="0"/>
          <w:numId w:val="1"/>
        </w:numPr>
        <w:spacing w:after="120"/>
      </w:pPr>
      <w:r>
        <w:t xml:space="preserve">Compare the magnitude and statistical significance of LoF vs. GoF phenotypic changes; identify which direction (LoF or GoF) produces larger functional perturbations</w:t>
      </w:r>
    </w:p>
    <w:p>
      <w:pPr>
        <w:pStyle w:val="ListParagraph"/>
        <w:numPr>
          <w:ilvl w:val="0"/>
          <w:numId w:val="1"/>
        </w:numPr>
        <w:spacing w:after="120"/>
      </w:pPr>
      <w:r>
        <w:t xml:space="preserve">Query disease-associated variants for GENE_Y; determine whether variant effects align more closely with LoF or GoF phenotype profiles from Sapphire</w:t>
      </w:r>
    </w:p>
    <w:p>
      <w:pPr>
        <w:pStyle w:val="ListParagraph"/>
        <w:numPr>
          <w:ilvl w:val="0"/>
          <w:numId w:val="1"/>
        </w:numPr>
        <w:spacing w:after="120"/>
      </w:pPr>
      <w:r>
        <w:t xml:space="preserve">Extract pathway context: which genes in the same biological network show similar LoF vs. GoF phenotype profiles to GENE_Y?</w:t>
      </w:r>
    </w:p>
    <w:p>
      <w:pPr>
        <w:spacing w:after="120"/>
      </w:pPr>
      <w:r>
        <w:rPr>
          <w:rFonts w:ascii="Arial" w:cs="Arial" w:eastAsia="Arial" w:hAnsi="Arial"/>
          <w:b/>
          <w:bCs/>
          <w:sz w:val="48"/>
          <w:szCs w:val="48"/>
        </w:rPr>
        <w:t xml:space="preserve">Expected Outputs:</w:t>
      </w:r>
    </w:p>
    <w:p>
      <w:pPr>
        <w:pStyle w:val="ListParagraph"/>
        <w:numPr>
          <w:ilvl w:val="0"/>
          <w:numId w:val="1"/>
        </w:numPr>
        <w:spacing w:after="120"/>
      </w:pPr>
      <w:r>
        <w:t xml:space="preserve">Bidirectional phenotype table (LoF phenotypes, GoF phenotypes, directional comparison)</w:t>
      </w:r>
    </w:p>
    <w:p>
      <w:pPr>
        <w:pStyle w:val="ListParagraph"/>
        <w:numPr>
          <w:ilvl w:val="0"/>
          <w:numId w:val="1"/>
        </w:numPr>
        <w:spacing w:after="120"/>
      </w:pPr>
      <w:r>
        <w:t xml:space="preserve">Statistical comparison matrix (p-values, effect sizes for LoF vs. GoF)</w:t>
      </w:r>
    </w:p>
    <w:p>
      <w:pPr>
        <w:pStyle w:val="ListParagraph"/>
        <w:numPr>
          <w:ilvl w:val="0"/>
          <w:numId w:val="1"/>
        </w:numPr>
        <w:spacing w:after="120"/>
      </w:pPr>
      <w:r>
        <w:t xml:space="preserve">Heatmaps and scatter plots showing phenotypic directionality</w:t>
      </w:r>
    </w:p>
    <w:p>
      <w:pPr>
        <w:pStyle w:val="ListParagraph"/>
        <w:numPr>
          <w:ilvl w:val="0"/>
          <w:numId w:val="1"/>
        </w:numPr>
        <w:spacing w:after="120"/>
      </w:pPr>
      <w:r>
        <w:t xml:space="preserve">Disease variant alignment data (correlation between patient variant effects and LoF vs. GoF)</w:t>
      </w:r>
    </w:p>
    <w:p>
      <w:pPr>
        <w:pStyle w:val="ListParagraph"/>
        <w:numPr>
          <w:ilvl w:val="0"/>
          <w:numId w:val="1"/>
        </w:numPr>
        <w:spacing w:after="120"/>
      </w:pPr>
      <w:r>
        <w:t xml:space="preserve">Pathway similarity scores identifying genes with similar bidirectional profiles</w:t>
      </w:r>
    </w:p>
    <w:p>
      <w:pPr>
        <w:pStyle w:val="ListParagraph"/>
        <w:numPr>
          <w:ilvl w:val="0"/>
          <w:numId w:val="1"/>
        </w:numPr>
        <w:spacing w:after="120"/>
      </w:pPr>
      <w:r>
        <w:t xml:space="preserve">Quality metrics for LoF and GoF datasets (replicability, sample sizes, technical controls)</w:t>
      </w:r>
    </w:p>
    <w:p>
      <w:pPr>
        <w:spacing w:after="180"/>
      </w:pPr>
      <w:r>
        <w:rPr>
          <w:rFonts w:ascii="Arial" w:cs="Arial" w:eastAsia="Arial" w:hAnsi="Arial"/>
          <w:b/>
          <w:bCs/>
          <w:sz w:val="48"/>
          <w:szCs w:val="48"/>
        </w:rPr>
        <w:t xml:space="preserve">Format: </w:t>
      </w:r>
      <w:r>
        <w:rPr>
          <w:rFonts w:ascii="Arial" w:cs="Arial" w:eastAsia="Arial" w:hAnsi="Arial"/>
          <w:b w:val="false"/>
          <w:bCs w:val="false"/>
          <w:sz w:val="48"/>
          <w:szCs w:val="48"/>
        </w:rPr>
        <w:t xml:space="preserve">CSV table with columns: Phenotype, LoF Value, GoF Value, LoF SEM, GoF SEM, P-value (LoF vs. GoF), Effect Size, Directional Category (same/opposite/unique). Accompanying PNG heatmaps and volcano plots.</w:t>
      </w:r>
    </w:p>
    <w:p>
      <w:pPr>
        <w:pStyle w:val="Heading1"/>
        <w:spacing w:after="240"/>
      </w:pPr>
      <w:r>
        <w:t xml:space="preserve">Stage 2: Analyze Clinical Druggability and Target Modulation Direction</w:t>
      </w:r>
    </w:p>
    <w:p>
      <w:pPr>
        <w:spacing w:after="180"/>
      </w:pPr>
      <w:r>
        <w:rPr>
          <w:rFonts w:ascii="Arial" w:cs="Arial" w:eastAsia="Arial" w:hAnsi="Arial"/>
          <w:b/>
          <w:bCs/>
          <w:sz w:val="48"/>
          <w:szCs w:val="48"/>
        </w:rPr>
        <w:t xml:space="preserve">Purpose: </w:t>
      </w:r>
      <w:r>
        <w:rPr>
          <w:rFonts w:ascii="Arial" w:cs="Arial" w:eastAsia="Arial" w:hAnsi="Arial"/>
          <w:b w:val="false"/>
          <w:bCs w:val="false"/>
          <w:sz w:val="48"/>
          <w:szCs w:val="48"/>
        </w:rPr>
        <w:t xml:space="preserve">Assess which direction of gene modulation (LoF or GoF) is more compatible with available therapeutic modalities, considering druggability of the protein, pharmacological selectivity, and existing tool compounds or biologics.</w:t>
      </w:r>
    </w:p>
    <w:p>
      <w:pPr>
        <w:spacing w:after="120"/>
      </w:pPr>
      <w:r>
        <w:rPr>
          <w:rFonts w:ascii="Arial" w:cs="Arial" w:eastAsia="Arial" w:hAnsi="Arial"/>
          <w:b/>
          <w:bCs/>
          <w:sz w:val="48"/>
          <w:szCs w:val="48"/>
        </w:rPr>
        <w:t xml:space="preserve">Inputs:</w:t>
      </w:r>
    </w:p>
    <w:p>
      <w:pPr>
        <w:pStyle w:val="ListParagraph"/>
        <w:numPr>
          <w:ilvl w:val="0"/>
          <w:numId w:val="1"/>
        </w:numPr>
        <w:spacing w:after="120"/>
      </w:pPr>
      <w:r>
        <w:t xml:space="preserve">Target gene protein structure and biochemical properties</w:t>
      </w:r>
    </w:p>
    <w:p>
      <w:pPr>
        <w:pStyle w:val="ListParagraph"/>
        <w:numPr>
          <w:ilvl w:val="0"/>
          <w:numId w:val="1"/>
        </w:numPr>
        <w:spacing w:after="120"/>
      </w:pPr>
      <w:r>
        <w:t xml:space="preserve">Small molecule inhibitor screening data (if available)</w:t>
      </w:r>
    </w:p>
    <w:p>
      <w:pPr>
        <w:pStyle w:val="ListParagraph"/>
        <w:numPr>
          <w:ilvl w:val="0"/>
          <w:numId w:val="1"/>
        </w:numPr>
        <w:spacing w:after="120"/>
      </w:pPr>
      <w:r>
        <w:t xml:space="preserve">Protein-protein interaction networks</w:t>
      </w:r>
    </w:p>
    <w:p>
      <w:pPr>
        <w:pStyle w:val="ListParagraph"/>
        <w:numPr>
          <w:ilvl w:val="0"/>
          <w:numId w:val="1"/>
        </w:numPr>
        <w:spacing w:after="120"/>
      </w:pPr>
      <w:r>
        <w:t xml:space="preserve">Existing drug-like compounds targeting the protein or family members</w:t>
      </w:r>
    </w:p>
    <w:p>
      <w:pPr>
        <w:pStyle w:val="ListParagraph"/>
        <w:numPr>
          <w:ilvl w:val="0"/>
          <w:numId w:val="1"/>
        </w:numPr>
        <w:spacing w:after="120"/>
      </w:pPr>
      <w:r>
        <w:t xml:space="preserve">Biological function annotation (transcription factor, kinase, structural protein, etc.)</w:t>
      </w:r>
    </w:p>
    <w:p>
      <w:pPr>
        <w:spacing w:after="120"/>
      </w:pPr>
      <w:r>
        <w:rPr>
          <w:rFonts w:ascii="Arial" w:cs="Arial" w:eastAsia="Arial" w:hAnsi="Arial"/>
          <w:b/>
          <w:bCs/>
          <w:sz w:val="48"/>
          <w:szCs w:val="48"/>
        </w:rPr>
        <w:t xml:space="preserve">Tools &amp; Databases Called:</w:t>
      </w:r>
    </w:p>
    <w:p>
      <w:pPr>
        <w:pStyle w:val="ListParagraph"/>
        <w:numPr>
          <w:ilvl w:val="0"/>
          <w:numId w:val="1"/>
        </w:numPr>
        <w:spacing w:after="120"/>
      </w:pPr>
      <w:r>
        <w:t xml:space="preserve">AlphaFold protein structure predictions</w:t>
      </w:r>
    </w:p>
    <w:p>
      <w:pPr>
        <w:pStyle w:val="ListParagraph"/>
        <w:numPr>
          <w:ilvl w:val="0"/>
          <w:numId w:val="1"/>
        </w:numPr>
        <w:spacing w:after="120"/>
      </w:pPr>
      <w:r>
        <w:t xml:space="preserve">Druggability prediction tools (FEScore, Lipinski calculator)</w:t>
      </w:r>
    </w:p>
    <w:p>
      <w:pPr>
        <w:pStyle w:val="ListParagraph"/>
        <w:numPr>
          <w:ilvl w:val="0"/>
          <w:numId w:val="1"/>
        </w:numPr>
        <w:spacing w:after="120"/>
      </w:pPr>
      <w:r>
        <w:t xml:space="preserve">Structure-activity relationship (SAR) analysis tools</w:t>
      </w:r>
    </w:p>
    <w:p>
      <w:pPr>
        <w:pStyle w:val="ListParagraph"/>
        <w:numPr>
          <w:ilvl w:val="0"/>
          <w:numId w:val="1"/>
        </w:numPr>
        <w:spacing w:after="120"/>
      </w:pPr>
      <w:r>
        <w:t xml:space="preserve">Protein domain analysis (InterPro, Pfam)</w:t>
      </w:r>
    </w:p>
    <w:p>
      <w:pPr>
        <w:pStyle w:val="ListParagraph"/>
        <w:numPr>
          <w:ilvl w:val="0"/>
          <w:numId w:val="1"/>
        </w:numPr>
        <w:spacing w:after="120"/>
      </w:pPr>
      <w:r>
        <w:t xml:space="preserve">Small molecule database queries (PubChem, ChEMBL)</w:t>
      </w:r>
    </w:p>
    <w:p>
      <w:pPr>
        <w:pStyle w:val="ListParagraph"/>
        <w:numPr>
          <w:ilvl w:val="0"/>
          <w:numId w:val="1"/>
        </w:numPr>
        <w:spacing w:after="120"/>
      </w:pPr>
      <w:r>
        <w:t xml:space="preserve">Protein-protein interaction prediction (String, IntAct databases)</w:t>
      </w:r>
    </w:p>
    <w:p>
      <w:pPr>
        <w:spacing w:after="120"/>
      </w:pPr>
      <w:r>
        <w:rPr>
          <w:rFonts w:ascii="Arial" w:cs="Arial" w:eastAsia="Arial" w:hAnsi="Arial"/>
          <w:b/>
          <w:bCs/>
          <w:sz w:val="48"/>
          <w:szCs w:val="48"/>
        </w:rPr>
        <w:t xml:space="preserve">Exemplary Sub-Prompts:</w:t>
      </w:r>
    </w:p>
    <w:p>
      <w:pPr>
        <w:pStyle w:val="ListParagraph"/>
        <w:numPr>
          <w:ilvl w:val="0"/>
          <w:numId w:val="1"/>
        </w:numPr>
        <w:spacing w:after="120"/>
      </w:pPr>
      <w:r>
        <w:t xml:space="preserve">Assess druggability of GENE_Y protein using AlphaFold structures and computational predictions; identify ligandable binding pockets for small molecule inhibition (LoF approach)</w:t>
      </w:r>
    </w:p>
    <w:p>
      <w:pPr>
        <w:pStyle w:val="ListParagraph"/>
        <w:numPr>
          <w:ilvl w:val="0"/>
          <w:numId w:val="1"/>
        </w:numPr>
        <w:spacing w:after="120"/>
      </w:pPr>
      <w:r>
        <w:t xml:space="preserve">Evaluate feasibility of GoF modulation for GENE_Y through stabilization, dimerization enhancement, or allosteric activation; compare to LoF inhibition druggability</w:t>
      </w:r>
    </w:p>
    <w:p>
      <w:pPr>
        <w:pStyle w:val="ListParagraph"/>
        <w:numPr>
          <w:ilvl w:val="0"/>
          <w:numId w:val="1"/>
        </w:numPr>
        <w:spacing w:after="120"/>
      </w:pPr>
      <w:r>
        <w:t xml:space="preserve">Query ChEMBL and PubChem for existing inhibitors, activators, or chemical probes targeting GENE_Y or homologous proteins</w:t>
      </w:r>
    </w:p>
    <w:p>
      <w:pPr>
        <w:pStyle w:val="ListParagraph"/>
        <w:numPr>
          <w:ilvl w:val="0"/>
          <w:numId w:val="1"/>
        </w:numPr>
        <w:spacing w:after="120"/>
      </w:pPr>
      <w:r>
        <w:t xml:space="preserve">Analyze protein domains: which are associated with gain-of-function risk (e.g., kinase domains prone to activating mutations) vs. loss-of-function tolerance?</w:t>
      </w:r>
    </w:p>
    <w:p>
      <w:pPr>
        <w:pStyle w:val="ListParagraph"/>
        <w:numPr>
          <w:ilvl w:val="0"/>
          <w:numId w:val="1"/>
        </w:numPr>
        <w:spacing w:after="120"/>
      </w:pPr>
      <w:r>
        <w:t xml:space="preserve">Compare historical precedent: for genes in the same family as GENE_Y, have successful therapies used LoF (inhibition) or GoF (activation) approaches?</w:t>
      </w:r>
    </w:p>
    <w:p>
      <w:pPr>
        <w:spacing w:after="120"/>
      </w:pPr>
      <w:r>
        <w:rPr>
          <w:rFonts w:ascii="Arial" w:cs="Arial" w:eastAsia="Arial" w:hAnsi="Arial"/>
          <w:b/>
          <w:bCs/>
          <w:sz w:val="48"/>
          <w:szCs w:val="48"/>
        </w:rPr>
        <w:t xml:space="preserve">Expected Outputs:</w:t>
      </w:r>
    </w:p>
    <w:p>
      <w:pPr>
        <w:pStyle w:val="ListParagraph"/>
        <w:numPr>
          <w:ilvl w:val="0"/>
          <w:numId w:val="1"/>
        </w:numPr>
        <w:spacing w:after="120"/>
      </w:pPr>
      <w:r>
        <w:t xml:space="preserve">Druggability assessment report: LoF and GoF feasibility scores (0-100 scale)</w:t>
      </w:r>
    </w:p>
    <w:p>
      <w:pPr>
        <w:pStyle w:val="ListParagraph"/>
        <w:numPr>
          <w:ilvl w:val="0"/>
          <w:numId w:val="1"/>
        </w:numPr>
        <w:spacing w:after="120"/>
      </w:pPr>
      <w:r>
        <w:t xml:space="preserve">Protein structure analysis with annotated ligandable pockets</w:t>
      </w:r>
    </w:p>
    <w:p>
      <w:pPr>
        <w:pStyle w:val="ListParagraph"/>
        <w:numPr>
          <w:ilvl w:val="0"/>
          <w:numId w:val="1"/>
        </w:numPr>
        <w:spacing w:after="120"/>
      </w:pPr>
      <w:r>
        <w:t xml:space="preserve">Chemical probe availability summary (existing inhibitors, activators, tool compounds)</w:t>
      </w:r>
    </w:p>
    <w:p>
      <w:pPr>
        <w:pStyle w:val="ListParagraph"/>
        <w:numPr>
          <w:ilvl w:val="0"/>
          <w:numId w:val="1"/>
        </w:numPr>
        <w:spacing w:after="120"/>
      </w:pPr>
      <w:r>
        <w:t xml:space="preserve">Comparative analysis of LoF vs. GoF druggability scores</w:t>
      </w:r>
    </w:p>
    <w:p>
      <w:pPr>
        <w:pStyle w:val="ListParagraph"/>
        <w:numPr>
          <w:ilvl w:val="0"/>
          <w:numId w:val="1"/>
        </w:numPr>
        <w:spacing w:after="120"/>
      </w:pPr>
      <w:r>
        <w:t xml:space="preserve">Historical precedent summary for GENE_Y family members</w:t>
      </w:r>
    </w:p>
    <w:p>
      <w:pPr>
        <w:pStyle w:val="ListParagraph"/>
        <w:numPr>
          <w:ilvl w:val="0"/>
          <w:numId w:val="1"/>
        </w:numPr>
        <w:spacing w:after="120"/>
      </w:pPr>
      <w:r>
        <w:t xml:space="preserve">Recommended therapeutic modality (small molecule inhibitor, allosteric modulator, biologic, gene therapy, antisense)</w:t>
      </w:r>
    </w:p>
    <w:p>
      <w:pPr>
        <w:spacing w:after="180"/>
      </w:pPr>
      <w:r>
        <w:rPr>
          <w:rFonts w:ascii="Arial" w:cs="Arial" w:eastAsia="Arial" w:hAnsi="Arial"/>
          <w:b/>
          <w:bCs/>
          <w:sz w:val="48"/>
          <w:szCs w:val="48"/>
        </w:rPr>
        <w:t xml:space="preserve">Format: </w:t>
      </w:r>
      <w:r>
        <w:rPr>
          <w:rFonts w:ascii="Arial" w:cs="Arial" w:eastAsia="Arial" w:hAnsi="Arial"/>
          <w:b w:val="false"/>
          <w:bCs w:val="false"/>
          <w:sz w:val="48"/>
          <w:szCs w:val="48"/>
        </w:rPr>
        <w:t xml:space="preserve">Report document (3-5 pages) with druggability assessment, protein structure images, chemical probe summaries, and feasibility scoring table. Columns: Modality, Druggability Score, Selectivity Risk, Development Timeline, Cost Estimate, Clinical Precedent.</w:t>
      </w:r>
    </w:p>
    <w:p>
      <w:pPr>
        <w:pStyle w:val="Heading1"/>
        <w:spacing w:after="240"/>
      </w:pPr>
      <w:r>
        <w:t xml:space="preserve">Stage 3: Compare Safety Margin and Off-Target Effects</w:t>
      </w:r>
    </w:p>
    <w:p>
      <w:pPr>
        <w:spacing w:after="180"/>
      </w:pPr>
      <w:r>
        <w:rPr>
          <w:rFonts w:ascii="Arial" w:cs="Arial" w:eastAsia="Arial" w:hAnsi="Arial"/>
          <w:b/>
          <w:bCs/>
          <w:sz w:val="48"/>
          <w:szCs w:val="48"/>
        </w:rPr>
        <w:t xml:space="preserve">Purpose: </w:t>
      </w:r>
      <w:r>
        <w:rPr>
          <w:rFonts w:ascii="Arial" w:cs="Arial" w:eastAsia="Arial" w:hAnsi="Arial"/>
          <w:b w:val="false"/>
          <w:bCs w:val="false"/>
          <w:sz w:val="48"/>
          <w:szCs w:val="48"/>
        </w:rPr>
        <w:t xml:space="preserve">Evaluate the therapeutic safety margin for LoF vs. GoF interventions, considering off-target binding, tissue-specific expression, and potential adverse events predicted by each approach.</w:t>
      </w:r>
    </w:p>
    <w:p>
      <w:pPr>
        <w:spacing w:after="120"/>
      </w:pPr>
      <w:r>
        <w:rPr>
          <w:rFonts w:ascii="Arial" w:cs="Arial" w:eastAsia="Arial" w:hAnsi="Arial"/>
          <w:b/>
          <w:bCs/>
          <w:sz w:val="48"/>
          <w:szCs w:val="48"/>
        </w:rPr>
        <w:t xml:space="preserve">Inputs:</w:t>
      </w:r>
    </w:p>
    <w:p>
      <w:pPr>
        <w:pStyle w:val="ListParagraph"/>
        <w:numPr>
          <w:ilvl w:val="0"/>
          <w:numId w:val="1"/>
        </w:numPr>
        <w:spacing w:after="120"/>
      </w:pPr>
      <w:r>
        <w:t xml:space="preserve">Off-target binding prediction data (kinome profiling, selectivity panels)</w:t>
      </w:r>
    </w:p>
    <w:p>
      <w:pPr>
        <w:pStyle w:val="ListParagraph"/>
        <w:numPr>
          <w:ilvl w:val="0"/>
          <w:numId w:val="1"/>
        </w:numPr>
        <w:spacing w:after="120"/>
      </w:pPr>
      <w:r>
        <w:t xml:space="preserve">Gene expression atlas (GTEx, single-cell transcriptomics)</w:t>
      </w:r>
    </w:p>
    <w:p>
      <w:pPr>
        <w:pStyle w:val="ListParagraph"/>
        <w:numPr>
          <w:ilvl w:val="0"/>
          <w:numId w:val="1"/>
        </w:numPr>
        <w:spacing w:after="120"/>
      </w:pPr>
      <w:r>
        <w:t xml:space="preserve">Known adverse events for LoF (gene knockout mouse phenotypes) and GoF (disease-associated variant phenotypes)</w:t>
      </w:r>
    </w:p>
    <w:p>
      <w:pPr>
        <w:pStyle w:val="ListParagraph"/>
        <w:numPr>
          <w:ilvl w:val="0"/>
          <w:numId w:val="1"/>
        </w:numPr>
        <w:spacing w:after="120"/>
      </w:pPr>
      <w:r>
        <w:t xml:space="preserve">Protein-protein interaction context (identifying essential binding partners)</w:t>
      </w:r>
    </w:p>
    <w:p>
      <w:pPr>
        <w:pStyle w:val="ListParagraph"/>
        <w:numPr>
          <w:ilvl w:val="0"/>
          <w:numId w:val="1"/>
        </w:numPr>
        <w:spacing w:after="120"/>
      </w:pPr>
      <w:r>
        <w:t xml:space="preserve">Tissue-specific expression and functional consequences</w:t>
      </w:r>
    </w:p>
    <w:p>
      <w:pPr>
        <w:spacing w:after="120"/>
      </w:pPr>
      <w:r>
        <w:rPr>
          <w:rFonts w:ascii="Arial" w:cs="Arial" w:eastAsia="Arial" w:hAnsi="Arial"/>
          <w:b/>
          <w:bCs/>
          <w:sz w:val="48"/>
          <w:szCs w:val="48"/>
        </w:rPr>
        <w:t xml:space="preserve">Tools &amp; Databases Called:</w:t>
      </w:r>
    </w:p>
    <w:p>
      <w:pPr>
        <w:pStyle w:val="ListParagraph"/>
        <w:numPr>
          <w:ilvl w:val="0"/>
          <w:numId w:val="1"/>
        </w:numPr>
        <w:spacing w:after="120"/>
      </w:pPr>
      <w:r>
        <w:t xml:space="preserve">Kinome profiling analysis (if small molecule targeted)</w:t>
      </w:r>
    </w:p>
    <w:p>
      <w:pPr>
        <w:pStyle w:val="ListParagraph"/>
        <w:numPr>
          <w:ilvl w:val="0"/>
          <w:numId w:val="1"/>
        </w:numPr>
        <w:spacing w:after="120"/>
      </w:pPr>
      <w:r>
        <w:t xml:space="preserve">Off-target effect prediction algorithms (similarity to other proteins)</w:t>
      </w:r>
    </w:p>
    <w:p>
      <w:pPr>
        <w:pStyle w:val="ListParagraph"/>
        <w:numPr>
          <w:ilvl w:val="0"/>
          <w:numId w:val="1"/>
        </w:numPr>
        <w:spacing w:after="120"/>
      </w:pPr>
      <w:r>
        <w:t xml:space="preserve">Gene expression database queries (GTEx, Tabula Sapiens)</w:t>
      </w:r>
    </w:p>
    <w:p>
      <w:pPr>
        <w:pStyle w:val="ListParagraph"/>
        <w:numPr>
          <w:ilvl w:val="0"/>
          <w:numId w:val="1"/>
        </w:numPr>
        <w:spacing w:after="120"/>
      </w:pPr>
      <w:r>
        <w:t xml:space="preserve">Adverse event ontology databases (MEDDRA, lower-level terms)</w:t>
      </w:r>
    </w:p>
    <w:p>
      <w:pPr>
        <w:pStyle w:val="ListParagraph"/>
        <w:numPr>
          <w:ilvl w:val="0"/>
          <w:numId w:val="1"/>
        </w:numPr>
        <w:spacing w:after="120"/>
      </w:pPr>
      <w:r>
        <w:t xml:space="preserve">Mouse knockout database (MGI, IMPC) for phenotype prediction</w:t>
      </w:r>
    </w:p>
    <w:p>
      <w:pPr>
        <w:pStyle w:val="ListParagraph"/>
        <w:numPr>
          <w:ilvl w:val="0"/>
          <w:numId w:val="1"/>
        </w:numPr>
        <w:spacing w:after="120"/>
      </w:pPr>
      <w:r>
        <w:t xml:space="preserve">Patient variant databases (ClinVar, DECIPHER) for GoF safety assessment</w:t>
      </w:r>
    </w:p>
    <w:p>
      <w:pPr>
        <w:spacing w:after="120"/>
      </w:pPr>
      <w:r>
        <w:rPr>
          <w:rFonts w:ascii="Arial" w:cs="Arial" w:eastAsia="Arial" w:hAnsi="Arial"/>
          <w:b/>
          <w:bCs/>
          <w:sz w:val="48"/>
          <w:szCs w:val="48"/>
        </w:rPr>
        <w:t xml:space="preserve">Exemplary Sub-Prompts:</w:t>
      </w:r>
    </w:p>
    <w:p>
      <w:pPr>
        <w:pStyle w:val="ListParagraph"/>
        <w:numPr>
          <w:ilvl w:val="0"/>
          <w:numId w:val="1"/>
        </w:numPr>
        <w:spacing w:after="120"/>
      </w:pPr>
      <w:r>
        <w:t xml:space="preserve">Identify top 10 off-target proteins most similar to GENE_Y that a small molecule LoF inhibitor might unintentionally bind; predict functional consequences</w:t>
      </w:r>
    </w:p>
    <w:p>
      <w:pPr>
        <w:pStyle w:val="ListParagraph"/>
        <w:numPr>
          <w:ilvl w:val="0"/>
          <w:numId w:val="1"/>
        </w:numPr>
        <w:spacing w:after="120"/>
      </w:pPr>
      <w:r>
        <w:t xml:space="preserve">Compare tissue-specific safety risks between LoF and GoF: which approach is more likely to cause adverse effects in heart, liver, or kidney?</w:t>
      </w:r>
    </w:p>
    <w:p>
      <w:pPr>
        <w:pStyle w:val="ListParagraph"/>
        <w:numPr>
          <w:ilvl w:val="0"/>
          <w:numId w:val="1"/>
        </w:numPr>
        <w:spacing w:after="120"/>
      </w:pPr>
      <w:r>
        <w:t xml:space="preserve">Query IMPC database for knockout mouse phenotypes for GENE_Y; assess whether observed toxicities are manageable or represent deal-breakers</w:t>
      </w:r>
    </w:p>
    <w:p>
      <w:pPr>
        <w:pStyle w:val="ListParagraph"/>
        <w:numPr>
          <w:ilvl w:val="0"/>
          <w:numId w:val="1"/>
        </w:numPr>
        <w:spacing w:after="120"/>
      </w:pPr>
      <w:r>
        <w:t xml:space="preserve">For GoF approach, identify disease-associated gain-of-function variants in GENE_Y and GENE_Y family members; extract adverse event patterns from patient data</w:t>
      </w:r>
    </w:p>
    <w:p>
      <w:pPr>
        <w:pStyle w:val="ListParagraph"/>
        <w:numPr>
          <w:ilvl w:val="0"/>
          <w:numId w:val="1"/>
        </w:numPr>
        <w:spacing w:after="120"/>
      </w:pPr>
      <w:r>
        <w:t xml:space="preserve">Quantify therapeutic window: what is the margin between efficacious dose (phenotypic change &gt;80% target) and toxic dose (off-target effects, tissue damage)?</w:t>
      </w:r>
    </w:p>
    <w:p>
      <w:pPr>
        <w:spacing w:after="120"/>
      </w:pPr>
      <w:r>
        <w:rPr>
          <w:rFonts w:ascii="Arial" w:cs="Arial" w:eastAsia="Arial" w:hAnsi="Arial"/>
          <w:b/>
          <w:bCs/>
          <w:sz w:val="48"/>
          <w:szCs w:val="48"/>
        </w:rPr>
        <w:t xml:space="preserve">Expected Outputs:</w:t>
      </w:r>
    </w:p>
    <w:p>
      <w:pPr>
        <w:pStyle w:val="ListParagraph"/>
        <w:numPr>
          <w:ilvl w:val="0"/>
          <w:numId w:val="1"/>
        </w:numPr>
        <w:spacing w:after="120"/>
      </w:pPr>
      <w:r>
        <w:t xml:space="preserve">Off-target binding prediction table (top 20 off-targets, predicted IC50 values, functional consequences)</w:t>
      </w:r>
    </w:p>
    <w:p>
      <w:pPr>
        <w:pStyle w:val="ListParagraph"/>
        <w:numPr>
          <w:ilvl w:val="0"/>
          <w:numId w:val="1"/>
        </w:numPr>
        <w:spacing w:after="120"/>
      </w:pPr>
      <w:r>
        <w:t xml:space="preserve">Tissue-specific safety risk assessment (LoF vs. GoF comparison)</w:t>
      </w:r>
    </w:p>
    <w:p>
      <w:pPr>
        <w:pStyle w:val="ListParagraph"/>
        <w:numPr>
          <w:ilvl w:val="0"/>
          <w:numId w:val="1"/>
        </w:numPr>
        <w:spacing w:after="120"/>
      </w:pPr>
      <w:r>
        <w:t xml:space="preserve">IMPC phenotype summary for GENE_Y knockout mice</w:t>
      </w:r>
    </w:p>
    <w:p>
      <w:pPr>
        <w:pStyle w:val="ListParagraph"/>
        <w:numPr>
          <w:ilvl w:val="0"/>
          <w:numId w:val="1"/>
        </w:numPr>
        <w:spacing w:after="120"/>
      </w:pPr>
      <w:r>
        <w:t xml:space="preserve">ClinVar adverse event frequency for GENE_Y gain-of-function variants</w:t>
      </w:r>
    </w:p>
    <w:p>
      <w:pPr>
        <w:pStyle w:val="ListParagraph"/>
        <w:numPr>
          <w:ilvl w:val="0"/>
          <w:numId w:val="1"/>
        </w:numPr>
        <w:spacing w:after="120"/>
      </w:pPr>
      <w:r>
        <w:t xml:space="preserve">Therapeutic window comparison (safety margin fold-change for LoF vs. GoF)</w:t>
      </w:r>
    </w:p>
    <w:p>
      <w:pPr>
        <w:pStyle w:val="ListParagraph"/>
        <w:numPr>
          <w:ilvl w:val="0"/>
          <w:numId w:val="1"/>
        </w:numPr>
        <w:spacing w:after="120"/>
      </w:pPr>
      <w:r>
        <w:t xml:space="preserve">Overall safety risk scoring (0-100 scale) for each approach</w:t>
      </w:r>
    </w:p>
    <w:p>
      <w:pPr>
        <w:spacing w:after="180"/>
      </w:pPr>
      <w:r>
        <w:rPr>
          <w:rFonts w:ascii="Arial" w:cs="Arial" w:eastAsia="Arial" w:hAnsi="Arial"/>
          <w:b/>
          <w:bCs/>
          <w:sz w:val="48"/>
          <w:szCs w:val="48"/>
        </w:rPr>
        <w:t xml:space="preserve">Format: </w:t>
      </w:r>
      <w:r>
        <w:rPr>
          <w:rFonts w:ascii="Arial" w:cs="Arial" w:eastAsia="Arial" w:hAnsi="Arial"/>
          <w:b w:val="false"/>
          <w:bCs w:val="false"/>
          <w:sz w:val="48"/>
          <w:szCs w:val="48"/>
        </w:rPr>
        <w:t xml:space="preserve">Safety assessment table with columns: Approach (LoF/GoF), Top Off-Target, Predicted IC50, Functional Risk, Tissue Risk, Known Adverse Events, Safety Margin (fold-change), Overall Risk Score. Accompanying text report with risk mitigation strategies.</w:t>
      </w:r>
    </w:p>
    <w:p>
      <w:pPr>
        <w:pStyle w:val="Heading1"/>
        <w:spacing w:after="240"/>
      </w:pPr>
      <w:r>
        <w:t xml:space="preserve">Stage 4: Evaluate Competitive Landscape and Patent Freedom-to-Operate</w:t>
      </w:r>
    </w:p>
    <w:p>
      <w:pPr>
        <w:spacing w:after="180"/>
      </w:pPr>
      <w:r>
        <w:rPr>
          <w:rFonts w:ascii="Arial" w:cs="Arial" w:eastAsia="Arial" w:hAnsi="Arial"/>
          <w:b/>
          <w:bCs/>
          <w:sz w:val="48"/>
          <w:szCs w:val="48"/>
        </w:rPr>
        <w:t xml:space="preserve">Purpose: </w:t>
      </w:r>
      <w:r>
        <w:rPr>
          <w:rFonts w:ascii="Arial" w:cs="Arial" w:eastAsia="Arial" w:hAnsi="Arial"/>
          <w:b w:val="false"/>
          <w:bCs w:val="false"/>
          <w:sz w:val="48"/>
          <w:szCs w:val="48"/>
        </w:rPr>
        <w:t xml:space="preserve">Assess the competitive landscape and intellectual property (patent) landscape for LoF and GoF therapeutic approaches targeting the gene, informing commercial viability and freedom-to-operate considerations.</w:t>
      </w:r>
    </w:p>
    <w:p>
      <w:pPr>
        <w:spacing w:after="120"/>
      </w:pPr>
      <w:r>
        <w:rPr>
          <w:rFonts w:ascii="Arial" w:cs="Arial" w:eastAsia="Arial" w:hAnsi="Arial"/>
          <w:b/>
          <w:bCs/>
          <w:sz w:val="48"/>
          <w:szCs w:val="48"/>
        </w:rPr>
        <w:t xml:space="preserve">Inputs:</w:t>
      </w:r>
    </w:p>
    <w:p>
      <w:pPr>
        <w:pStyle w:val="ListParagraph"/>
        <w:numPr>
          <w:ilvl w:val="0"/>
          <w:numId w:val="1"/>
        </w:numPr>
        <w:spacing w:after="120"/>
      </w:pPr>
      <w:r>
        <w:t xml:space="preserve">Patent databases (USPTO, EPO, WIPO)</w:t>
      </w:r>
    </w:p>
    <w:p>
      <w:pPr>
        <w:pStyle w:val="ListParagraph"/>
        <w:numPr>
          <w:ilvl w:val="0"/>
          <w:numId w:val="1"/>
        </w:numPr>
        <w:spacing w:after="120"/>
      </w:pPr>
      <w:r>
        <w:t xml:space="preserve">Clinical trial databases (ClinicalTrials.gov, WHO ICTRP)</w:t>
      </w:r>
    </w:p>
    <w:p>
      <w:pPr>
        <w:pStyle w:val="ListParagraph"/>
        <w:numPr>
          <w:ilvl w:val="0"/>
          <w:numId w:val="1"/>
        </w:numPr>
        <w:spacing w:after="120"/>
      </w:pPr>
      <w:r>
        <w:t xml:space="preserve">Company pipeline data (BiopharmGuy, Cortellis, Lens.org)</w:t>
      </w:r>
    </w:p>
    <w:p>
      <w:pPr>
        <w:pStyle w:val="ListParagraph"/>
        <w:numPr>
          <w:ilvl w:val="0"/>
          <w:numId w:val="1"/>
        </w:numPr>
        <w:spacing w:after="120"/>
      </w:pPr>
      <w:r>
        <w:t xml:space="preserve">Existing approved drugs targeting GENE_Y or family members</w:t>
      </w:r>
    </w:p>
    <w:p>
      <w:pPr>
        <w:pStyle w:val="ListParagraph"/>
        <w:numPr>
          <w:ilvl w:val="0"/>
          <w:numId w:val="1"/>
        </w:numPr>
        <w:spacing w:after="120"/>
      </w:pPr>
      <w:r>
        <w:t xml:space="preserve">Published clinical trial results for LoF vs. GoF approaches</w:t>
      </w:r>
    </w:p>
    <w:p>
      <w:pPr>
        <w:spacing w:after="120"/>
      </w:pPr>
      <w:r>
        <w:rPr>
          <w:rFonts w:ascii="Arial" w:cs="Arial" w:eastAsia="Arial" w:hAnsi="Arial"/>
          <w:b/>
          <w:bCs/>
          <w:sz w:val="48"/>
          <w:szCs w:val="48"/>
        </w:rPr>
        <w:t xml:space="preserve">Tools &amp; Databases Called:</w:t>
      </w:r>
    </w:p>
    <w:p>
      <w:pPr>
        <w:pStyle w:val="ListParagraph"/>
        <w:numPr>
          <w:ilvl w:val="0"/>
          <w:numId w:val="1"/>
        </w:numPr>
        <w:spacing w:after="120"/>
      </w:pPr>
      <w:r>
        <w:t xml:space="preserve">Patent search tools (Espacenet, Google Patents, Lens.org)</w:t>
      </w:r>
    </w:p>
    <w:p>
      <w:pPr>
        <w:pStyle w:val="ListParagraph"/>
        <w:numPr>
          <w:ilvl w:val="0"/>
          <w:numId w:val="1"/>
        </w:numPr>
        <w:spacing w:after="120"/>
      </w:pPr>
      <w:r>
        <w:t xml:space="preserve">ClinicalTrials.gov API for trial querying and filtering</w:t>
      </w:r>
    </w:p>
    <w:p>
      <w:pPr>
        <w:pStyle w:val="ListParagraph"/>
        <w:numPr>
          <w:ilvl w:val="0"/>
          <w:numId w:val="1"/>
        </w:numPr>
        <w:spacing w:after="120"/>
      </w:pPr>
      <w:r>
        <w:t xml:space="preserve">Cortellis or similar competitive intelligence databases</w:t>
      </w:r>
    </w:p>
    <w:p>
      <w:pPr>
        <w:pStyle w:val="ListParagraph"/>
        <w:numPr>
          <w:ilvl w:val="0"/>
          <w:numId w:val="1"/>
        </w:numPr>
        <w:spacing w:after="120"/>
      </w:pPr>
      <w:r>
        <w:t xml:space="preserve">Custom Python scripts for patent landscape analysis (citations, prosecution history)</w:t>
      </w:r>
    </w:p>
    <w:p>
      <w:pPr>
        <w:pStyle w:val="ListParagraph"/>
        <w:numPr>
          <w:ilvl w:val="0"/>
          <w:numId w:val="1"/>
        </w:numPr>
        <w:spacing w:after="120"/>
      </w:pPr>
      <w:r>
        <w:t xml:space="preserve">Keyword searching and natural language processing for patent claims</w:t>
      </w:r>
    </w:p>
    <w:p>
      <w:pPr>
        <w:pStyle w:val="ListParagraph"/>
        <w:numPr>
          <w:ilvl w:val="0"/>
          <w:numId w:val="1"/>
        </w:numPr>
        <w:spacing w:after="120"/>
      </w:pPr>
      <w:r>
        <w:t xml:space="preserve">Timeline visualization tools (Plotly, D3.js) for competitive landscape</w:t>
      </w:r>
    </w:p>
    <w:p>
      <w:pPr>
        <w:spacing w:after="120"/>
      </w:pPr>
      <w:r>
        <w:rPr>
          <w:rFonts w:ascii="Arial" w:cs="Arial" w:eastAsia="Arial" w:hAnsi="Arial"/>
          <w:b/>
          <w:bCs/>
          <w:sz w:val="48"/>
          <w:szCs w:val="48"/>
        </w:rPr>
        <w:t xml:space="preserve">Exemplary Sub-Prompts:</w:t>
      </w:r>
    </w:p>
    <w:p>
      <w:pPr>
        <w:pStyle w:val="ListParagraph"/>
        <w:numPr>
          <w:ilvl w:val="0"/>
          <w:numId w:val="1"/>
        </w:numPr>
        <w:spacing w:after="120"/>
      </w:pPr>
      <w:r>
        <w:t xml:space="preserve">Search patent databases for existing compositions of matter and methods claims covering GENE_Y inhibition (LoF) vs. activation (GoF); assess claim breadth and remaining patent term</w:t>
      </w:r>
    </w:p>
    <w:p>
      <w:pPr>
        <w:pStyle w:val="ListParagraph"/>
        <w:numPr>
          <w:ilvl w:val="0"/>
          <w:numId w:val="1"/>
        </w:numPr>
        <w:spacing w:after="120"/>
      </w:pPr>
      <w:r>
        <w:t xml:space="preserve">Query ClinicalTrials.gov for all ongoing or completed trials targeting GENE_Y; extract sponsor, indication, trial phase, and clinical outcomes</w:t>
      </w:r>
    </w:p>
    <w:p>
      <w:pPr>
        <w:pStyle w:val="ListParagraph"/>
        <w:numPr>
          <w:ilvl w:val="0"/>
          <w:numId w:val="1"/>
        </w:numPr>
        <w:spacing w:after="120"/>
      </w:pPr>
      <w:r>
        <w:t xml:space="preserve">Identify which competitors have filed IND applications for GENE_Y-targeting therapies; extract from public documents timeline and clinical development stage</w:t>
      </w:r>
    </w:p>
    <w:p>
      <w:pPr>
        <w:pStyle w:val="ListParagraph"/>
        <w:numPr>
          <w:ilvl w:val="0"/>
          <w:numId w:val="1"/>
        </w:numPr>
        <w:spacing w:after="120"/>
      </w:pPr>
      <w:r>
        <w:t xml:space="preserve">Analyze patent prosecution history: are there rejected claims that might indicate narrow claim scope or examiner concerns about the approach?</w:t>
      </w:r>
    </w:p>
    <w:p>
      <w:pPr>
        <w:pStyle w:val="ListParagraph"/>
        <w:numPr>
          <w:ilvl w:val="0"/>
          <w:numId w:val="1"/>
        </w:numPr>
        <w:spacing w:after="120"/>
      </w:pPr>
      <w:r>
        <w:t xml:space="preserve">Generate freedom-to-operate (FTO) assessment: do existing patents block LoF inhibitor development? Are GoF approaches patent-clear?</w:t>
      </w:r>
    </w:p>
    <w:p>
      <w:pPr>
        <w:spacing w:after="120"/>
      </w:pPr>
      <w:r>
        <w:rPr>
          <w:rFonts w:ascii="Arial" w:cs="Arial" w:eastAsia="Arial" w:hAnsi="Arial"/>
          <w:b/>
          <w:bCs/>
          <w:sz w:val="48"/>
          <w:szCs w:val="48"/>
        </w:rPr>
        <w:t xml:space="preserve">Expected Outputs:</w:t>
      </w:r>
    </w:p>
    <w:p>
      <w:pPr>
        <w:pStyle w:val="ListParagraph"/>
        <w:numPr>
          <w:ilvl w:val="0"/>
          <w:numId w:val="1"/>
        </w:numPr>
        <w:spacing w:after="120"/>
      </w:pPr>
      <w:r>
        <w:t xml:space="preserve">Patent landscape summary (number of patents, key assignees, claim scope assessment)</w:t>
      </w:r>
    </w:p>
    <w:p>
      <w:pPr>
        <w:pStyle w:val="ListParagraph"/>
        <w:numPr>
          <w:ilvl w:val="0"/>
          <w:numId w:val="1"/>
        </w:numPr>
        <w:spacing w:after="120"/>
      </w:pPr>
      <w:r>
        <w:t xml:space="preserve">Clinical trial summary (number of trials, sponsors, phases, indications, outcomes)</w:t>
      </w:r>
    </w:p>
    <w:p>
      <w:pPr>
        <w:pStyle w:val="ListParagraph"/>
        <w:numPr>
          <w:ilvl w:val="0"/>
          <w:numId w:val="1"/>
        </w:numPr>
        <w:spacing w:after="120"/>
      </w:pPr>
      <w:r>
        <w:t xml:space="preserve">Competitive program comparison table (competitor, approach [LoF/GoF], development stage, indication)</w:t>
      </w:r>
    </w:p>
    <w:p>
      <w:pPr>
        <w:pStyle w:val="ListParagraph"/>
        <w:numPr>
          <w:ilvl w:val="0"/>
          <w:numId w:val="1"/>
        </w:numPr>
        <w:spacing w:after="120"/>
      </w:pPr>
      <w:r>
        <w:t xml:space="preserve">Freedom-to-operate assessment (risk score 0-10, patent clearance recommendations)</w:t>
      </w:r>
    </w:p>
    <w:p>
      <w:pPr>
        <w:pStyle w:val="ListParagraph"/>
        <w:numPr>
          <w:ilvl w:val="0"/>
          <w:numId w:val="1"/>
        </w:numPr>
        <w:spacing w:after="120"/>
      </w:pPr>
      <w:r>
        <w:t xml:space="preserve">Market exclusivity timeline (patent expiration dates, market exclusivity periods)</w:t>
      </w:r>
    </w:p>
    <w:p>
      <w:pPr>
        <w:pStyle w:val="ListParagraph"/>
        <w:numPr>
          <w:ilvl w:val="0"/>
          <w:numId w:val="1"/>
        </w:numPr>
        <w:spacing w:after="120"/>
      </w:pPr>
      <w:r>
        <w:t xml:space="preserve">Recommended IP strategy (defensive patents, licensing opportunities, design-around recommendations)</w:t>
      </w:r>
    </w:p>
    <w:p>
      <w:pPr>
        <w:spacing w:after="180"/>
      </w:pPr>
      <w:r>
        <w:rPr>
          <w:rFonts w:ascii="Arial" w:cs="Arial" w:eastAsia="Arial" w:hAnsi="Arial"/>
          <w:b/>
          <w:bCs/>
          <w:sz w:val="48"/>
          <w:szCs w:val="48"/>
        </w:rPr>
        <w:t xml:space="preserve">Format: </w:t>
      </w:r>
      <w:r>
        <w:rPr>
          <w:rFonts w:ascii="Arial" w:cs="Arial" w:eastAsia="Arial" w:hAnsi="Arial"/>
          <w:b w:val="false"/>
          <w:bCs w:val="false"/>
          <w:sz w:val="48"/>
          <w:szCs w:val="48"/>
        </w:rPr>
        <w:t xml:space="preserve">Competitive intelligence report (5-7 pages) with patent landscape visualizations, clinical trial summary table, FTO risk assessment, and strategic recommendations. Columns: Competitor, Target, Modality, Phase, Indication, Patent Status, FTO Risk.</w:t>
      </w:r>
    </w:p>
    <w:p>
      <w:pPr>
        <w:pStyle w:val="Heading1"/>
        <w:spacing w:after="240"/>
      </w:pPr>
      <w:r>
        <w:t xml:space="preserve">Stage 5: Assess Regulatory Precedent and Clinical Development Path</w:t>
      </w:r>
    </w:p>
    <w:p>
      <w:pPr>
        <w:spacing w:after="180"/>
      </w:pPr>
      <w:r>
        <w:rPr>
          <w:rFonts w:ascii="Arial" w:cs="Arial" w:eastAsia="Arial" w:hAnsi="Arial"/>
          <w:b/>
          <w:bCs/>
          <w:sz w:val="48"/>
          <w:szCs w:val="48"/>
        </w:rPr>
        <w:t xml:space="preserve">Purpose: </w:t>
      </w:r>
      <w:r>
        <w:rPr>
          <w:rFonts w:ascii="Arial" w:cs="Arial" w:eastAsia="Arial" w:hAnsi="Arial"/>
          <w:b w:val="false"/>
          <w:bCs w:val="false"/>
          <w:sz w:val="48"/>
          <w:szCs w:val="48"/>
        </w:rPr>
        <w:t xml:space="preserve">Evaluate FDA regulatory precedent for LoF vs. GoF therapeutic approaches, extracting lessons from approved drugs and failed clinical programs to recommend optimal regulatory pathway for GENE_Y target.</w:t>
      </w:r>
    </w:p>
    <w:p>
      <w:pPr>
        <w:spacing w:after="120"/>
      </w:pPr>
      <w:r>
        <w:rPr>
          <w:rFonts w:ascii="Arial" w:cs="Arial" w:eastAsia="Arial" w:hAnsi="Arial"/>
          <w:b/>
          <w:bCs/>
          <w:sz w:val="48"/>
          <w:szCs w:val="48"/>
        </w:rPr>
        <w:t xml:space="preserve">Inputs:</w:t>
      </w:r>
    </w:p>
    <w:p>
      <w:pPr>
        <w:pStyle w:val="ListParagraph"/>
        <w:numPr>
          <w:ilvl w:val="0"/>
          <w:numId w:val="1"/>
        </w:numPr>
        <w:spacing w:after="120"/>
      </w:pPr>
      <w:r>
        <w:t xml:space="preserve">FDA approval database (Drugs@FDA)</w:t>
      </w:r>
    </w:p>
    <w:p>
      <w:pPr>
        <w:pStyle w:val="ListParagraph"/>
        <w:numPr>
          <w:ilvl w:val="0"/>
          <w:numId w:val="1"/>
        </w:numPr>
        <w:spacing w:after="120"/>
      </w:pPr>
      <w:r>
        <w:t xml:space="preserve">Clinical trial result databases (ClinicalTrials.gov outcomes)</w:t>
      </w:r>
    </w:p>
    <w:p>
      <w:pPr>
        <w:pStyle w:val="ListParagraph"/>
        <w:numPr>
          <w:ilvl w:val="0"/>
          <w:numId w:val="1"/>
        </w:numPr>
        <w:spacing w:after="120"/>
      </w:pPr>
      <w:r>
        <w:t xml:space="preserve">FDA guidance documents for specific modalities (small molecules, biologics, gene therapy)</w:t>
      </w:r>
    </w:p>
    <w:p>
      <w:pPr>
        <w:pStyle w:val="ListParagraph"/>
        <w:numPr>
          <w:ilvl w:val="0"/>
          <w:numId w:val="1"/>
        </w:numPr>
        <w:spacing w:after="120"/>
      </w:pPr>
      <w:r>
        <w:t xml:space="preserve">Published regulatory correspondence (complete response letters, advisory committee transcripts)</w:t>
      </w:r>
    </w:p>
    <w:p>
      <w:pPr>
        <w:pStyle w:val="ListParagraph"/>
        <w:numPr>
          <w:ilvl w:val="0"/>
          <w:numId w:val="1"/>
        </w:numPr>
        <w:spacing w:after="120"/>
      </w:pPr>
      <w:r>
        <w:t xml:space="preserve">Published review articles on clinical development pathways for similar targets</w:t>
      </w:r>
    </w:p>
    <w:p>
      <w:pPr>
        <w:spacing w:after="120"/>
      </w:pPr>
      <w:r>
        <w:rPr>
          <w:rFonts w:ascii="Arial" w:cs="Arial" w:eastAsia="Arial" w:hAnsi="Arial"/>
          <w:b/>
          <w:bCs/>
          <w:sz w:val="48"/>
          <w:szCs w:val="48"/>
        </w:rPr>
        <w:t xml:space="preserve">Tools &amp; Databases Called:</w:t>
      </w:r>
    </w:p>
    <w:p>
      <w:pPr>
        <w:pStyle w:val="ListParagraph"/>
        <w:numPr>
          <w:ilvl w:val="0"/>
          <w:numId w:val="1"/>
        </w:numPr>
        <w:spacing w:after="120"/>
      </w:pPr>
      <w:r>
        <w:t xml:space="preserve">FDA public databases (Drugs@FDA, FDA.gov)</w:t>
      </w:r>
    </w:p>
    <w:p>
      <w:pPr>
        <w:pStyle w:val="ListParagraph"/>
        <w:numPr>
          <w:ilvl w:val="0"/>
          <w:numId w:val="1"/>
        </w:numPr>
        <w:spacing w:after="120"/>
      </w:pPr>
      <w:r>
        <w:t xml:space="preserve">ClinicalTrials.gov API with outcome filtering</w:t>
      </w:r>
    </w:p>
    <w:p>
      <w:pPr>
        <w:pStyle w:val="ListParagraph"/>
        <w:numPr>
          <w:ilvl w:val="0"/>
          <w:numId w:val="1"/>
        </w:numPr>
        <w:spacing w:after="120"/>
      </w:pPr>
      <w:r>
        <w:t xml:space="preserve">Natural language processing tools for regulatory document analysis</w:t>
      </w:r>
    </w:p>
    <w:p>
      <w:pPr>
        <w:pStyle w:val="ListParagraph"/>
        <w:numPr>
          <w:ilvl w:val="0"/>
          <w:numId w:val="1"/>
        </w:numPr>
        <w:spacing w:after="120"/>
      </w:pPr>
      <w:r>
        <w:t xml:space="preserve">Statistics packages for meta-analysis of clinical outcomes by modality</w:t>
      </w:r>
    </w:p>
    <w:p>
      <w:pPr>
        <w:pStyle w:val="ListParagraph"/>
        <w:numPr>
          <w:ilvl w:val="0"/>
          <w:numId w:val="1"/>
        </w:numPr>
        <w:spacing w:after="120"/>
      </w:pPr>
      <w:r>
        <w:t xml:space="preserve">Decision tree tools for regulatory pathway modeling</w:t>
      </w:r>
    </w:p>
    <w:p>
      <w:pPr>
        <w:pStyle w:val="ListParagraph"/>
        <w:numPr>
          <w:ilvl w:val="0"/>
          <w:numId w:val="1"/>
        </w:numPr>
        <w:spacing w:after="120"/>
      </w:pPr>
      <w:r>
        <w:t xml:space="preserve">Timeline visualization tools for development phase duration analysis</w:t>
      </w:r>
    </w:p>
    <w:p>
      <w:pPr>
        <w:spacing w:after="120"/>
      </w:pPr>
      <w:r>
        <w:rPr>
          <w:rFonts w:ascii="Arial" w:cs="Arial" w:eastAsia="Arial" w:hAnsi="Arial"/>
          <w:b/>
          <w:bCs/>
          <w:sz w:val="48"/>
          <w:szCs w:val="48"/>
        </w:rPr>
        <w:t xml:space="preserve">Exemplary Sub-Prompts:</w:t>
      </w:r>
    </w:p>
    <w:p>
      <w:pPr>
        <w:pStyle w:val="ListParagraph"/>
        <w:numPr>
          <w:ilvl w:val="0"/>
          <w:numId w:val="1"/>
        </w:numPr>
        <w:spacing w:after="120"/>
      </w:pPr>
      <w:r>
        <w:t xml:space="preserve">Identify FDA-approved drugs targeting GENE_Y family members using LoF or GoF approaches; extract approval timeline, indication, Phase 2/3 efficacy data, and safety profile</w:t>
      </w:r>
    </w:p>
    <w:p>
      <w:pPr>
        <w:pStyle w:val="ListParagraph"/>
        <w:numPr>
          <w:ilvl w:val="0"/>
          <w:numId w:val="1"/>
        </w:numPr>
        <w:spacing w:after="120"/>
      </w:pPr>
      <w:r>
        <w:t xml:space="preserve">Search for failed clinical programs (washouts, clinical holds) targeting GENE_Y; identify reasons for failure and lessons learned</w:t>
      </w:r>
    </w:p>
    <w:p>
      <w:pPr>
        <w:pStyle w:val="ListParagraph"/>
        <w:numPr>
          <w:ilvl w:val="0"/>
          <w:numId w:val="1"/>
        </w:numPr>
        <w:spacing w:after="120"/>
      </w:pPr>
      <w:r>
        <w:t xml:space="preserve">Compare regulatory requirements for LoF inhibitors vs. GoF activators: which requires more extensive preclinical safety data? More Phase 1 dose escalation?</w:t>
      </w:r>
    </w:p>
    <w:p>
      <w:pPr>
        <w:pStyle w:val="ListParagraph"/>
        <w:numPr>
          <w:ilvl w:val="0"/>
          <w:numId w:val="1"/>
        </w:numPr>
        <w:spacing w:after="120"/>
      </w:pPr>
      <w:r>
        <w:t xml:space="preserve">Extract FDA guidance documents relevant to GENE_Y modality (e.g., FDA Guidance on Pharmacogenomics if GENE_Y is involved in drug metabolism)</w:t>
      </w:r>
    </w:p>
    <w:p>
      <w:pPr>
        <w:pStyle w:val="ListParagraph"/>
        <w:numPr>
          <w:ilvl w:val="0"/>
          <w:numId w:val="1"/>
        </w:numPr>
        <w:spacing w:after="120"/>
      </w:pPr>
      <w:r>
        <w:t xml:space="preserve">Model projected development timelines and phase durations based on historical precedent for similar programs</w:t>
      </w:r>
    </w:p>
    <w:p>
      <w:pPr>
        <w:spacing w:after="120"/>
      </w:pPr>
      <w:r>
        <w:rPr>
          <w:rFonts w:ascii="Arial" w:cs="Arial" w:eastAsia="Arial" w:hAnsi="Arial"/>
          <w:b/>
          <w:bCs/>
          <w:sz w:val="48"/>
          <w:szCs w:val="48"/>
        </w:rPr>
        <w:t xml:space="preserve">Expected Outputs:</w:t>
      </w:r>
    </w:p>
    <w:p>
      <w:pPr>
        <w:pStyle w:val="ListParagraph"/>
        <w:numPr>
          <w:ilvl w:val="0"/>
          <w:numId w:val="1"/>
        </w:numPr>
        <w:spacing w:after="120"/>
      </w:pPr>
      <w:r>
        <w:t xml:space="preserve">Regulatory precedent summary for GENE_Y family members (approved drugs, clinical outcomes)</w:t>
      </w:r>
    </w:p>
    <w:p>
      <w:pPr>
        <w:pStyle w:val="ListParagraph"/>
        <w:numPr>
          <w:ilvl w:val="0"/>
          <w:numId w:val="1"/>
        </w:numPr>
        <w:spacing w:after="120"/>
      </w:pPr>
      <w:r>
        <w:t xml:space="preserve">Failed program analysis (reasons for failure, safety signals, efficacy shortfalls)</w:t>
      </w:r>
    </w:p>
    <w:p>
      <w:pPr>
        <w:pStyle w:val="ListParagraph"/>
        <w:numPr>
          <w:ilvl w:val="0"/>
          <w:numId w:val="1"/>
        </w:numPr>
        <w:spacing w:after="120"/>
      </w:pPr>
      <w:r>
        <w:t xml:space="preserve">Regulatory pathway comparison (LoF vs. GoF approval timelines, phase durations)</w:t>
      </w:r>
    </w:p>
    <w:p>
      <w:pPr>
        <w:pStyle w:val="ListParagraph"/>
        <w:numPr>
          <w:ilvl w:val="0"/>
          <w:numId w:val="1"/>
        </w:numPr>
        <w:spacing w:after="120"/>
      </w:pPr>
      <w:r>
        <w:t xml:space="preserve">Recommended IND-enabling preclinical studies based on FDA precedent</w:t>
      </w:r>
    </w:p>
    <w:p>
      <w:pPr>
        <w:pStyle w:val="ListParagraph"/>
        <w:numPr>
          <w:ilvl w:val="0"/>
          <w:numId w:val="1"/>
        </w:numPr>
        <w:spacing w:after="120"/>
      </w:pPr>
      <w:r>
        <w:t xml:space="preserve">Phase 1 clinical protocol recommendations (starting dose, escalation scheme, safety monitoring)</w:t>
      </w:r>
    </w:p>
    <w:p>
      <w:pPr>
        <w:pStyle w:val="ListParagraph"/>
        <w:numPr>
          <w:ilvl w:val="0"/>
          <w:numId w:val="1"/>
        </w:numPr>
        <w:spacing w:after="120"/>
      </w:pPr>
      <w:r>
        <w:t xml:space="preserve">Regulatory risk assessment with mitigation strategies</w:t>
      </w:r>
    </w:p>
    <w:p>
      <w:pPr>
        <w:spacing w:after="180"/>
      </w:pPr>
      <w:r>
        <w:rPr>
          <w:rFonts w:ascii="Arial" w:cs="Arial" w:eastAsia="Arial" w:hAnsi="Arial"/>
          <w:b/>
          <w:bCs/>
          <w:sz w:val="48"/>
          <w:szCs w:val="48"/>
        </w:rPr>
        <w:t xml:space="preserve">Format: </w:t>
      </w:r>
      <w:r>
        <w:rPr>
          <w:rFonts w:ascii="Arial" w:cs="Arial" w:eastAsia="Arial" w:hAnsi="Arial"/>
          <w:b w:val="false"/>
          <w:bCs w:val="false"/>
          <w:sz w:val="48"/>
          <w:szCs w:val="48"/>
        </w:rPr>
        <w:t xml:space="preserve">Regulatory analysis report (4-6 pages) with precedent summary table, phase duration benchmark analysis, recommended preclinical studies, and Phase 1 protocol outline. Columns: Precedent Drug, Company, Indication, Approval Year, Phase 2/3 Efficacy (%), Safety Events, Phase Duration (months).</w:t>
      </w:r>
    </w:p>
    <w:p>
      <w:pPr>
        <w:pStyle w:val="Heading1"/>
        <w:spacing w:after="240"/>
      </w:pPr>
      <w:r>
        <w:t xml:space="preserve">Stage 6: Generate LoF vs. GoF Clinical Feasibility Ranking and Recommendation</w:t>
      </w:r>
    </w:p>
    <w:p>
      <w:pPr>
        <w:spacing w:after="180"/>
      </w:pPr>
      <w:r>
        <w:rPr>
          <w:rFonts w:ascii="Arial" w:cs="Arial" w:eastAsia="Arial" w:hAnsi="Arial"/>
          <w:b/>
          <w:bCs/>
          <w:sz w:val="48"/>
          <w:szCs w:val="48"/>
        </w:rPr>
        <w:t xml:space="preserve">Purpose: </w:t>
      </w:r>
      <w:r>
        <w:rPr>
          <w:rFonts w:ascii="Arial" w:cs="Arial" w:eastAsia="Arial" w:hAnsi="Arial"/>
          <w:b w:val="false"/>
          <w:bCs w:val="false"/>
          <w:sz w:val="48"/>
          <w:szCs w:val="48"/>
        </w:rPr>
        <w:t xml:space="preserve">Synthesize all preceding analyses into a final recommendation for optimal modulation direction (LoF or GoF), ranked by clinical feasibility, supporting both strategic decision-making and IND application preparation.</w:t>
      </w:r>
    </w:p>
    <w:p>
      <w:pPr>
        <w:spacing w:after="120"/>
      </w:pPr>
      <w:r>
        <w:rPr>
          <w:rFonts w:ascii="Arial" w:cs="Arial" w:eastAsia="Arial" w:hAnsi="Arial"/>
          <w:b/>
          <w:bCs/>
          <w:sz w:val="48"/>
          <w:szCs w:val="48"/>
        </w:rPr>
        <w:t xml:space="preserve">Inputs:</w:t>
      </w:r>
    </w:p>
    <w:p>
      <w:pPr>
        <w:pStyle w:val="ListParagraph"/>
        <w:numPr>
          <w:ilvl w:val="0"/>
          <w:numId w:val="1"/>
        </w:numPr>
        <w:spacing w:after="120"/>
      </w:pPr>
      <w:r>
        <w:t xml:space="preserve">All outputs from Stages 1-5</w:t>
      </w:r>
    </w:p>
    <w:p>
      <w:pPr>
        <w:pStyle w:val="ListParagraph"/>
        <w:numPr>
          <w:ilvl w:val="0"/>
          <w:numId w:val="1"/>
        </w:numPr>
        <w:spacing w:after="120"/>
      </w:pPr>
      <w:r>
        <w:t xml:space="preserve">Disease relevance assessment (Is LoF or GoF mechanism aligned with disease pathophysiology?)</w:t>
      </w:r>
    </w:p>
    <w:p>
      <w:pPr>
        <w:pStyle w:val="ListParagraph"/>
        <w:numPr>
          <w:ilvl w:val="0"/>
          <w:numId w:val="1"/>
        </w:numPr>
        <w:spacing w:after="120"/>
      </w:pPr>
      <w:r>
        <w:t xml:space="preserve">Target validation data (patient genetics, animal models)</w:t>
      </w:r>
    </w:p>
    <w:p>
      <w:pPr>
        <w:pStyle w:val="ListParagraph"/>
        <w:numPr>
          <w:ilvl w:val="0"/>
          <w:numId w:val="1"/>
        </w:numPr>
        <w:spacing w:after="120"/>
      </w:pPr>
      <w:r>
        <w:t xml:space="preserve">Internal company strategy and therapeutic focus areas</w:t>
      </w:r>
    </w:p>
    <w:p>
      <w:pPr>
        <w:pStyle w:val="ListParagraph"/>
        <w:numPr>
          <w:ilvl w:val="0"/>
          <w:numId w:val="1"/>
        </w:numPr>
        <w:spacing w:after="120"/>
      </w:pPr>
      <w:r>
        <w:t xml:space="preserve">Available resources and timeframes for clinical development</w:t>
      </w:r>
    </w:p>
    <w:p>
      <w:pPr>
        <w:spacing w:after="120"/>
      </w:pPr>
      <w:r>
        <w:rPr>
          <w:rFonts w:ascii="Arial" w:cs="Arial" w:eastAsia="Arial" w:hAnsi="Arial"/>
          <w:b/>
          <w:bCs/>
          <w:sz w:val="48"/>
          <w:szCs w:val="48"/>
        </w:rPr>
        <w:t xml:space="preserve">Tools &amp; Databases Called:</w:t>
      </w:r>
    </w:p>
    <w:p>
      <w:pPr>
        <w:pStyle w:val="ListParagraph"/>
        <w:numPr>
          <w:ilvl w:val="0"/>
          <w:numId w:val="1"/>
        </w:numPr>
        <w:spacing w:after="120"/>
      </w:pPr>
      <w:r>
        <w:t xml:space="preserve">Multi-criteria decision analysis (MCDA) framework</w:t>
      </w:r>
    </w:p>
    <w:p>
      <w:pPr>
        <w:pStyle w:val="ListParagraph"/>
        <w:numPr>
          <w:ilvl w:val="0"/>
          <w:numId w:val="1"/>
        </w:numPr>
        <w:spacing w:after="120"/>
      </w:pPr>
      <w:r>
        <w:t xml:space="preserve">Weighted scoring matrices and ranking algorithms</w:t>
      </w:r>
    </w:p>
    <w:p>
      <w:pPr>
        <w:pStyle w:val="ListParagraph"/>
        <w:numPr>
          <w:ilvl w:val="0"/>
          <w:numId w:val="1"/>
        </w:numPr>
        <w:spacing w:after="120"/>
      </w:pPr>
      <w:r>
        <w:t xml:space="preserve">Decision analysis software (TreeAge Pro or equivalent)</w:t>
      </w:r>
    </w:p>
    <w:p>
      <w:pPr>
        <w:pStyle w:val="ListParagraph"/>
        <w:numPr>
          <w:ilvl w:val="0"/>
          <w:numId w:val="1"/>
        </w:numPr>
        <w:spacing w:after="120"/>
      </w:pPr>
      <w:r>
        <w:t xml:space="preserve">Probability-impact risk assessment matrices</w:t>
      </w:r>
    </w:p>
    <w:p>
      <w:pPr>
        <w:pStyle w:val="ListParagraph"/>
        <w:numPr>
          <w:ilvl w:val="0"/>
          <w:numId w:val="1"/>
        </w:numPr>
        <w:spacing w:after="120"/>
      </w:pPr>
      <w:r>
        <w:t xml:space="preserve">Executive summary tools (visualization, graphical abstract)</w:t>
      </w:r>
    </w:p>
    <w:p>
      <w:pPr>
        <w:pStyle w:val="ListParagraph"/>
        <w:numPr>
          <w:ilvl w:val="0"/>
          <w:numId w:val="1"/>
        </w:numPr>
        <w:spacing w:after="120"/>
      </w:pPr>
      <w:r>
        <w:t xml:space="preserve">Project management tools for timeline estimation</w:t>
      </w:r>
    </w:p>
    <w:p>
      <w:pPr>
        <w:spacing w:after="120"/>
      </w:pPr>
      <w:r>
        <w:rPr>
          <w:rFonts w:ascii="Arial" w:cs="Arial" w:eastAsia="Arial" w:hAnsi="Arial"/>
          <w:b/>
          <w:bCs/>
          <w:sz w:val="48"/>
          <w:szCs w:val="48"/>
        </w:rPr>
        <w:t xml:space="preserve">Exemplary Sub-Prompts:</w:t>
      </w:r>
    </w:p>
    <w:p>
      <w:pPr>
        <w:pStyle w:val="ListParagraph"/>
        <w:numPr>
          <w:ilvl w:val="0"/>
          <w:numId w:val="1"/>
        </w:numPr>
        <w:spacing w:after="120"/>
      </w:pPr>
      <w:r>
        <w:t xml:space="preserve">Generate a comprehensive feasibility score (0-100) for both LoF and GoF approaches integrating: (A) Sapphire phenotype alignment with disease, (B) druggability, (C) off-target safety, (D) competitive landscape, (E) regulatory precedent, (F) development timeline</w:t>
      </w:r>
    </w:p>
    <w:p>
      <w:pPr>
        <w:pStyle w:val="ListParagraph"/>
        <w:numPr>
          <w:ilvl w:val="0"/>
          <w:numId w:val="1"/>
        </w:numPr>
        <w:spacing w:after="120"/>
      </w:pPr>
      <w:r>
        <w:t xml:space="preserve">Create detailed clinical translation roadmap for the recommended approach (LoF or GoF): Year 1-3 preclinical, Years 3-5 IND enabling, Years 5-8 Phase 1/2a clinical</w:t>
      </w:r>
    </w:p>
    <w:p>
      <w:pPr>
        <w:pStyle w:val="ListParagraph"/>
        <w:numPr>
          <w:ilvl w:val="0"/>
          <w:numId w:val="1"/>
        </w:numPr>
        <w:spacing w:after="120"/>
      </w:pPr>
      <w:r>
        <w:t xml:space="preserve">Identify key decision points and go/no-go criteria: at what milestones should the program be re-evaluated for continued investment?</w:t>
      </w:r>
    </w:p>
    <w:p>
      <w:pPr>
        <w:pStyle w:val="ListParagraph"/>
        <w:numPr>
          <w:ilvl w:val="0"/>
          <w:numId w:val="1"/>
        </w:numPr>
        <w:spacing w:after="120"/>
      </w:pPr>
      <w:r>
        <w:t xml:space="preserve">Generate a risk mitigation plan: what are the top 5 risks for the recommended approach, and what contingency strategies would de-risk the program?</w:t>
      </w:r>
    </w:p>
    <w:p>
      <w:pPr>
        <w:pStyle w:val="ListParagraph"/>
        <w:numPr>
          <w:ilvl w:val="0"/>
          <w:numId w:val="1"/>
        </w:numPr>
        <w:spacing w:after="120"/>
      </w:pPr>
      <w:r>
        <w:t xml:space="preserve">Create a "stage-gate" development plan with phase gates, success criteria, and decision rules for progression</w:t>
      </w:r>
    </w:p>
    <w:p>
      <w:pPr>
        <w:spacing w:after="120"/>
      </w:pPr>
      <w:r>
        <w:rPr>
          <w:rFonts w:ascii="Arial" w:cs="Arial" w:eastAsia="Arial" w:hAnsi="Arial"/>
          <w:b/>
          <w:bCs/>
          <w:sz w:val="48"/>
          <w:szCs w:val="48"/>
        </w:rPr>
        <w:t xml:space="preserve">Expected Outputs:</w:t>
      </w:r>
    </w:p>
    <w:p>
      <w:pPr>
        <w:pStyle w:val="ListParagraph"/>
        <w:numPr>
          <w:ilvl w:val="0"/>
          <w:numId w:val="1"/>
        </w:numPr>
        <w:spacing w:after="120"/>
      </w:pPr>
      <w:r>
        <w:t xml:space="preserve">Comprehensive LoF vs. GoF clinical feasibility comparison (scoring matrix, weighted scores)</w:t>
      </w:r>
    </w:p>
    <w:p>
      <w:pPr>
        <w:pStyle w:val="ListParagraph"/>
        <w:numPr>
          <w:ilvl w:val="0"/>
          <w:numId w:val="1"/>
        </w:numPr>
        <w:spacing w:after="120"/>
      </w:pPr>
      <w:r>
        <w:t xml:space="preserve">Recommendation: primary approach (LoF or GoF) with supporting rationale</w:t>
      </w:r>
    </w:p>
    <w:p>
      <w:pPr>
        <w:pStyle w:val="ListParagraph"/>
        <w:numPr>
          <w:ilvl w:val="0"/>
          <w:numId w:val="1"/>
        </w:numPr>
        <w:spacing w:after="120"/>
      </w:pPr>
      <w:r>
        <w:t xml:space="preserve">Alternative approach contingency plan (if primary approach encounters de-risking issues)</w:t>
      </w:r>
    </w:p>
    <w:p>
      <w:pPr>
        <w:pStyle w:val="ListParagraph"/>
        <w:numPr>
          <w:ilvl w:val="0"/>
          <w:numId w:val="1"/>
        </w:numPr>
        <w:spacing w:after="120"/>
      </w:pPr>
      <w:r>
        <w:t xml:space="preserve">Detailed clinical development roadmap with milestones, timelines, and resource requirements</w:t>
      </w:r>
    </w:p>
    <w:p>
      <w:pPr>
        <w:pStyle w:val="ListParagraph"/>
        <w:numPr>
          <w:ilvl w:val="0"/>
          <w:numId w:val="1"/>
        </w:numPr>
        <w:spacing w:after="120"/>
      </w:pPr>
      <w:r>
        <w:t xml:space="preserve">Key decision points and go/no-go criteria for stage-gate progression</w:t>
      </w:r>
    </w:p>
    <w:p>
      <w:pPr>
        <w:pStyle w:val="ListParagraph"/>
        <w:numPr>
          <w:ilvl w:val="0"/>
          <w:numId w:val="1"/>
        </w:numPr>
        <w:spacing w:after="120"/>
      </w:pPr>
      <w:r>
        <w:t xml:space="preserve">Executive summary (1-2 pages) with recommendation, top 3 supporting data points, and critical risks/mitigations</w:t>
      </w:r>
    </w:p>
    <w:p>
      <w:pPr>
        <w:spacing w:after="180"/>
      </w:pPr>
      <w:r>
        <w:rPr>
          <w:rFonts w:ascii="Arial" w:cs="Arial" w:eastAsia="Arial" w:hAnsi="Arial"/>
          <w:b/>
          <w:bCs/>
          <w:sz w:val="48"/>
          <w:szCs w:val="48"/>
        </w:rPr>
        <w:t xml:space="preserve">Format: </w:t>
      </w:r>
      <w:r>
        <w:rPr>
          <w:rFonts w:ascii="Arial" w:cs="Arial" w:eastAsia="Arial" w:hAnsi="Arial"/>
          <w:b w:val="false"/>
          <w:bCs w:val="false"/>
          <w:sz w:val="48"/>
          <w:szCs w:val="48"/>
        </w:rPr>
        <w:t xml:space="preserve">Comprehensive recommendation report (15-20 pages) with executive summary, detailed feasibility scoring, roadmap Gantt chart, risk matrices, and contingency plans. Summary table: LoF Score (component scores for druggability, safety, FTO, regulatory), GoF Score (same components), Recommendation with confidence level, Timeline, Investment Required.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2026-03-01T17:47:01.484Z</dcterms:created>
  <dcterms:modified xsi:type="dcterms:W3CDTF">2026-03-01T17:47:01.484Z</dcterms:modified>
</cp:coreProperties>
</file>

<file path=docProps/custom.xml><?xml version="1.0" encoding="utf-8"?>
<Properties xmlns="http://schemas.openxmlformats.org/officeDocument/2006/custom-properties" xmlns:vt="http://schemas.openxmlformats.org/officeDocument/2006/docPropsVTypes"/>
</file>