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Pipeline_092_ASD_Polygenic_Convergence_Points</w:t>
      </w:r>
    </w:p>
    <w:p>
      <w:pPr>
        <w:spacing w:after="180"/>
      </w:pPr>
      <w:r>
        <w:t xml:space="preserve">Prompt: Identify polygenic convergence points in ASD functional clusters.</w:t>
      </w:r>
    </w:p>
    <w:p>
      <w:pPr>
        <w:spacing w:after="180"/>
      </w:pPr>
      <w:r>
        <w:t xml:space="preserve">The Quiver Bioscience Sapphire platform represents a comprehensive AI-driven drug discovery system leveraging ~18,000 CRISPR gene perturbations coupled with high-throughput electrophysiology (EP) phenotyping in human cortical neurons. This unprecedented dataset captures functional consequences of precise genetic modifications across the proteome in a disease-relevant model system.</w:t>
      </w:r>
    </w:p>
    <w:p>
      <w:pPr>
        <w:spacing w:after="180"/>
      </w:pPr>
      <w:r>
        <w:t xml:space="preserve">The Pipeline_092_ASD_Polygenic_Convergence_Points pipeline exemplifies the power of integrating massive-scale perturbation data with computational biology and clinical intelligence to identify therapeutically actionable targets. By systematically analyzing gene-phenotype relationships, this workflow enables rapid prioritization of candidates most likely to succeed in clinical translation.</w:t>
      </w:r>
    </w:p>
    <w:p>
      <w:pPr>
        <w:spacing w:after="180"/>
      </w:pPr>
      <w:r>
        <w:t xml:space="preserve">This pipeline leverages the unique strengths of the Sapphire platform: (1) graded knockdown capabilities enabling dose-response analysis rather than binary on/off perturbations, (2) functional readouts in human neurons rather than proxy systems, (3) embedding space representation of ~18,000 genes capturing phenotypic similarity and functional networks, and (4) integration with clinical databases and structural biology tools.</w:t>
      </w:r>
    </w:p>
    <w:p>
      <w:pPr>
        <w:spacing w:after="180"/>
      </w:pPr>
      <w:r>
        <w:t xml:space="preserve">The Sapphire platform enables drug discovery workflows that were previously impossible due to data scarcity. Traditional target validation relies on cell line transfections, knockout mouse models, or computational inference—each with significant limitations. Sapphire provides experimental ground truth for human neuronal function across the entire protein-coding genome with single-gene resolution.</w:t>
      </w:r>
    </w:p>
    <w:p>
      <w:pPr>
        <w:spacing w:after="180"/>
      </w:pPr>
      <w:r>
        <w:t xml:space="preserve">This standardized workflow can be executed iteratively on thousands of targets, generating hypothesis space for therapeutic intervention. The structured pipeline ensures reproducibility, scalability, and adherence to best practices in target prioritization. Each stage includes validation checkpoints, quality control filters, and decision gates to ensure only high-confidence candidates advance.</w:t>
      </w:r>
    </w:p>
    <w:p>
      <w:pPr>
        <w:spacing w:after="180"/>
      </w:pPr>
      <w:r>
        <w:t xml:space="preserve">The following sections detail the complete analytical workflow, including data sources, computational tools, exemplary prompts for AI-assisted analysis, expected outputs, and formatting specifications. This structure enables both human experts and AI systems to execute the pipeline consistently and generate actionable insights for drug discovery.</w:t>
      </w:r>
    </w:p>
    <w:p>
      <w:pPr>
        <w:pStyle w:val="Heading1"/>
        <w:spacing w:after="240"/>
      </w:pPr>
      <w:r>
        <w:t xml:space="preserve">Stage 1: Query Sapphire Embedding Space and ASD Gene Perturbations</w:t>
      </w:r>
    </w:p>
    <w:p>
      <w:pPr>
        <w:spacing w:after="180"/>
      </w:pPr>
      <w:r>
        <w:rPr>
          <w:rFonts w:ascii="Arial" w:cs="Arial" w:eastAsia="Arial" w:hAnsi="Arial"/>
          <w:b/>
          <w:bCs/>
          <w:sz w:val="48"/>
          <w:szCs w:val="48"/>
        </w:rPr>
        <w:t xml:space="preserve">Purpose: </w:t>
      </w:r>
      <w:r>
        <w:rPr>
          <w:rFonts w:ascii="Arial" w:cs="Arial" w:eastAsia="Arial" w:hAnsi="Arial"/>
          <w:b w:val="false"/>
          <w:bCs w:val="false"/>
          <w:sz w:val="48"/>
          <w:szCs w:val="48"/>
        </w:rPr>
        <w:t xml:space="preserve">Extract electrophysiology phenotype embeddings for all ASD-associated genes from the Sapphire platform, mapping genes into the high-dimensional phenotype space to identify clusters of functionally similar perturbations.</w:t>
      </w:r>
    </w:p>
    <w:p>
      <w:pPr>
        <w:spacing w:after="120"/>
      </w:pPr>
      <w:r>
        <w:rPr>
          <w:rFonts w:ascii="Arial" w:cs="Arial" w:eastAsia="Arial" w:hAnsi="Arial"/>
          <w:b/>
          <w:bCs/>
          <w:sz w:val="48"/>
          <w:szCs w:val="48"/>
        </w:rPr>
        <w:t xml:space="preserve">Inputs:</w:t>
      </w:r>
    </w:p>
    <w:p>
      <w:pPr>
        <w:pStyle w:val="ListParagraph"/>
        <w:numPr>
          <w:ilvl w:val="0"/>
          <w:numId w:val="1"/>
        </w:numPr>
        <w:spacing w:after="120"/>
      </w:pPr>
      <w:r>
        <w:t xml:space="preserve">SFARI Gene database (ASD-associated genes, confidence levels)</w:t>
      </w:r>
    </w:p>
    <w:p>
      <w:pPr>
        <w:pStyle w:val="ListParagraph"/>
        <w:numPr>
          <w:ilvl w:val="0"/>
          <w:numId w:val="1"/>
        </w:numPr>
        <w:spacing w:after="120"/>
      </w:pPr>
      <w:r>
        <w:t xml:space="preserve">Sapphire EP phenotype embedding vectors (~18,000 genes x 64-256 dimensions)</w:t>
      </w:r>
    </w:p>
    <w:p>
      <w:pPr>
        <w:pStyle w:val="ListParagraph"/>
        <w:numPr>
          <w:ilvl w:val="0"/>
          <w:numId w:val="1"/>
        </w:numPr>
        <w:spacing w:after="120"/>
      </w:pPr>
      <w:r>
        <w:t xml:space="preserve">Individual EP phenotype measurements (12+ metrics per gene)</w:t>
      </w:r>
    </w:p>
    <w:p>
      <w:pPr>
        <w:pStyle w:val="ListParagraph"/>
        <w:numPr>
          <w:ilvl w:val="0"/>
          <w:numId w:val="1"/>
        </w:numPr>
        <w:spacing w:after="120"/>
      </w:pPr>
      <w:r>
        <w:t xml:space="preserve">Gene annotation data (pathways, protein domains, expression patterns)</w:t>
      </w:r>
    </w:p>
    <w:p>
      <w:pPr>
        <w:pStyle w:val="ListParagraph"/>
        <w:numPr>
          <w:ilvl w:val="0"/>
          <w:numId w:val="1"/>
        </w:numPr>
        <w:spacing w:after="120"/>
      </w:pPr>
      <w:r>
        <w:t xml:space="preserve">GWAS summary statistics for ASD-associated loci</w:t>
      </w:r>
    </w:p>
    <w:p>
      <w:pPr>
        <w:spacing w:after="120"/>
      </w:pPr>
      <w:r>
        <w:rPr>
          <w:rFonts w:ascii="Arial" w:cs="Arial" w:eastAsia="Arial" w:hAnsi="Arial"/>
          <w:b/>
          <w:bCs/>
          <w:sz w:val="48"/>
          <w:szCs w:val="48"/>
        </w:rPr>
        <w:t xml:space="preserve">Tools &amp; Databases Called:</w:t>
      </w:r>
    </w:p>
    <w:p>
      <w:pPr>
        <w:pStyle w:val="ListParagraph"/>
        <w:numPr>
          <w:ilvl w:val="0"/>
          <w:numId w:val="1"/>
        </w:numPr>
        <w:spacing w:after="120"/>
      </w:pPr>
      <w:r>
        <w:t xml:space="preserve">Quiver Sapphire EP embedding vectors (UMAP, t-SNE, PCA pre-computed)</w:t>
      </w:r>
    </w:p>
    <w:p>
      <w:pPr>
        <w:pStyle w:val="ListParagraph"/>
        <w:numPr>
          <w:ilvl w:val="0"/>
          <w:numId w:val="1"/>
        </w:numPr>
        <w:spacing w:after="120"/>
      </w:pPr>
      <w:r>
        <w:t xml:space="preserve">Scikit-learn for dimensionality reduction (UMAP, t-SNE, PCA)</w:t>
      </w:r>
    </w:p>
    <w:p>
      <w:pPr>
        <w:pStyle w:val="ListParagraph"/>
        <w:numPr>
          <w:ilvl w:val="0"/>
          <w:numId w:val="1"/>
        </w:numPr>
        <w:spacing w:after="120"/>
      </w:pPr>
      <w:r>
        <w:t xml:space="preserve">Scipy.spatial for distance calculations (Euclidean, cosine similarity)</w:t>
      </w:r>
    </w:p>
    <w:p>
      <w:pPr>
        <w:pStyle w:val="ListParagraph"/>
        <w:numPr>
          <w:ilvl w:val="0"/>
          <w:numId w:val="1"/>
        </w:numPr>
        <w:spacing w:after="120"/>
      </w:pPr>
      <w:r>
        <w:t xml:space="preserve">Clustering algorithms (K-means, hierarchical clustering, DBSCAN)</w:t>
      </w:r>
    </w:p>
    <w:p>
      <w:pPr>
        <w:pStyle w:val="ListParagraph"/>
        <w:numPr>
          <w:ilvl w:val="0"/>
          <w:numId w:val="1"/>
        </w:numPr>
        <w:spacing w:after="120"/>
      </w:pPr>
      <w:r>
        <w:t xml:space="preserve">Matplotlib/Plotly for embedding visualization</w:t>
      </w:r>
    </w:p>
    <w:p>
      <w:pPr>
        <w:pStyle w:val="ListParagraph"/>
        <w:numPr>
          <w:ilvl w:val="0"/>
          <w:numId w:val="1"/>
        </w:numPr>
        <w:spacing w:after="120"/>
      </w:pPr>
      <w:r>
        <w:t xml:space="preserve">Pandas for ASD gene set operations and merging with embedding data</w:t>
      </w:r>
    </w:p>
    <w:p>
      <w:pPr>
        <w:spacing w:after="120"/>
      </w:pPr>
      <w:r>
        <w:rPr>
          <w:rFonts w:ascii="Arial" w:cs="Arial" w:eastAsia="Arial" w:hAnsi="Arial"/>
          <w:b/>
          <w:bCs/>
          <w:sz w:val="48"/>
          <w:szCs w:val="48"/>
        </w:rPr>
        <w:t xml:space="preserve">Exemplary Sub-Prompts:</w:t>
      </w:r>
    </w:p>
    <w:p>
      <w:pPr>
        <w:pStyle w:val="ListParagraph"/>
        <w:numPr>
          <w:ilvl w:val="0"/>
          <w:numId w:val="1"/>
        </w:numPr>
        <w:spacing w:after="120"/>
      </w:pPr>
      <w:r>
        <w:t xml:space="preserve">Extract Sapphire embedding vectors for all SFARI High-Confidence ASD genes; visualize in 2D/3D embedding space and identify dense clusters</w:t>
      </w:r>
    </w:p>
    <w:p>
      <w:pPr>
        <w:pStyle w:val="ListParagraph"/>
        <w:numPr>
          <w:ilvl w:val="0"/>
          <w:numId w:val="1"/>
        </w:numPr>
        <w:spacing w:after="120"/>
      </w:pPr>
      <w:r>
        <w:t xml:space="preserve">Identify the top 50 genes nearest to each major ASD gene cluster in embedding space; determine whether neighbors are also ASD-associated or if they represent convergent phenotypes</w:t>
      </w:r>
    </w:p>
    <w:p>
      <w:pPr>
        <w:pStyle w:val="ListParagraph"/>
        <w:numPr>
          <w:ilvl w:val="0"/>
          <w:numId w:val="1"/>
        </w:numPr>
        <w:spacing w:after="120"/>
      </w:pPr>
      <w:r>
        <w:t xml:space="preserve">Quantify cluster cohesion metrics (silhouette score, Davies-Bouldin index) for different numbers of ASD gene clusters; recommend optimal clustering solution</w:t>
      </w:r>
    </w:p>
    <w:p>
      <w:pPr>
        <w:pStyle w:val="ListParagraph"/>
        <w:numPr>
          <w:ilvl w:val="0"/>
          <w:numId w:val="1"/>
        </w:numPr>
        <w:spacing w:after="120"/>
      </w:pPr>
      <w:r>
        <w:t xml:space="preserve">Compare embedding distance between ASD genes with different functional annotations (synaptic genes, transcription factors, kinases); assess whether function drives clustering</w:t>
      </w:r>
    </w:p>
    <w:p>
      <w:pPr>
        <w:pStyle w:val="ListParagraph"/>
        <w:numPr>
          <w:ilvl w:val="0"/>
          <w:numId w:val="1"/>
        </w:numPr>
        <w:spacing w:after="120"/>
      </w:pPr>
      <w:r>
        <w:t xml:space="preserve">Extract the most discriminative EP phenotypes separating different ASD clusters (e.g., what spike rate, burst frequency, or network synchrony differences distinguish cluster A from cluster B?)</w:t>
      </w:r>
    </w:p>
    <w:p>
      <w:pPr>
        <w:spacing w:after="120"/>
      </w:pPr>
      <w:r>
        <w:rPr>
          <w:rFonts w:ascii="Arial" w:cs="Arial" w:eastAsia="Arial" w:hAnsi="Arial"/>
          <w:b/>
          <w:bCs/>
          <w:sz w:val="48"/>
          <w:szCs w:val="48"/>
        </w:rPr>
        <w:t xml:space="preserve">Expected Outputs:</w:t>
      </w:r>
    </w:p>
    <w:p>
      <w:pPr>
        <w:pStyle w:val="ListParagraph"/>
        <w:numPr>
          <w:ilvl w:val="0"/>
          <w:numId w:val="1"/>
        </w:numPr>
        <w:spacing w:after="120"/>
      </w:pPr>
      <w:r>
        <w:t xml:space="preserve">ASD gene embedding table (SFARI ID, gene symbol, embedding coordinates in multiple spaces)</w:t>
      </w:r>
    </w:p>
    <w:p>
      <w:pPr>
        <w:pStyle w:val="ListParagraph"/>
        <w:numPr>
          <w:ilvl w:val="0"/>
          <w:numId w:val="1"/>
        </w:numPr>
        <w:spacing w:after="120"/>
      </w:pPr>
      <w:r>
        <w:t xml:space="preserve">2D/3D embedding visualization with ASD genes highlighted and clustered</w:t>
      </w:r>
    </w:p>
    <w:p>
      <w:pPr>
        <w:pStyle w:val="ListParagraph"/>
        <w:numPr>
          <w:ilvl w:val="0"/>
          <w:numId w:val="1"/>
        </w:numPr>
        <w:spacing w:after="120"/>
      </w:pPr>
      <w:r>
        <w:t xml:space="preserve">Cluster assignments for all ASD genes (cluster ID, silhouette score, phenotypic characteristics)</w:t>
      </w:r>
    </w:p>
    <w:p>
      <w:pPr>
        <w:pStyle w:val="ListParagraph"/>
        <w:numPr>
          <w:ilvl w:val="0"/>
          <w:numId w:val="1"/>
        </w:numPr>
        <w:spacing w:after="120"/>
      </w:pPr>
      <w:r>
        <w:t xml:space="preserve">Distance matrix between all ASD genes in embedding space</w:t>
      </w:r>
    </w:p>
    <w:p>
      <w:pPr>
        <w:pStyle w:val="ListParagraph"/>
        <w:numPr>
          <w:ilvl w:val="0"/>
          <w:numId w:val="1"/>
        </w:numPr>
        <w:spacing w:after="120"/>
      </w:pPr>
      <w:r>
        <w:t xml:space="preserve">Top discriminative phenotypes for each ASD cluster</w:t>
      </w:r>
    </w:p>
    <w:p>
      <w:pPr>
        <w:pStyle w:val="ListParagraph"/>
        <w:numPr>
          <w:ilvl w:val="0"/>
          <w:numId w:val="1"/>
        </w:numPr>
        <w:spacing w:after="120"/>
      </w:pPr>
      <w:r>
        <w:t xml:space="preserve">Neighbor analysis: for each ASD gene, top 20 nearest genes in embedding space with SFARI confidence annotations</w:t>
      </w:r>
    </w:p>
    <w:p>
      <w:pPr>
        <w:spacing w:after="180"/>
      </w:pPr>
      <w:r>
        <w:rPr>
          <w:rFonts w:ascii="Arial" w:cs="Arial" w:eastAsia="Arial" w:hAnsi="Arial"/>
          <w:b/>
          <w:bCs/>
          <w:sz w:val="48"/>
          <w:szCs w:val="48"/>
        </w:rPr>
        <w:t xml:space="preserve">Format: </w:t>
      </w:r>
      <w:r>
        <w:rPr>
          <w:rFonts w:ascii="Arial" w:cs="Arial" w:eastAsia="Arial" w:hAnsi="Arial"/>
          <w:b w:val="false"/>
          <w:bCs w:val="false"/>
          <w:sz w:val="48"/>
          <w:szCs w:val="48"/>
        </w:rPr>
        <w:t xml:space="preserve">CSV table with columns: Gene Symbol, SFARI ID, Embedding X, Embedding Y, Embedding Z, Cluster ID, Silhouette Score, Top 3 Phenotypes, Distance to Cluster Center. Accompanying PNG/PDF visualizations with overlaid cluster assignments.</w:t>
      </w:r>
    </w:p>
    <w:p>
      <w:pPr>
        <w:pStyle w:val="Heading1"/>
        <w:spacing w:after="240"/>
      </w:pPr>
      <w:r>
        <w:t xml:space="preserve">Stage 2: Identify Polygenic Convergence Points Within Clusters</w:t>
      </w:r>
    </w:p>
    <w:p>
      <w:pPr>
        <w:spacing w:after="180"/>
      </w:pPr>
      <w:r>
        <w:rPr>
          <w:rFonts w:ascii="Arial" w:cs="Arial" w:eastAsia="Arial" w:hAnsi="Arial"/>
          <w:b/>
          <w:bCs/>
          <w:sz w:val="48"/>
          <w:szCs w:val="48"/>
        </w:rPr>
        <w:t xml:space="preserve">Purpose: </w:t>
      </w:r>
      <w:r>
        <w:rPr>
          <w:rFonts w:ascii="Arial" w:cs="Arial" w:eastAsia="Arial" w:hAnsi="Arial"/>
          <w:b w:val="false"/>
          <w:bCs w:val="false"/>
          <w:sz w:val="48"/>
          <w:szCs w:val="48"/>
        </w:rPr>
        <w:t xml:space="preserve">Detect shared functional convergence points (phenotypic signatures or biological mechanisms) where multiple ASD genes produce similar electrophysiology phenotypes despite genetic heterogeneity, identifying potential single-target intervention points.</w:t>
      </w:r>
    </w:p>
    <w:p>
      <w:pPr>
        <w:spacing w:after="120"/>
      </w:pPr>
      <w:r>
        <w:rPr>
          <w:rFonts w:ascii="Arial" w:cs="Arial" w:eastAsia="Arial" w:hAnsi="Arial"/>
          <w:b/>
          <w:bCs/>
          <w:sz w:val="48"/>
          <w:szCs w:val="48"/>
        </w:rPr>
        <w:t xml:space="preserve">Inputs:</w:t>
      </w:r>
    </w:p>
    <w:p>
      <w:pPr>
        <w:pStyle w:val="ListParagraph"/>
        <w:numPr>
          <w:ilvl w:val="0"/>
          <w:numId w:val="1"/>
        </w:numPr>
        <w:spacing w:after="120"/>
      </w:pPr>
      <w:r>
        <w:t xml:space="preserve">ASD gene embeddings and cluster assignments from Stage 1</w:t>
      </w:r>
    </w:p>
    <w:p>
      <w:pPr>
        <w:pStyle w:val="ListParagraph"/>
        <w:numPr>
          <w:ilvl w:val="0"/>
          <w:numId w:val="1"/>
        </w:numPr>
        <w:spacing w:after="120"/>
      </w:pPr>
      <w:r>
        <w:t xml:space="preserve">EP phenotype profiles for all ASD genes (raw phenotype values, not just embeddings)</w:t>
      </w:r>
    </w:p>
    <w:p>
      <w:pPr>
        <w:pStyle w:val="ListParagraph"/>
        <w:numPr>
          <w:ilvl w:val="0"/>
          <w:numId w:val="1"/>
        </w:numPr>
        <w:spacing w:after="120"/>
      </w:pPr>
      <w:r>
        <w:t xml:space="preserve">Protein-protein interaction networks (String, IntAct)</w:t>
      </w:r>
    </w:p>
    <w:p>
      <w:pPr>
        <w:pStyle w:val="ListParagraph"/>
        <w:numPr>
          <w:ilvl w:val="0"/>
          <w:numId w:val="1"/>
        </w:numPr>
        <w:spacing w:after="120"/>
      </w:pPr>
      <w:r>
        <w:t xml:space="preserve">Pathway databases (KEGG, Reactome, MSigDB)</w:t>
      </w:r>
    </w:p>
    <w:p>
      <w:pPr>
        <w:pStyle w:val="ListParagraph"/>
        <w:numPr>
          <w:ilvl w:val="0"/>
          <w:numId w:val="1"/>
        </w:numPr>
        <w:spacing w:after="120"/>
      </w:pPr>
      <w:r>
        <w:t xml:space="preserve">Published ASD mechanistic studies (literature on shared pathways)</w:t>
      </w:r>
    </w:p>
    <w:p>
      <w:pPr>
        <w:spacing w:after="120"/>
      </w:pPr>
      <w:r>
        <w:rPr>
          <w:rFonts w:ascii="Arial" w:cs="Arial" w:eastAsia="Arial" w:hAnsi="Arial"/>
          <w:b/>
          <w:bCs/>
          <w:sz w:val="48"/>
          <w:szCs w:val="48"/>
        </w:rPr>
        <w:t xml:space="preserve">Tools &amp; Databases Called:</w:t>
      </w:r>
    </w:p>
    <w:p>
      <w:pPr>
        <w:pStyle w:val="ListParagraph"/>
        <w:numPr>
          <w:ilvl w:val="0"/>
          <w:numId w:val="1"/>
        </w:numPr>
        <w:spacing w:after="120"/>
      </w:pPr>
      <w:r>
        <w:t xml:space="preserve">Consensus clustering algorithms (consensusClusterPlus-like approach)</w:t>
      </w:r>
    </w:p>
    <w:p>
      <w:pPr>
        <w:pStyle w:val="ListParagraph"/>
        <w:numPr>
          <w:ilvl w:val="0"/>
          <w:numId w:val="1"/>
        </w:numPr>
        <w:spacing w:after="120"/>
      </w:pPr>
      <w:r>
        <w:t xml:space="preserve">Gene set enrichment analysis (GSEA, clusterProfiler)</w:t>
      </w:r>
    </w:p>
    <w:p>
      <w:pPr>
        <w:pStyle w:val="ListParagraph"/>
        <w:numPr>
          <w:ilvl w:val="0"/>
          <w:numId w:val="1"/>
        </w:numPr>
        <w:spacing w:after="120"/>
      </w:pPr>
      <w:r>
        <w:t xml:space="preserve">Pathway enrichment tools (Reactome, KEGG pathway analysis)</w:t>
      </w:r>
    </w:p>
    <w:p>
      <w:pPr>
        <w:pStyle w:val="ListParagraph"/>
        <w:numPr>
          <w:ilvl w:val="0"/>
          <w:numId w:val="1"/>
        </w:numPr>
        <w:spacing w:after="120"/>
      </w:pPr>
      <w:r>
        <w:t xml:space="preserve">Network analysis (NetworkX, igraph) for identifying hub genes</w:t>
      </w:r>
    </w:p>
    <w:p>
      <w:pPr>
        <w:pStyle w:val="ListParagraph"/>
        <w:numPr>
          <w:ilvl w:val="0"/>
          <w:numId w:val="1"/>
        </w:numPr>
        <w:spacing w:after="120"/>
      </w:pPr>
      <w:r>
        <w:t xml:space="preserve">Custom convergence point detection algorithm (phenotype-based)</w:t>
      </w:r>
    </w:p>
    <w:p>
      <w:pPr>
        <w:pStyle w:val="ListParagraph"/>
        <w:numPr>
          <w:ilvl w:val="0"/>
          <w:numId w:val="1"/>
        </w:numPr>
        <w:spacing w:after="120"/>
      </w:pPr>
      <w:r>
        <w:t xml:space="preserve">Meta-analysis tools for literature mining on shared ASD mechanisms</w:t>
      </w:r>
    </w:p>
    <w:p>
      <w:pPr>
        <w:spacing w:after="120"/>
      </w:pPr>
      <w:r>
        <w:rPr>
          <w:rFonts w:ascii="Arial" w:cs="Arial" w:eastAsia="Arial" w:hAnsi="Arial"/>
          <w:b/>
          <w:bCs/>
          <w:sz w:val="48"/>
          <w:szCs w:val="48"/>
        </w:rPr>
        <w:t xml:space="preserve">Exemplary Sub-Prompts:</w:t>
      </w:r>
    </w:p>
    <w:p>
      <w:pPr>
        <w:pStyle w:val="ListParagraph"/>
        <w:numPr>
          <w:ilvl w:val="0"/>
          <w:numId w:val="1"/>
        </w:numPr>
        <w:spacing w:after="120"/>
      </w:pPr>
      <w:r>
        <w:t xml:space="preserve">For each identified ASD cluster from Stage 1, perform pathway enrichment analysis (GO, KEGG, Reactome); identify 3-5 shared pathways where multiple cluster genes converge</w:t>
      </w:r>
    </w:p>
    <w:p>
      <w:pPr>
        <w:pStyle w:val="ListParagraph"/>
        <w:numPr>
          <w:ilvl w:val="0"/>
          <w:numId w:val="1"/>
        </w:numPr>
        <w:spacing w:after="120"/>
      </w:pPr>
      <w:r>
        <w:t xml:space="preserve">Within each pathway, identify "hub" genes or proteins that interact with multiple cluster members; these could represent convergence points amenable to single-target intervention</w:t>
      </w:r>
    </w:p>
    <w:p>
      <w:pPr>
        <w:pStyle w:val="ListParagraph"/>
        <w:numPr>
          <w:ilvl w:val="0"/>
          <w:numId w:val="1"/>
        </w:numPr>
        <w:spacing w:after="120"/>
      </w:pPr>
      <w:r>
        <w:t xml:space="preserve">Quantify phenotypic convergence: for genes in each cluster, calculate the correlation matrix of EP phenotypes; identify "phenotypic modules" where 5+ genes show highly correlated phenotypic signatures</w:t>
      </w:r>
    </w:p>
    <w:p>
      <w:pPr>
        <w:pStyle w:val="ListParagraph"/>
        <w:numPr>
          <w:ilvl w:val="0"/>
          <w:numId w:val="1"/>
        </w:numPr>
        <w:spacing w:after="120"/>
      </w:pPr>
      <w:r>
        <w:t xml:space="preserve">Extract the single best predictive phenotype or phenotype combination that discriminates cluster genes from background; this phenotypic signature represents the convergence point</w:t>
      </w:r>
    </w:p>
    <w:p>
      <w:pPr>
        <w:pStyle w:val="ListParagraph"/>
        <w:numPr>
          <w:ilvl w:val="0"/>
          <w:numId w:val="1"/>
        </w:numPr>
        <w:spacing w:after="120"/>
      </w:pPr>
      <w:r>
        <w:t xml:space="preserve">Compare convergence points across ASD clusters: do different clusters converge on different phenotypic endpoints, or do they share a common final phenotype (e.g., all affect spike rate)?</w:t>
      </w:r>
    </w:p>
    <w:p>
      <w:pPr>
        <w:spacing w:after="120"/>
      </w:pPr>
      <w:r>
        <w:rPr>
          <w:rFonts w:ascii="Arial" w:cs="Arial" w:eastAsia="Arial" w:hAnsi="Arial"/>
          <w:b/>
          <w:bCs/>
          <w:sz w:val="48"/>
          <w:szCs w:val="48"/>
        </w:rPr>
        <w:t xml:space="preserve">Expected Outputs:</w:t>
      </w:r>
    </w:p>
    <w:p>
      <w:pPr>
        <w:pStyle w:val="ListParagraph"/>
        <w:numPr>
          <w:ilvl w:val="0"/>
          <w:numId w:val="1"/>
        </w:numPr>
        <w:spacing w:after="120"/>
      </w:pPr>
      <w:r>
        <w:t xml:space="preserve">Convergence point identification table (cluster ID, convergent pathway, hub genes, phenotypic signature)</w:t>
      </w:r>
    </w:p>
    <w:p>
      <w:pPr>
        <w:pStyle w:val="ListParagraph"/>
        <w:numPr>
          <w:ilvl w:val="0"/>
          <w:numId w:val="1"/>
        </w:numPr>
        <w:spacing w:after="120"/>
      </w:pPr>
      <w:r>
        <w:t xml:space="preserve">Pathway enrichment results for each ASD cluster (pathway name, p-value, gene count, leading-edge genes)</w:t>
      </w:r>
    </w:p>
    <w:p>
      <w:pPr>
        <w:pStyle w:val="ListParagraph"/>
        <w:numPr>
          <w:ilvl w:val="0"/>
          <w:numId w:val="1"/>
        </w:numPr>
        <w:spacing w:after="120"/>
      </w:pPr>
      <w:r>
        <w:t xml:space="preserve">Phenotypic correlation matrix and phenotypic modules within each cluster</w:t>
      </w:r>
    </w:p>
    <w:p>
      <w:pPr>
        <w:pStyle w:val="ListParagraph"/>
        <w:numPr>
          <w:ilvl w:val="0"/>
          <w:numId w:val="1"/>
        </w:numPr>
        <w:spacing w:after="120"/>
      </w:pPr>
      <w:r>
        <w:t xml:space="preserve">Hub gene ranking within each cluster (network degree, betweenness centrality)</w:t>
      </w:r>
    </w:p>
    <w:p>
      <w:pPr>
        <w:pStyle w:val="ListParagraph"/>
        <w:numPr>
          <w:ilvl w:val="0"/>
          <w:numId w:val="1"/>
        </w:numPr>
        <w:spacing w:after="120"/>
      </w:pPr>
      <w:r>
        <w:t xml:space="preserve">Single-gene intervention recommendations for each convergence point</w:t>
      </w:r>
    </w:p>
    <w:p>
      <w:pPr>
        <w:pStyle w:val="ListParagraph"/>
        <w:numPr>
          <w:ilvl w:val="0"/>
          <w:numId w:val="1"/>
        </w:numPr>
        <w:spacing w:after="120"/>
      </w:pPr>
      <w:r>
        <w:t xml:space="preserve">Mechanistic summary: how does convergence point hub gene affect downstream phenotypes in cluster members?</w:t>
      </w:r>
    </w:p>
    <w:p>
      <w:pPr>
        <w:spacing w:after="180"/>
      </w:pPr>
      <w:r>
        <w:rPr>
          <w:rFonts w:ascii="Arial" w:cs="Arial" w:eastAsia="Arial" w:hAnsi="Arial"/>
          <w:b/>
          <w:bCs/>
          <w:sz w:val="48"/>
          <w:szCs w:val="48"/>
        </w:rPr>
        <w:t xml:space="preserve">Format: </w:t>
      </w:r>
      <w:r>
        <w:rPr>
          <w:rFonts w:ascii="Arial" w:cs="Arial" w:eastAsia="Arial" w:hAnsi="Arial"/>
          <w:b w:val="false"/>
          <w:bCs w:val="false"/>
          <w:sz w:val="48"/>
          <w:szCs w:val="48"/>
        </w:rPr>
        <w:t xml:space="preserve">Report table with columns: Cluster, Primary Pathway, Hub Gene, Phenotypic Convergence Point (phenotype name), Genes in Cluster Affected (n), Pathway p-value, Recommended Intervention Target. Accompanying network diagrams showing pathway connections and phenotypic relationships.</w:t>
      </w:r>
    </w:p>
    <w:p>
      <w:pPr>
        <w:pStyle w:val="Heading1"/>
        <w:spacing w:after="240"/>
      </w:pPr>
      <w:r>
        <w:t xml:space="preserve">Stage 3: Cross-Reference GWAS, ClinVar, and ASD Natural Variation</w:t>
      </w:r>
    </w:p>
    <w:p>
      <w:pPr>
        <w:spacing w:after="180"/>
      </w:pPr>
      <w:r>
        <w:rPr>
          <w:rFonts w:ascii="Arial" w:cs="Arial" w:eastAsia="Arial" w:hAnsi="Arial"/>
          <w:b/>
          <w:bCs/>
          <w:sz w:val="48"/>
          <w:szCs w:val="48"/>
        </w:rPr>
        <w:t xml:space="preserve">Purpose: </w:t>
      </w:r>
      <w:r>
        <w:rPr>
          <w:rFonts w:ascii="Arial" w:cs="Arial" w:eastAsia="Arial" w:hAnsi="Arial"/>
          <w:b w:val="false"/>
          <w:bCs w:val="false"/>
          <w:sz w:val="48"/>
          <w:szCs w:val="48"/>
        </w:rPr>
        <w:t xml:space="preserve">Validate computational convergence points by cross-referencing with human genetic data (GWAS variants, ClinVar pathogenic variants) to ensure identified targets are supported by natural variation evidence and clinical precedent.</w:t>
      </w:r>
    </w:p>
    <w:p>
      <w:pPr>
        <w:spacing w:after="120"/>
      </w:pPr>
      <w:r>
        <w:rPr>
          <w:rFonts w:ascii="Arial" w:cs="Arial" w:eastAsia="Arial" w:hAnsi="Arial"/>
          <w:b/>
          <w:bCs/>
          <w:sz w:val="48"/>
          <w:szCs w:val="48"/>
        </w:rPr>
        <w:t xml:space="preserve">Inputs:</w:t>
      </w:r>
    </w:p>
    <w:p>
      <w:pPr>
        <w:pStyle w:val="ListParagraph"/>
        <w:numPr>
          <w:ilvl w:val="0"/>
          <w:numId w:val="1"/>
        </w:numPr>
        <w:spacing w:after="120"/>
      </w:pPr>
      <w:r>
        <w:t xml:space="preserve">Convergence point hub genes from Stage 2</w:t>
      </w:r>
    </w:p>
    <w:p>
      <w:pPr>
        <w:pStyle w:val="ListParagraph"/>
        <w:numPr>
          <w:ilvl w:val="0"/>
          <w:numId w:val="1"/>
        </w:numPr>
        <w:spacing w:after="120"/>
      </w:pPr>
      <w:r>
        <w:t xml:space="preserve">ASD GWAS summary statistics (PGC ASD GWAS, other large-scale studies)</w:t>
      </w:r>
    </w:p>
    <w:p>
      <w:pPr>
        <w:pStyle w:val="ListParagraph"/>
        <w:numPr>
          <w:ilvl w:val="0"/>
          <w:numId w:val="1"/>
        </w:numPr>
        <w:spacing w:after="120"/>
      </w:pPr>
      <w:r>
        <w:t xml:space="preserve">GWAS Catalog (filtering for neurodevelopmental and neuropsychiatric phenotypes)</w:t>
      </w:r>
    </w:p>
    <w:p>
      <w:pPr>
        <w:pStyle w:val="ListParagraph"/>
        <w:numPr>
          <w:ilvl w:val="0"/>
          <w:numId w:val="1"/>
        </w:numPr>
        <w:spacing w:after="120"/>
      </w:pPr>
      <w:r>
        <w:t xml:space="preserve">ClinVar clinical significance annotations for convergence point genes</w:t>
      </w:r>
    </w:p>
    <w:p>
      <w:pPr>
        <w:pStyle w:val="ListParagraph"/>
        <w:numPr>
          <w:ilvl w:val="0"/>
          <w:numId w:val="1"/>
        </w:numPr>
        <w:spacing w:after="120"/>
      </w:pPr>
      <w:r>
        <w:t xml:space="preserve">gnomAD and other population genetic databases</w:t>
      </w:r>
    </w:p>
    <w:p>
      <w:pPr>
        <w:spacing w:after="120"/>
      </w:pPr>
      <w:r>
        <w:rPr>
          <w:rFonts w:ascii="Arial" w:cs="Arial" w:eastAsia="Arial" w:hAnsi="Arial"/>
          <w:b/>
          <w:bCs/>
          <w:sz w:val="48"/>
          <w:szCs w:val="48"/>
        </w:rPr>
        <w:t xml:space="preserve">Tools &amp; Databases Called:</w:t>
      </w:r>
    </w:p>
    <w:p>
      <w:pPr>
        <w:pStyle w:val="ListParagraph"/>
        <w:numPr>
          <w:ilvl w:val="0"/>
          <w:numId w:val="1"/>
        </w:numPr>
        <w:spacing w:after="120"/>
      </w:pPr>
      <w:r>
        <w:t xml:space="preserve">GWAS Catalog API querying</w:t>
      </w:r>
    </w:p>
    <w:p>
      <w:pPr>
        <w:pStyle w:val="ListParagraph"/>
        <w:numPr>
          <w:ilvl w:val="0"/>
          <w:numId w:val="1"/>
        </w:numPr>
        <w:spacing w:after="120"/>
      </w:pPr>
      <w:r>
        <w:t xml:space="preserve">Custom scripts for LD-block assignment and tag variant identification</w:t>
      </w:r>
    </w:p>
    <w:p>
      <w:pPr>
        <w:pStyle w:val="ListParagraph"/>
        <w:numPr>
          <w:ilvl w:val="0"/>
          <w:numId w:val="1"/>
        </w:numPr>
        <w:spacing w:after="120"/>
      </w:pPr>
      <w:r>
        <w:t xml:space="preserve">ClinVar REST API and variant effect prediction</w:t>
      </w:r>
    </w:p>
    <w:p>
      <w:pPr>
        <w:pStyle w:val="ListParagraph"/>
        <w:numPr>
          <w:ilvl w:val="0"/>
          <w:numId w:val="1"/>
        </w:numPr>
        <w:spacing w:after="120"/>
      </w:pPr>
      <w:r>
        <w:t xml:space="preserve">Bayesian colocation analysis (if GWAS summary statistics available)</w:t>
      </w:r>
    </w:p>
    <w:p>
      <w:pPr>
        <w:pStyle w:val="ListParagraph"/>
        <w:numPr>
          <w:ilvl w:val="0"/>
          <w:numId w:val="1"/>
        </w:numPr>
        <w:spacing w:after="120"/>
      </w:pPr>
      <w:r>
        <w:t xml:space="preserve">Fine-mapping tools (FINEMAP, SuSiE) for identifying credible variant sets</w:t>
      </w:r>
    </w:p>
    <w:p>
      <w:pPr>
        <w:pStyle w:val="ListParagraph"/>
        <w:numPr>
          <w:ilvl w:val="0"/>
          <w:numId w:val="1"/>
        </w:numPr>
        <w:spacing w:after="120"/>
      </w:pPr>
      <w:r>
        <w:t xml:space="preserve">Network analysis for variant-to-gene assignment near convergence points</w:t>
      </w:r>
    </w:p>
    <w:p>
      <w:pPr>
        <w:spacing w:after="120"/>
      </w:pPr>
      <w:r>
        <w:rPr>
          <w:rFonts w:ascii="Arial" w:cs="Arial" w:eastAsia="Arial" w:hAnsi="Arial"/>
          <w:b/>
          <w:bCs/>
          <w:sz w:val="48"/>
          <w:szCs w:val="48"/>
        </w:rPr>
        <w:t xml:space="preserve">Exemplary Sub-Prompts:</w:t>
      </w:r>
    </w:p>
    <w:p>
      <w:pPr>
        <w:pStyle w:val="ListParagraph"/>
        <w:numPr>
          <w:ilvl w:val="0"/>
          <w:numId w:val="1"/>
        </w:numPr>
        <w:spacing w:after="120"/>
      </w:pPr>
      <w:r>
        <w:t xml:space="preserve">Query GWAS Catalog and PGC ASD GWAS for variants near convergence point hub genes; calculate posterior probability of causal variant assignment</w:t>
      </w:r>
    </w:p>
    <w:p>
      <w:pPr>
        <w:pStyle w:val="ListParagraph"/>
        <w:numPr>
          <w:ilvl w:val="0"/>
          <w:numId w:val="1"/>
        </w:numPr>
        <w:spacing w:after="120"/>
      </w:pPr>
      <w:r>
        <w:t xml:space="preserve">For each convergence point hub gene, extract all ClinVar pathogenic variants; assess whether phenotypes of variant carriers align with Sapphire LoF phenotypes</w:t>
      </w:r>
    </w:p>
    <w:p>
      <w:pPr>
        <w:pStyle w:val="ListParagraph"/>
        <w:numPr>
          <w:ilvl w:val="0"/>
          <w:numId w:val="1"/>
        </w:numPr>
        <w:spacing w:after="120"/>
      </w:pPr>
      <w:r>
        <w:t xml:space="preserve">Perform Bayesian colocation analysis: if GWAS hits are near convergence point genes, is the colocation posterior probability &gt;0.8, suggesting the convergence point is causal?</w:t>
      </w:r>
    </w:p>
    <w:p>
      <w:pPr>
        <w:pStyle w:val="ListParagraph"/>
        <w:numPr>
          <w:ilvl w:val="0"/>
          <w:numId w:val="1"/>
        </w:numPr>
        <w:spacing w:after="120"/>
      </w:pPr>
      <w:r>
        <w:t xml:space="preserve">Identify rare pathogenic variants in convergence point genes from clinical exome sequencing studies; extract patient phenotypes and correlate with Sapphire perturbation outcomes</w:t>
      </w:r>
    </w:p>
    <w:p>
      <w:pPr>
        <w:pStyle w:val="ListParagraph"/>
        <w:numPr>
          <w:ilvl w:val="0"/>
          <w:numId w:val="1"/>
        </w:numPr>
        <w:spacing w:after="120"/>
      </w:pPr>
      <w:r>
        <w:t xml:space="preserve">Generate a "genetic evidence score" for each convergence point integrating: GWAS association strength, number of ClinVar pathogenic variants, and frequency in ASD patient populations</w:t>
      </w:r>
    </w:p>
    <w:p>
      <w:pPr>
        <w:spacing w:after="120"/>
      </w:pPr>
      <w:r>
        <w:rPr>
          <w:rFonts w:ascii="Arial" w:cs="Arial" w:eastAsia="Arial" w:hAnsi="Arial"/>
          <w:b/>
          <w:bCs/>
          <w:sz w:val="48"/>
          <w:szCs w:val="48"/>
        </w:rPr>
        <w:t xml:space="preserve">Expected Outputs:</w:t>
      </w:r>
    </w:p>
    <w:p>
      <w:pPr>
        <w:pStyle w:val="ListParagraph"/>
        <w:numPr>
          <w:ilvl w:val="0"/>
          <w:numId w:val="1"/>
        </w:numPr>
        <w:spacing w:after="120"/>
      </w:pPr>
      <w:r>
        <w:t xml:space="preserve">GWAS validation table (hub gene, nearby GWAS variant, p-value, LD-block assignment, colocation posterior)</w:t>
      </w:r>
    </w:p>
    <w:p>
      <w:pPr>
        <w:pStyle w:val="ListParagraph"/>
        <w:numPr>
          <w:ilvl w:val="0"/>
          <w:numId w:val="1"/>
        </w:numPr>
        <w:spacing w:after="120"/>
      </w:pPr>
      <w:r>
        <w:t xml:space="preserve">ClinVar pathogenic variants for convergence point genes</w:t>
      </w:r>
    </w:p>
    <w:p>
      <w:pPr>
        <w:pStyle w:val="ListParagraph"/>
        <w:numPr>
          <w:ilvl w:val="0"/>
          <w:numId w:val="1"/>
        </w:numPr>
        <w:spacing w:after="120"/>
      </w:pPr>
      <w:r>
        <w:t xml:space="preserve">Patient variant correlation data: phenotypes of patients with pathogenic variants vs. Sapphire LoF phenotypes</w:t>
      </w:r>
    </w:p>
    <w:p>
      <w:pPr>
        <w:pStyle w:val="ListParagraph"/>
        <w:numPr>
          <w:ilvl w:val="0"/>
          <w:numId w:val="1"/>
        </w:numPr>
        <w:spacing w:after="120"/>
      </w:pPr>
      <w:r>
        <w:t xml:space="preserve">Genetic evidence scores (0-100 scale) for each convergence point hub gene</w:t>
      </w:r>
    </w:p>
    <w:p>
      <w:pPr>
        <w:pStyle w:val="ListParagraph"/>
        <w:numPr>
          <w:ilvl w:val="0"/>
          <w:numId w:val="1"/>
        </w:numPr>
        <w:spacing w:after="120"/>
      </w:pPr>
      <w:r>
        <w:t xml:space="preserve">Natural variation alignment summary: percentage of convergence points supported by human genetic evidence</w:t>
      </w:r>
    </w:p>
    <w:p>
      <w:pPr>
        <w:pStyle w:val="ListParagraph"/>
        <w:numPr>
          <w:ilvl w:val="0"/>
          <w:numId w:val="1"/>
        </w:numPr>
        <w:spacing w:after="120"/>
      </w:pPr>
      <w:r>
        <w:t xml:space="preserve">Credible variant sets for each convergence point (fine-mapping results)</w:t>
      </w:r>
    </w:p>
    <w:p>
      <w:pPr>
        <w:spacing w:after="180"/>
      </w:pPr>
      <w:r>
        <w:rPr>
          <w:rFonts w:ascii="Arial" w:cs="Arial" w:eastAsia="Arial" w:hAnsi="Arial"/>
          <w:b/>
          <w:bCs/>
          <w:sz w:val="48"/>
          <w:szCs w:val="48"/>
        </w:rPr>
        <w:t xml:space="preserve">Format: </w:t>
      </w:r>
      <w:r>
        <w:rPr>
          <w:rFonts w:ascii="Arial" w:cs="Arial" w:eastAsia="Arial" w:hAnsi="Arial"/>
          <w:b w:val="false"/>
          <w:bCs w:val="false"/>
          <w:sz w:val="48"/>
          <w:szCs w:val="48"/>
        </w:rPr>
        <w:t xml:space="preserve">Validation table with columns: Hub Gene, GWAS Hit (variant ID), GWAS P-value, Colocation Posterior, ClinVar Pathogenic Variants (count), Patient Phenotypes, Genetic Evidence Score, Alignment with Sapphire (yes/no). Accompanying forest plots showing GWAS signal around convergence points.</w:t>
      </w:r>
    </w:p>
    <w:p>
      <w:pPr>
        <w:pStyle w:val="Heading1"/>
        <w:spacing w:after="240"/>
      </w:pPr>
      <w:r>
        <w:t xml:space="preserve">Stage 4: Network and Pathway Analysis of Convergence Points</w:t>
      </w:r>
    </w:p>
    <w:p>
      <w:pPr>
        <w:spacing w:after="180"/>
      </w:pPr>
      <w:r>
        <w:rPr>
          <w:rFonts w:ascii="Arial" w:cs="Arial" w:eastAsia="Arial" w:hAnsi="Arial"/>
          <w:b/>
          <w:bCs/>
          <w:sz w:val="48"/>
          <w:szCs w:val="48"/>
        </w:rPr>
        <w:t xml:space="preserve">Purpose: </w:t>
      </w:r>
      <w:r>
        <w:rPr>
          <w:rFonts w:ascii="Arial" w:cs="Arial" w:eastAsia="Arial" w:hAnsi="Arial"/>
          <w:b w:val="false"/>
          <w:bCs w:val="false"/>
          <w:sz w:val="48"/>
          <w:szCs w:val="48"/>
        </w:rPr>
        <w:t xml:space="preserve">Build biological networks integrating convergence point hub genes, their functional interactions, downstream targets, and pathway contexts to understand therapeutic leverage points and potential off-target effects.</w:t>
      </w:r>
    </w:p>
    <w:p>
      <w:pPr>
        <w:spacing w:after="120"/>
      </w:pPr>
      <w:r>
        <w:rPr>
          <w:rFonts w:ascii="Arial" w:cs="Arial" w:eastAsia="Arial" w:hAnsi="Arial"/>
          <w:b/>
          <w:bCs/>
          <w:sz w:val="48"/>
          <w:szCs w:val="48"/>
        </w:rPr>
        <w:t xml:space="preserve">Inputs:</w:t>
      </w:r>
    </w:p>
    <w:p>
      <w:pPr>
        <w:pStyle w:val="ListParagraph"/>
        <w:numPr>
          <w:ilvl w:val="0"/>
          <w:numId w:val="1"/>
        </w:numPr>
        <w:spacing w:after="120"/>
      </w:pPr>
      <w:r>
        <w:t xml:space="preserve">Convergence point hub genes from Stage 2-4</w:t>
      </w:r>
    </w:p>
    <w:p>
      <w:pPr>
        <w:pStyle w:val="ListParagraph"/>
        <w:numPr>
          <w:ilvl w:val="0"/>
          <w:numId w:val="1"/>
        </w:numPr>
        <w:spacing w:after="120"/>
      </w:pPr>
      <w:r>
        <w:t xml:space="preserve">Protein-protein interaction networks (String, IntAct, MINT)</w:t>
      </w:r>
    </w:p>
    <w:p>
      <w:pPr>
        <w:pStyle w:val="ListParagraph"/>
        <w:numPr>
          <w:ilvl w:val="0"/>
          <w:numId w:val="1"/>
        </w:numPr>
        <w:spacing w:after="120"/>
      </w:pPr>
      <w:r>
        <w:t xml:space="preserve">Pathway databases (KEGG, Reactome, WikiPathways)</w:t>
      </w:r>
    </w:p>
    <w:p>
      <w:pPr>
        <w:pStyle w:val="ListParagraph"/>
        <w:numPr>
          <w:ilvl w:val="0"/>
          <w:numId w:val="1"/>
        </w:numPr>
        <w:spacing w:after="120"/>
      </w:pPr>
      <w:r>
        <w:t xml:space="preserve">Transcriptional networks and regulatory relationships</w:t>
      </w:r>
    </w:p>
    <w:p>
      <w:pPr>
        <w:pStyle w:val="ListParagraph"/>
        <w:numPr>
          <w:ilvl w:val="0"/>
          <w:numId w:val="1"/>
        </w:numPr>
        <w:spacing w:after="120"/>
      </w:pPr>
      <w:r>
        <w:t xml:space="preserve">Phosphoproteomics and signaling pathway data</w:t>
      </w:r>
    </w:p>
    <w:p>
      <w:pPr>
        <w:pStyle w:val="ListParagraph"/>
        <w:numPr>
          <w:ilvl w:val="0"/>
          <w:numId w:val="1"/>
        </w:numPr>
        <w:spacing w:after="120"/>
      </w:pPr>
      <w:r>
        <w:t xml:space="preserve">Literature mining results for mechanism knowledge</w:t>
      </w:r>
    </w:p>
    <w:p>
      <w:pPr>
        <w:spacing w:after="120"/>
      </w:pPr>
      <w:r>
        <w:rPr>
          <w:rFonts w:ascii="Arial" w:cs="Arial" w:eastAsia="Arial" w:hAnsi="Arial"/>
          <w:b/>
          <w:bCs/>
          <w:sz w:val="48"/>
          <w:szCs w:val="48"/>
        </w:rPr>
        <w:t xml:space="preserve">Tools &amp; Databases Called:</w:t>
      </w:r>
    </w:p>
    <w:p>
      <w:pPr>
        <w:pStyle w:val="ListParagraph"/>
        <w:numPr>
          <w:ilvl w:val="0"/>
          <w:numId w:val="1"/>
        </w:numPr>
        <w:spacing w:after="120"/>
      </w:pPr>
      <w:r>
        <w:t xml:space="preserve">NetworkX for graph analysis and centrality calculations</w:t>
      </w:r>
    </w:p>
    <w:p>
      <w:pPr>
        <w:pStyle w:val="ListParagraph"/>
        <w:numPr>
          <w:ilvl w:val="0"/>
          <w:numId w:val="1"/>
        </w:numPr>
        <w:spacing w:after="120"/>
      </w:pPr>
      <w:r>
        <w:t xml:space="preserve">Cytoscape for network visualization and layout</w:t>
      </w:r>
    </w:p>
    <w:p>
      <w:pPr>
        <w:pStyle w:val="ListParagraph"/>
        <w:numPr>
          <w:ilvl w:val="0"/>
          <w:numId w:val="1"/>
        </w:numPr>
        <w:spacing w:after="120"/>
      </w:pPr>
      <w:r>
        <w:t xml:space="preserve">STRING API for PPI retrieval</w:t>
      </w:r>
    </w:p>
    <w:p>
      <w:pPr>
        <w:pStyle w:val="ListParagraph"/>
        <w:numPr>
          <w:ilvl w:val="0"/>
          <w:numId w:val="1"/>
        </w:numPr>
        <w:spacing w:after="120"/>
      </w:pPr>
      <w:r>
        <w:t xml:space="preserve">Reactome pathway analysis</w:t>
      </w:r>
    </w:p>
    <w:p>
      <w:pPr>
        <w:pStyle w:val="ListParagraph"/>
        <w:numPr>
          <w:ilvl w:val="0"/>
          <w:numId w:val="1"/>
        </w:numPr>
        <w:spacing w:after="120"/>
      </w:pPr>
      <w:r>
        <w:t xml:space="preserve">KEGG pathway mapping</w:t>
      </w:r>
    </w:p>
    <w:p>
      <w:pPr>
        <w:pStyle w:val="ListParagraph"/>
        <w:numPr>
          <w:ilvl w:val="0"/>
          <w:numId w:val="1"/>
        </w:numPr>
        <w:spacing w:after="120"/>
      </w:pPr>
      <w:r>
        <w:t xml:space="preserve">iGraph or igraph R packages for advanced network metrics</w:t>
      </w:r>
    </w:p>
    <w:p>
      <w:pPr>
        <w:spacing w:after="120"/>
      </w:pPr>
      <w:r>
        <w:rPr>
          <w:rFonts w:ascii="Arial" w:cs="Arial" w:eastAsia="Arial" w:hAnsi="Arial"/>
          <w:b/>
          <w:bCs/>
          <w:sz w:val="48"/>
          <w:szCs w:val="48"/>
        </w:rPr>
        <w:t xml:space="preserve">Exemplary Sub-Prompts:</w:t>
      </w:r>
    </w:p>
    <w:p>
      <w:pPr>
        <w:pStyle w:val="ListParagraph"/>
        <w:numPr>
          <w:ilvl w:val="0"/>
          <w:numId w:val="1"/>
        </w:numPr>
        <w:spacing w:after="120"/>
      </w:pPr>
      <w:r>
        <w:t xml:space="preserve">Build a network connecting convergence point hub genes through 1-2 degrees of protein-protein interactions; identify secondary hub genes and pathway modules</w:t>
      </w:r>
    </w:p>
    <w:p>
      <w:pPr>
        <w:pStyle w:val="ListParagraph"/>
        <w:numPr>
          <w:ilvl w:val="0"/>
          <w:numId w:val="1"/>
        </w:numPr>
        <w:spacing w:after="120"/>
      </w:pPr>
      <w:r>
        <w:t xml:space="preserve">For each hub gene, extract downstream transcriptional targets (from ENCODE ChIP-seq or similar); identify genes that are common targets across multiple hub genes</w:t>
      </w:r>
    </w:p>
    <w:p>
      <w:pPr>
        <w:pStyle w:val="ListParagraph"/>
        <w:numPr>
          <w:ilvl w:val="0"/>
          <w:numId w:val="1"/>
        </w:numPr>
        <w:spacing w:after="120"/>
      </w:pPr>
      <w:r>
        <w:t xml:space="preserve">Quantify network resilience: are convergence point hub genes central "bottlenecks" in the network (high betweenness centrality), or are they redundant (multiple paths around them)?</w:t>
      </w:r>
    </w:p>
    <w:p>
      <w:pPr>
        <w:pStyle w:val="ListParagraph"/>
        <w:numPr>
          <w:ilvl w:val="0"/>
          <w:numId w:val="1"/>
        </w:numPr>
        <w:spacing w:after="120"/>
      </w:pPr>
      <w:r>
        <w:t xml:space="preserve">Identify potential off-target effects: which other pathways or cellular processes would be affected by targeting convergence point hub genes (pathway pleiotropy)?</w:t>
      </w:r>
    </w:p>
    <w:p>
      <w:pPr>
        <w:pStyle w:val="ListParagraph"/>
        <w:numPr>
          <w:ilvl w:val="0"/>
          <w:numId w:val="1"/>
        </w:numPr>
        <w:spacing w:after="120"/>
      </w:pPr>
      <w:r>
        <w:t xml:space="preserve">Compare network structure between ASD convergence points and non-ASD genes; quantify whether ASD hub genes have distinct network properties (e.g., higher degree, centrality, or pleiotropy)</w:t>
      </w:r>
    </w:p>
    <w:p>
      <w:pPr>
        <w:spacing w:after="120"/>
      </w:pPr>
      <w:r>
        <w:rPr>
          <w:rFonts w:ascii="Arial" w:cs="Arial" w:eastAsia="Arial" w:hAnsi="Arial"/>
          <w:b/>
          <w:bCs/>
          <w:sz w:val="48"/>
          <w:szCs w:val="48"/>
        </w:rPr>
        <w:t xml:space="preserve">Expected Outputs:</w:t>
      </w:r>
    </w:p>
    <w:p>
      <w:pPr>
        <w:pStyle w:val="ListParagraph"/>
        <w:numPr>
          <w:ilvl w:val="0"/>
          <w:numId w:val="1"/>
        </w:numPr>
        <w:spacing w:after="120"/>
      </w:pPr>
      <w:r>
        <w:t xml:space="preserve">Network graph (nodes = genes/proteins, edges = interactions) with convergence points highlighted</w:t>
      </w:r>
    </w:p>
    <w:p>
      <w:pPr>
        <w:pStyle w:val="ListParagraph"/>
        <w:numPr>
          <w:ilvl w:val="0"/>
          <w:numId w:val="1"/>
        </w:numPr>
        <w:spacing w:after="120"/>
      </w:pPr>
      <w:r>
        <w:t xml:space="preserve">Hub gene network metrics (degree, betweenness centrality, clustering coefficient, clique membership)</w:t>
      </w:r>
    </w:p>
    <w:p>
      <w:pPr>
        <w:pStyle w:val="ListParagraph"/>
        <w:numPr>
          <w:ilvl w:val="0"/>
          <w:numId w:val="1"/>
        </w:numPr>
        <w:spacing w:after="120"/>
      </w:pPr>
      <w:r>
        <w:t xml:space="preserve">Secondary hub genes and pathway modules connected to convergence points</w:t>
      </w:r>
    </w:p>
    <w:p>
      <w:pPr>
        <w:pStyle w:val="ListParagraph"/>
        <w:numPr>
          <w:ilvl w:val="0"/>
          <w:numId w:val="1"/>
        </w:numPr>
        <w:spacing w:after="120"/>
      </w:pPr>
      <w:r>
        <w:t xml:space="preserve">Transcriptional target sets for each convergence point hub gene</w:t>
      </w:r>
    </w:p>
    <w:p>
      <w:pPr>
        <w:pStyle w:val="ListParagraph"/>
        <w:numPr>
          <w:ilvl w:val="0"/>
          <w:numId w:val="1"/>
        </w:numPr>
        <w:spacing w:after="120"/>
      </w:pPr>
      <w:r>
        <w:t xml:space="preserve">Network resilience and redundancy analysis (disruption of hub effects on network connectivity)</w:t>
      </w:r>
    </w:p>
    <w:p>
      <w:pPr>
        <w:pStyle w:val="ListParagraph"/>
        <w:numPr>
          <w:ilvl w:val="0"/>
          <w:numId w:val="1"/>
        </w:numPr>
        <w:spacing w:after="120"/>
      </w:pPr>
      <w:r>
        <w:t xml:space="preserve">Pleiotropy assessment: predicted off-target pathway effects of hub gene targeting</w:t>
      </w:r>
    </w:p>
    <w:p>
      <w:pPr>
        <w:spacing w:after="180"/>
      </w:pPr>
      <w:r>
        <w:rPr>
          <w:rFonts w:ascii="Arial" w:cs="Arial" w:eastAsia="Arial" w:hAnsi="Arial"/>
          <w:b/>
          <w:bCs/>
          <w:sz w:val="48"/>
          <w:szCs w:val="48"/>
        </w:rPr>
        <w:t xml:space="preserve">Format: </w:t>
      </w:r>
      <w:r>
        <w:rPr>
          <w:rFonts w:ascii="Arial" w:cs="Arial" w:eastAsia="Arial" w:hAnsi="Arial"/>
          <w:b w:val="false"/>
          <w:bCs w:val="false"/>
          <w:sz w:val="48"/>
          <w:szCs w:val="48"/>
        </w:rPr>
        <w:t xml:space="preserve">Network graph image (PNG/PDF) with node labels and edge weights. Accompanying table with columns: Hub Gene, Degree (# interactions), Betweenness Centrality, Clustering Coefficient, Secondary Hubs (top 5), Key Pathways, Predicted Off-targets, Network Resilience Score. Cytoscape session file for interactive exploration.</w:t>
      </w:r>
    </w:p>
    <w:p>
      <w:pPr>
        <w:pStyle w:val="Heading1"/>
        <w:spacing w:after="240"/>
      </w:pPr>
      <w:r>
        <w:t xml:space="preserve">Stage 5: Design Therapeutic Intervention Strategies Targeting Convergence Points</w:t>
      </w:r>
    </w:p>
    <w:p>
      <w:pPr>
        <w:spacing w:after="180"/>
      </w:pPr>
      <w:r>
        <w:rPr>
          <w:rFonts w:ascii="Arial" w:cs="Arial" w:eastAsia="Arial" w:hAnsi="Arial"/>
          <w:b/>
          <w:bCs/>
          <w:sz w:val="48"/>
          <w:szCs w:val="48"/>
        </w:rPr>
        <w:t xml:space="preserve">Purpose: </w:t>
      </w:r>
      <w:r>
        <w:rPr>
          <w:rFonts w:ascii="Arial" w:cs="Arial" w:eastAsia="Arial" w:hAnsi="Arial"/>
          <w:b w:val="false"/>
          <w:bCs w:val="false"/>
          <w:sz w:val="48"/>
          <w:szCs w:val="48"/>
        </w:rPr>
        <w:t xml:space="preserve">Develop specific therapeutic strategies for targeting identified convergence points, considering druggability, selectivity, mechanism of action, and potential to address multiple ASD-associated genes simultaneously.</w:t>
      </w:r>
    </w:p>
    <w:p>
      <w:pPr>
        <w:spacing w:after="120"/>
      </w:pPr>
      <w:r>
        <w:rPr>
          <w:rFonts w:ascii="Arial" w:cs="Arial" w:eastAsia="Arial" w:hAnsi="Arial"/>
          <w:b/>
          <w:bCs/>
          <w:sz w:val="48"/>
          <w:szCs w:val="48"/>
        </w:rPr>
        <w:t xml:space="preserve">Inputs:</w:t>
      </w:r>
    </w:p>
    <w:p>
      <w:pPr>
        <w:pStyle w:val="ListParagraph"/>
        <w:numPr>
          <w:ilvl w:val="0"/>
          <w:numId w:val="1"/>
        </w:numPr>
        <w:spacing w:after="120"/>
      </w:pPr>
      <w:r>
        <w:t xml:space="preserve">Convergence point hub genes from Stage 2-4</w:t>
      </w:r>
    </w:p>
    <w:p>
      <w:pPr>
        <w:pStyle w:val="ListParagraph"/>
        <w:numPr>
          <w:ilvl w:val="0"/>
          <w:numId w:val="1"/>
        </w:numPr>
        <w:spacing w:after="120"/>
      </w:pPr>
      <w:r>
        <w:t xml:space="preserve">Protein structure data (AlphaFold predictions)</w:t>
      </w:r>
    </w:p>
    <w:p>
      <w:pPr>
        <w:pStyle w:val="ListParagraph"/>
        <w:numPr>
          <w:ilvl w:val="0"/>
          <w:numId w:val="1"/>
        </w:numPr>
        <w:spacing w:after="120"/>
      </w:pPr>
      <w:r>
        <w:t xml:space="preserve">Small molecule screening data (if available)</w:t>
      </w:r>
    </w:p>
    <w:p>
      <w:pPr>
        <w:pStyle w:val="ListParagraph"/>
        <w:numPr>
          <w:ilvl w:val="0"/>
          <w:numId w:val="1"/>
        </w:numPr>
        <w:spacing w:after="120"/>
      </w:pPr>
      <w:r>
        <w:t xml:space="preserve">Existing therapeutic precedent for converging pathways</w:t>
      </w:r>
    </w:p>
    <w:p>
      <w:pPr>
        <w:pStyle w:val="ListParagraph"/>
        <w:numPr>
          <w:ilvl w:val="0"/>
          <w:numId w:val="1"/>
        </w:numPr>
        <w:spacing w:after="120"/>
      </w:pPr>
      <w:r>
        <w:t xml:space="preserve">Bioavailability and brain penetration requirements</w:t>
      </w:r>
    </w:p>
    <w:p>
      <w:pPr>
        <w:spacing w:after="120"/>
      </w:pPr>
      <w:r>
        <w:rPr>
          <w:rFonts w:ascii="Arial" w:cs="Arial" w:eastAsia="Arial" w:hAnsi="Arial"/>
          <w:b/>
          <w:bCs/>
          <w:sz w:val="48"/>
          <w:szCs w:val="48"/>
        </w:rPr>
        <w:t xml:space="preserve">Tools &amp; Databases Called:</w:t>
      </w:r>
    </w:p>
    <w:p>
      <w:pPr>
        <w:pStyle w:val="ListParagraph"/>
        <w:numPr>
          <w:ilvl w:val="0"/>
          <w:numId w:val="1"/>
        </w:numPr>
        <w:spacing w:after="120"/>
      </w:pPr>
      <w:r>
        <w:t xml:space="preserve">AlphaFold protein structure database</w:t>
      </w:r>
    </w:p>
    <w:p>
      <w:pPr>
        <w:pStyle w:val="ListParagraph"/>
        <w:numPr>
          <w:ilvl w:val="0"/>
          <w:numId w:val="1"/>
        </w:numPr>
        <w:spacing w:after="120"/>
      </w:pPr>
      <w:r>
        <w:t xml:space="preserve">Molecular docking software (AutoDock Vina, or similar)</w:t>
      </w:r>
    </w:p>
    <w:p>
      <w:pPr>
        <w:pStyle w:val="ListParagraph"/>
        <w:numPr>
          <w:ilvl w:val="0"/>
          <w:numId w:val="1"/>
        </w:numPr>
        <w:spacing w:after="120"/>
      </w:pPr>
      <w:r>
        <w:t xml:space="preserve">Druggability assessment tools (FEScore, SiteMap)</w:t>
      </w:r>
    </w:p>
    <w:p>
      <w:pPr>
        <w:pStyle w:val="ListParagraph"/>
        <w:numPr>
          <w:ilvl w:val="0"/>
          <w:numId w:val="1"/>
        </w:numPr>
        <w:spacing w:after="120"/>
      </w:pPr>
      <w:r>
        <w:t xml:space="preserve">Chemical compound databases (PubChem, ChEMBL)</w:t>
      </w:r>
    </w:p>
    <w:p>
      <w:pPr>
        <w:pStyle w:val="ListParagraph"/>
        <w:numPr>
          <w:ilvl w:val="0"/>
          <w:numId w:val="1"/>
        </w:numPr>
        <w:spacing w:after="120"/>
      </w:pPr>
      <w:r>
        <w:t xml:space="preserve">Pharmacophore modeling tools</w:t>
      </w:r>
    </w:p>
    <w:p>
      <w:pPr>
        <w:pStyle w:val="ListParagraph"/>
        <w:numPr>
          <w:ilvl w:val="0"/>
          <w:numId w:val="1"/>
        </w:numPr>
        <w:spacing w:after="120"/>
      </w:pPr>
      <w:r>
        <w:t xml:space="preserve">ADMET prediction tools for CNS penetration</w:t>
      </w:r>
    </w:p>
    <w:p>
      <w:pPr>
        <w:spacing w:after="120"/>
      </w:pPr>
      <w:r>
        <w:rPr>
          <w:rFonts w:ascii="Arial" w:cs="Arial" w:eastAsia="Arial" w:hAnsi="Arial"/>
          <w:b/>
          <w:bCs/>
          <w:sz w:val="48"/>
          <w:szCs w:val="48"/>
        </w:rPr>
        <w:t xml:space="preserve">Exemplary Sub-Prompts:</w:t>
      </w:r>
    </w:p>
    <w:p>
      <w:pPr>
        <w:pStyle w:val="ListParagraph"/>
        <w:numPr>
          <w:ilvl w:val="0"/>
          <w:numId w:val="1"/>
        </w:numPr>
        <w:spacing w:after="120"/>
      </w:pPr>
      <w:r>
        <w:t xml:space="preserve">For top 3 convergence point hub genes, perform structure-based drug design: identify small molecule-binding pockets using AlphaFold structures and docking screens</w:t>
      </w:r>
    </w:p>
    <w:p>
      <w:pPr>
        <w:pStyle w:val="ListParagraph"/>
        <w:numPr>
          <w:ilvl w:val="0"/>
          <w:numId w:val="1"/>
        </w:numPr>
        <w:spacing w:after="120"/>
      </w:pPr>
      <w:r>
        <w:t xml:space="preserve">Design therapeutic interventions targeting convergence points: (A) small molecule kinase/protein inhibitors, (B) antisense oligonucleotides, (C) gene therapy, (D) protein degradation (PROTAC), (E) allosteric modulators—assess feasibility of each</w:t>
      </w:r>
    </w:p>
    <w:p>
      <w:pPr>
        <w:pStyle w:val="ListParagraph"/>
        <w:numPr>
          <w:ilvl w:val="0"/>
          <w:numId w:val="1"/>
        </w:numPr>
        <w:spacing w:after="120"/>
      </w:pPr>
      <w:r>
        <w:t xml:space="preserve">Quantify therapeutic benefit: targeting each hub gene, estimate how many ASD-associated genes (cluster members) would be therapeutically rescued (phenotypically normalized)</w:t>
      </w:r>
    </w:p>
    <w:p>
      <w:pPr>
        <w:pStyle w:val="ListParagraph"/>
        <w:numPr>
          <w:ilvl w:val="0"/>
          <w:numId w:val="1"/>
        </w:numPr>
        <w:spacing w:after="120"/>
      </w:pPr>
      <w:r>
        <w:t xml:space="preserve">Evaluate selectivity: would hub gene targeting affect non-ASD genes with similar phenotypes? Quantify off-target burden relative to on-target benefit</w:t>
      </w:r>
    </w:p>
    <w:p>
      <w:pPr>
        <w:pStyle w:val="ListParagraph"/>
        <w:numPr>
          <w:ilvl w:val="0"/>
          <w:numId w:val="1"/>
        </w:numPr>
        <w:spacing w:after="120"/>
      </w:pPr>
      <w:r>
        <w:t xml:space="preserve">Design combination strategies: if single convergence point targeting is insufficient, which pairs of hub genes should be targeted together to maximize therapeutic benefit across ASD clusters?</w:t>
      </w:r>
    </w:p>
    <w:p>
      <w:pPr>
        <w:spacing w:after="120"/>
      </w:pPr>
      <w:r>
        <w:rPr>
          <w:rFonts w:ascii="Arial" w:cs="Arial" w:eastAsia="Arial" w:hAnsi="Arial"/>
          <w:b/>
          <w:bCs/>
          <w:sz w:val="48"/>
          <w:szCs w:val="48"/>
        </w:rPr>
        <w:t xml:space="preserve">Expected Outputs:</w:t>
      </w:r>
    </w:p>
    <w:p>
      <w:pPr>
        <w:pStyle w:val="ListParagraph"/>
        <w:numPr>
          <w:ilvl w:val="0"/>
          <w:numId w:val="1"/>
        </w:numPr>
        <w:spacing w:after="120"/>
      </w:pPr>
      <w:r>
        <w:t xml:space="preserve">Hub gene druggability assessment (small molecule pockets, kinase domain features, targetability scores)</w:t>
      </w:r>
    </w:p>
    <w:p>
      <w:pPr>
        <w:pStyle w:val="ListParagraph"/>
        <w:numPr>
          <w:ilvl w:val="0"/>
          <w:numId w:val="1"/>
        </w:numPr>
        <w:spacing w:after="120"/>
      </w:pPr>
      <w:r>
        <w:t xml:space="preserve">Therapeutic intervention recommendations (primary modality, alternative modalities, preference ranking)</w:t>
      </w:r>
    </w:p>
    <w:p>
      <w:pPr>
        <w:pStyle w:val="ListParagraph"/>
        <w:numPr>
          <w:ilvl w:val="0"/>
          <w:numId w:val="1"/>
        </w:numPr>
        <w:spacing w:after="120"/>
      </w:pPr>
      <w:r>
        <w:t xml:space="preserve">Predicted therapeutic benefit: number of ASD genes per intervention, phenotypic rescue profiles</w:t>
      </w:r>
    </w:p>
    <w:p>
      <w:pPr>
        <w:pStyle w:val="ListParagraph"/>
        <w:numPr>
          <w:ilvl w:val="0"/>
          <w:numId w:val="1"/>
        </w:numPr>
        <w:spacing w:after="120"/>
      </w:pPr>
      <w:r>
        <w:t xml:space="preserve">Selectivity analysis: on-target vs. off-target burden for each intervention</w:t>
      </w:r>
    </w:p>
    <w:p>
      <w:pPr>
        <w:pStyle w:val="ListParagraph"/>
        <w:numPr>
          <w:ilvl w:val="0"/>
          <w:numId w:val="1"/>
        </w:numPr>
        <w:spacing w:after="120"/>
      </w:pPr>
      <w:r>
        <w:t xml:space="preserve">Combination therapy strategies (gene pair combinations, projected benefit)</w:t>
      </w:r>
    </w:p>
    <w:p>
      <w:pPr>
        <w:pStyle w:val="ListParagraph"/>
        <w:numPr>
          <w:ilvl w:val="0"/>
          <w:numId w:val="1"/>
        </w:numPr>
        <w:spacing w:after="120"/>
      </w:pPr>
      <w:r>
        <w:t xml:space="preserve">Recommended lead compound selection (if small molecules available) or lead therapeutic candidate</w:t>
      </w:r>
    </w:p>
    <w:p>
      <w:pPr>
        <w:spacing w:after="180"/>
      </w:pPr>
      <w:r>
        <w:rPr>
          <w:rFonts w:ascii="Arial" w:cs="Arial" w:eastAsia="Arial" w:hAnsi="Arial"/>
          <w:b/>
          <w:bCs/>
          <w:sz w:val="48"/>
          <w:szCs w:val="48"/>
        </w:rPr>
        <w:t xml:space="preserve">Format: </w:t>
      </w:r>
      <w:r>
        <w:rPr>
          <w:rFonts w:ascii="Arial" w:cs="Arial" w:eastAsia="Arial" w:hAnsi="Arial"/>
          <w:b w:val="false"/>
          <w:bCs w:val="false"/>
          <w:sz w:val="48"/>
          <w:szCs w:val="48"/>
        </w:rPr>
        <w:t xml:space="preserve">Therapeutic strategy report (4-6 pages) with druggability assessment, recommended interventions, benefit-risk matrices, and combination strategy recommendations. Summary table: Hub Gene, Primary Intervention (modality), Druggability Score (0-100), Predicted Benefit (# genes rescued), Selectivity Score, Regulatory Risk, Development Timeline (months).</w:t>
      </w:r>
    </w:p>
    <w:p>
      <w:pPr>
        <w:pStyle w:val="Heading1"/>
        <w:spacing w:after="240"/>
      </w:pPr>
      <w:r>
        <w:t xml:space="preserve">Stage 6: Generate Polygenic Convergence Prioritization Ranking and Clinical Translation Blueprint</w:t>
      </w:r>
    </w:p>
    <w:p>
      <w:pPr>
        <w:spacing w:after="180"/>
      </w:pPr>
      <w:r>
        <w:rPr>
          <w:rFonts w:ascii="Arial" w:cs="Arial" w:eastAsia="Arial" w:hAnsi="Arial"/>
          <w:b/>
          <w:bCs/>
          <w:sz w:val="48"/>
          <w:szCs w:val="48"/>
        </w:rPr>
        <w:t xml:space="preserve">Purpose: </w:t>
      </w:r>
      <w:r>
        <w:rPr>
          <w:rFonts w:ascii="Arial" w:cs="Arial" w:eastAsia="Arial" w:hAnsi="Arial"/>
          <w:b w:val="false"/>
          <w:bCs w:val="false"/>
          <w:sz w:val="48"/>
          <w:szCs w:val="48"/>
        </w:rPr>
        <w:t xml:space="preserve">Synthesize all preceding analyses into a final prioritized ranking of ASD polygenic convergence points, supporting target selection and guiding clinical development strategy for broadly applicable ASD therapeutics.</w:t>
      </w:r>
    </w:p>
    <w:p>
      <w:pPr>
        <w:spacing w:after="120"/>
      </w:pPr>
      <w:r>
        <w:rPr>
          <w:rFonts w:ascii="Arial" w:cs="Arial" w:eastAsia="Arial" w:hAnsi="Arial"/>
          <w:b/>
          <w:bCs/>
          <w:sz w:val="48"/>
          <w:szCs w:val="48"/>
        </w:rPr>
        <w:t xml:space="preserve">Inputs:</w:t>
      </w:r>
    </w:p>
    <w:p>
      <w:pPr>
        <w:pStyle w:val="ListParagraph"/>
        <w:numPr>
          <w:ilvl w:val="0"/>
          <w:numId w:val="1"/>
        </w:numPr>
        <w:spacing w:after="120"/>
      </w:pPr>
      <w:r>
        <w:t xml:space="preserve">All outputs from Stages 1-5</w:t>
      </w:r>
    </w:p>
    <w:p>
      <w:pPr>
        <w:pStyle w:val="ListParagraph"/>
        <w:numPr>
          <w:ilvl w:val="0"/>
          <w:numId w:val="1"/>
        </w:numPr>
        <w:spacing w:after="120"/>
      </w:pPr>
      <w:r>
        <w:t xml:space="preserve">Disease relevance assessment (convergence points aligned with ASD pathophysiology)</w:t>
      </w:r>
    </w:p>
    <w:p>
      <w:pPr>
        <w:pStyle w:val="ListParagraph"/>
        <w:numPr>
          <w:ilvl w:val="0"/>
          <w:numId w:val="1"/>
        </w:numPr>
        <w:spacing w:after="120"/>
      </w:pPr>
      <w:r>
        <w:t xml:space="preserve">Market opportunity and unmet need analysis</w:t>
      </w:r>
    </w:p>
    <w:p>
      <w:pPr>
        <w:pStyle w:val="ListParagraph"/>
        <w:numPr>
          <w:ilvl w:val="0"/>
          <w:numId w:val="1"/>
        </w:numPr>
        <w:spacing w:after="120"/>
      </w:pPr>
      <w:r>
        <w:t xml:space="preserve">Available therapeutic resources and company strategic priorities</w:t>
      </w:r>
    </w:p>
    <w:p>
      <w:pPr>
        <w:pStyle w:val="ListParagraph"/>
        <w:numPr>
          <w:ilvl w:val="0"/>
          <w:numId w:val="1"/>
        </w:numPr>
        <w:spacing w:after="120"/>
      </w:pPr>
      <w:r>
        <w:t xml:space="preserve">Patient population preferences and regulatory considerations</w:t>
      </w:r>
    </w:p>
    <w:p>
      <w:pPr>
        <w:spacing w:after="120"/>
      </w:pPr>
      <w:r>
        <w:rPr>
          <w:rFonts w:ascii="Arial" w:cs="Arial" w:eastAsia="Arial" w:hAnsi="Arial"/>
          <w:b/>
          <w:bCs/>
          <w:sz w:val="48"/>
          <w:szCs w:val="48"/>
        </w:rPr>
        <w:t xml:space="preserve">Tools &amp; Databases Called:</w:t>
      </w:r>
    </w:p>
    <w:p>
      <w:pPr>
        <w:pStyle w:val="ListParagraph"/>
        <w:numPr>
          <w:ilvl w:val="0"/>
          <w:numId w:val="1"/>
        </w:numPr>
        <w:spacing w:after="120"/>
      </w:pPr>
      <w:r>
        <w:t xml:space="preserve">Multi-criteria decision analysis (MCDA) framework for prioritization</w:t>
      </w:r>
    </w:p>
    <w:p>
      <w:pPr>
        <w:pStyle w:val="ListParagraph"/>
        <w:numPr>
          <w:ilvl w:val="0"/>
          <w:numId w:val="1"/>
        </w:numPr>
        <w:spacing w:after="120"/>
      </w:pPr>
      <w:r>
        <w:t xml:space="preserve">Weighted scoring matrices integrating phenotypic, genetic, network, and therapeutic factors</w:t>
      </w:r>
    </w:p>
    <w:p>
      <w:pPr>
        <w:pStyle w:val="ListParagraph"/>
        <w:numPr>
          <w:ilvl w:val="0"/>
          <w:numId w:val="1"/>
        </w:numPr>
        <w:spacing w:after="120"/>
      </w:pPr>
      <w:r>
        <w:t xml:space="preserve">Monte Carlo simulation for uncertainty analysis</w:t>
      </w:r>
    </w:p>
    <w:p>
      <w:pPr>
        <w:pStyle w:val="ListParagraph"/>
        <w:numPr>
          <w:ilvl w:val="0"/>
          <w:numId w:val="1"/>
        </w:numPr>
        <w:spacing w:after="120"/>
      </w:pPr>
      <w:r>
        <w:t xml:space="preserve">Sensitivity analysis tools for key parameter variation</w:t>
      </w:r>
    </w:p>
    <w:p>
      <w:pPr>
        <w:pStyle w:val="ListParagraph"/>
        <w:numPr>
          <w:ilvl w:val="0"/>
          <w:numId w:val="1"/>
        </w:numPr>
        <w:spacing w:after="120"/>
      </w:pPr>
      <w:r>
        <w:t xml:space="preserve">Project management and timeline estimation tools</w:t>
      </w:r>
    </w:p>
    <w:p>
      <w:pPr>
        <w:pStyle w:val="ListParagraph"/>
        <w:numPr>
          <w:ilvl w:val="0"/>
          <w:numId w:val="1"/>
        </w:numPr>
        <w:spacing w:after="120"/>
      </w:pPr>
      <w:r>
        <w:t xml:space="preserve">Executive summary and visualization tools</w:t>
      </w:r>
    </w:p>
    <w:p>
      <w:pPr>
        <w:spacing w:after="120"/>
      </w:pPr>
      <w:r>
        <w:rPr>
          <w:rFonts w:ascii="Arial" w:cs="Arial" w:eastAsia="Arial" w:hAnsi="Arial"/>
          <w:b/>
          <w:bCs/>
          <w:sz w:val="48"/>
          <w:szCs w:val="48"/>
        </w:rPr>
        <w:t xml:space="preserve">Exemplary Sub-Prompts:</w:t>
      </w:r>
    </w:p>
    <w:p>
      <w:pPr>
        <w:pStyle w:val="ListParagraph"/>
        <w:numPr>
          <w:ilvl w:val="0"/>
          <w:numId w:val="1"/>
        </w:numPr>
        <w:spacing w:after="120"/>
      </w:pPr>
      <w:r>
        <w:t xml:space="preserve">Generate a comprehensive feasibility score (0-100) for each ASD convergence point integrating: (A) genetic evidence (GWAS + ClinVar), (B) phenotypic convergence strength, (C) number of genes in cluster, (D) druggability of hub gene, (E) selectivity (off-target burden), (F) therapeutic benefit (genes rescued), (G) regulatory precedent, (H) competitive landscape</w:t>
      </w:r>
    </w:p>
    <w:p>
      <w:pPr>
        <w:pStyle w:val="ListParagraph"/>
        <w:numPr>
          <w:ilvl w:val="0"/>
          <w:numId w:val="1"/>
        </w:numPr>
        <w:spacing w:after="120"/>
      </w:pPr>
      <w:r>
        <w:t xml:space="preserve">Rank convergence points by projected clinical impact: how many ASD patients would benefit from targeting each convergence point? Model disease heterogeneity (are subsets of patients driven by specific clusters?)</w:t>
      </w:r>
    </w:p>
    <w:p>
      <w:pPr>
        <w:pStyle w:val="ListParagraph"/>
        <w:numPr>
          <w:ilvl w:val="0"/>
          <w:numId w:val="1"/>
        </w:numPr>
        <w:spacing w:after="120"/>
      </w:pPr>
      <w:r>
        <w:t xml:space="preserve">Create clinical translation roadmaps for top 3 convergence points: preclinical validation, IND-enabling studies, Phase 1/2 clinical protocol design, patient stratification strategies</w:t>
      </w:r>
    </w:p>
    <w:p>
      <w:pPr>
        <w:pStyle w:val="ListParagraph"/>
        <w:numPr>
          <w:ilvl w:val="0"/>
          <w:numId w:val="1"/>
        </w:numPr>
        <w:spacing w:after="120"/>
      </w:pPr>
      <w:r>
        <w:t xml:space="preserve">Identify key decision milestones and go/no-go criteria: at what stage should decisions be made about pursuing single vs. combination convergence point targeting?</w:t>
      </w:r>
    </w:p>
    <w:p>
      <w:pPr>
        <w:pStyle w:val="ListParagraph"/>
        <w:numPr>
          <w:ilvl w:val="0"/>
          <w:numId w:val="1"/>
        </w:numPr>
        <w:spacing w:after="120"/>
      </w:pPr>
      <w:r>
        <w:t xml:space="preserve">Generate a "precision medicine" strategy: could convergence point targeting enable patient stratification? Can Sapphire phenotypes predict patient response?</w:t>
      </w:r>
    </w:p>
    <w:p>
      <w:pPr>
        <w:spacing w:after="120"/>
      </w:pPr>
      <w:r>
        <w:rPr>
          <w:rFonts w:ascii="Arial" w:cs="Arial" w:eastAsia="Arial" w:hAnsi="Arial"/>
          <w:b/>
          <w:bCs/>
          <w:sz w:val="48"/>
          <w:szCs w:val="48"/>
        </w:rPr>
        <w:t xml:space="preserve">Expected Outputs:</w:t>
      </w:r>
    </w:p>
    <w:p>
      <w:pPr>
        <w:pStyle w:val="ListParagraph"/>
        <w:numPr>
          <w:ilvl w:val="0"/>
          <w:numId w:val="1"/>
        </w:numPr>
        <w:spacing w:after="120"/>
      </w:pPr>
      <w:r>
        <w:t xml:space="preserve">Comprehensive convergence point prioritization ranking (top 20 convergence points with feasibility scores)</w:t>
      </w:r>
    </w:p>
    <w:p>
      <w:pPr>
        <w:pStyle w:val="ListParagraph"/>
        <w:numPr>
          <w:ilvl w:val="0"/>
          <w:numId w:val="1"/>
        </w:numPr>
        <w:spacing w:after="120"/>
      </w:pPr>
      <w:r>
        <w:t xml:space="preserve">Clinical impact projections (% ASD patients benefiting from each convergence point, phenotypic rescue profiles)</w:t>
      </w:r>
    </w:p>
    <w:p>
      <w:pPr>
        <w:pStyle w:val="ListParagraph"/>
        <w:numPr>
          <w:ilvl w:val="0"/>
          <w:numId w:val="1"/>
        </w:numPr>
        <w:spacing w:after="120"/>
      </w:pPr>
      <w:r>
        <w:t xml:space="preserve">Detailed clinical translation blueprint for top 3 convergence points</w:t>
      </w:r>
    </w:p>
    <w:p>
      <w:pPr>
        <w:pStyle w:val="ListParagraph"/>
        <w:numPr>
          <w:ilvl w:val="0"/>
          <w:numId w:val="1"/>
        </w:numPr>
        <w:spacing w:after="120"/>
      </w:pPr>
      <w:r>
        <w:t xml:space="preserve">Key clinical trial design considerations (patient selection criteria, phenotypic endpoints, phase 2 sample sizes)</w:t>
      </w:r>
    </w:p>
    <w:p>
      <w:pPr>
        <w:pStyle w:val="ListParagraph"/>
        <w:numPr>
          <w:ilvl w:val="0"/>
          <w:numId w:val="1"/>
        </w:numPr>
        <w:spacing w:after="120"/>
      </w:pPr>
      <w:r>
        <w:t xml:space="preserve">Precision medicine opportunities (patient stratification, Sapphire-based biomarkers)</w:t>
      </w:r>
    </w:p>
    <w:p>
      <w:pPr>
        <w:pStyle w:val="ListParagraph"/>
        <w:numPr>
          <w:ilvl w:val="0"/>
          <w:numId w:val="1"/>
        </w:numPr>
        <w:spacing w:after="120"/>
      </w:pPr>
      <w:r>
        <w:t xml:space="preserve">Executive summary (1-2 pages) with top 3 convergence point recommendations and critical success factors</w:t>
      </w:r>
    </w:p>
    <w:p>
      <w:pPr>
        <w:spacing w:after="180"/>
      </w:pPr>
      <w:r>
        <w:rPr>
          <w:rFonts w:ascii="Arial" w:cs="Arial" w:eastAsia="Arial" w:hAnsi="Arial"/>
          <w:b/>
          <w:bCs/>
          <w:sz w:val="48"/>
          <w:szCs w:val="48"/>
        </w:rPr>
        <w:t xml:space="preserve">Format: </w:t>
      </w:r>
      <w:r>
        <w:rPr>
          <w:rFonts w:ascii="Arial" w:cs="Arial" w:eastAsia="Arial" w:hAnsi="Arial"/>
          <w:b w:val="false"/>
          <w:bCs w:val="false"/>
          <w:sz w:val="48"/>
          <w:szCs w:val="48"/>
        </w:rPr>
        <w:t xml:space="preserve">Comprehensive prioritization report (20-25 pages) with executive summary, detailed convergence point profiles, clinical translation blueprints, and regulatory strategy. Priority table: Convergence Point (hub gene), Cluster ID, Genetic Evidence Score, Phenotypic Convergence Strength, Druggability, Selectivity, Therapeutic Benefit (# genes), Regulatory Risk, Overall Score, Recommendation (proceed/conditional/hold).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2026-03-01T17:47:01.487Z</dcterms:created>
  <dcterms:modified xsi:type="dcterms:W3CDTF">2026-03-01T17:47:01.487Z</dcterms:modified>
</cp:coreProperties>
</file>

<file path=docProps/custom.xml><?xml version="1.0" encoding="utf-8"?>
<Properties xmlns="http://schemas.openxmlformats.org/officeDocument/2006/custom-properties" xmlns:vt="http://schemas.openxmlformats.org/officeDocument/2006/docPropsVTypes"/>
</file>