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40" w:before="240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Workflow: Which targets are likely extracellular and antibody-accessible?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pPr>
        <w:spacing w:after="200" w:line="360"/>
      </w:pPr>
      <w:r>
        <w:rPr>
          <w:rFonts w:ascii="Arial" w:cs="Arial" w:eastAsia="Arial" w:hAnsi="Arial"/>
          <w:sz w:val="24"/>
          <w:szCs w:val="24"/>
        </w:rPr>
        <w:t xml:space="preserve">This 6-stage pipeline systematically addresses: Which targets are likely extracellular and antibody-accessible?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Structural &amp; Topological Analysis of Target Proteome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Systematically characterize protein topology and extracellular domain architecture.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Full proteome sequences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Transmembrane domain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Signal peptide annotations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crystal structures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TMHMM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TOPCONS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SignalP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RCSB PDB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transmembrane topology for each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type I, II, or multi-transmembrane proteins?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predicted extracellular domain sizes and structures?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GPI-anchored or phospholipid-modified?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published crystal structures revealing domain organization?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Transmembrane topology predictions with confidence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Extracellular domain identification and annotation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domain architecture diagrams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Signal peptide and secretion signal identification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Post-translational modification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Structural organization summary per target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Topology map with extracellular domain annotations and confidence metrics.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Epitope Accessibility &amp; Antibody Binding Site Prediction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Identify accessible extracellular epitopes suitable for therapeutic antibody targeting.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 crystal structures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Epitope prediction algorithms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Surface accessibility calculations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monoclonal antibody data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IMGT/3Dstructure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EPITOPE prediction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FoldX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Rosetta antibody design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predicted highly accessible surface regions?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known monoclonal antibodies targeting extracellular domains?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epitopes are predicted to confer functional antagonism?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epitopes conserved across species for preclinical modeling?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antibody binding affinity to identified epitopes?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Surface accessibility scores per domain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Predicted immunogenic epitope regions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monoclonal antibody epitope mapping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antagonism potential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Cross-species epitope conservation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Binding affinity predictions for candidate epitopes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3D structure annotation with accessible epitope highlighting and binding predictions.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Membrane Orientation &amp; Accessibility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Confirm extracellular accessibility through literature, experimental data, and homology.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Published immunofluorescence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Flow cytometry studies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surface biotinylation experiments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Homology to well-characterized proteins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Image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Surface Protein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published immunofluorescence studies confirm surface localization?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targets detectable by surface-labeling experiments?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evidence suggests extracellular vs. intracellular orientation?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paralogous proteins with well-established surface accessibility?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cancer/disease studies identify surface-accessible epitopes?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evidence for surface localization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Experimental validation status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surface enrichment scoring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Membrane orientation confidence levels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Homology-based accessibility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Conflicting data resolution summary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Evidence summary table with surface accessibility confidence tiers.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Antibody Generation &amp; Target Engagement Feasibility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Evaluate practical feasibility of generating therapeutic antibodies against identified epitopes.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Antibody development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Target immunogenicity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Antibody cloning information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Monoclonal antibody screening results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monoclonal antibody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immunogenicity prediction tools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Have monoclonal antibodies been successfully generated against this target?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typical antibody affinities reported in literature?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pre-existing monoclonal antibody reagents available?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antibody generation success rate?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known challenges in antibody binding or production?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Monoclonal antibody availability and characteristics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Reported antibody binding affinity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Antibody generation success probability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Known technical challenges in antibody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Estimated development timeline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Precedent antibody drug availability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Antibody development feasibility assessment with precedent analysis.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Biological Activity &amp; Functional Antagonism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Assess whether antibody engagement produces desired therapeutic effects.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pathway assays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Cell-based activity screens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Animal model efficacy data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Mechanistic pathway links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on blocking antibodies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Cell-based assay databases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 blocking antibodies against target epitopes inhibit pathological signaling?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functional effects of target neutralization?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existing functional antagonist antibodies?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Does antibody binding disrupt key protein-protein interactions?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predicted therapeutic window for antibody antagonism?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blocking antibody data review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Pathway engagement assessment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Functional antagonism potency predictions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Protein-protein interaction disruption analysis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Therapeutic window estimates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Mechanism of action validation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Functional validation summary with therapeutic antagonism confirmation.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Comprehensive Ranking &amp; Antibody Development Strategy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Purpose: </w:t>
      </w:r>
      <w:r>
        <w:rPr>
          <w:rFonts w:ascii="Arial" w:cs="Arial" w:eastAsia="Arial" w:hAnsi="Arial"/>
          <w:sz w:val="24"/>
          <w:szCs w:val="24"/>
        </w:rPr>
        <w:t xml:space="preserve">Rank targets by antibody accessibility and recommend development approach for top candidates.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All Stage 1-5 analysis outputs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Integrated scoring framework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matrix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 algorithm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rank highest for antibody accessibility and feasibility?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are the top 5-10 best antibody targets identified?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Which targets warrant immediate antibody development initiation?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Are there synergistic epitope combinations for bispecific antibodies?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What is the realistic antibody development and approval timeline?</w:t>
      </w:r>
    </w:p>
    <w:p>
      <w:pPr>
        <w:spacing w:after="1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Comprehensive extracellular accessibility ranking (all targets)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 10 antibody-accessible targets with scores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Recommended antibody targets for development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Epitope selection and antibody design recommendations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Development milestone timelines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Resource allocation guidance</w:t>
      </w:r>
    </w:p>
    <w:p>
      <w:pPr>
        <w:spacing w:after="200" w:line="3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Format: </w:t>
      </w:r>
      <w:r>
        <w:rPr>
          <w:rFonts w:ascii="Arial" w:cs="Arial" w:eastAsia="Arial" w:hAnsi="Arial"/>
          <w:sz w:val="24"/>
          <w:szCs w:val="24"/>
        </w:rPr>
        <w:t xml:space="preserve">Executive ranking table with antibody development roadmap.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 Surface Protein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Cell-based assay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Decision matrix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EPITOPE prediction software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FoldX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IMGT/3Dstructure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Image databases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Literature on blocking antibodies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PubMed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RCSB PDB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Ranking algorithm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Rosetta antibody design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SignalP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TMHMM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TOPCONS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UniProt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immunogenicity prediction tools</w:t>
      </w:r>
    </w:p>
    <w:p>
      <w:pPr>
        <w:pStyle w:val="ListParagraph"/>
        <w:numPr>
          <w:ilvl w:val="0"/>
          <w:numId w:val="2"/>
        </w:numPr>
        <w:spacing w:after="100" w:line="360"/>
      </w:pPr>
      <w:r>
        <w:rPr>
          <w:rFonts w:ascii="Arial" w:cs="Arial" w:eastAsia="Arial" w:hAnsi="Arial"/>
          <w:sz w:val="24"/>
          <w:szCs w:val="24"/>
        </w:rPr>
        <w:t xml:space="preserve">monoclonal antibody databases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2026-03-04T20:37:19.219Z</dcterms:created>
  <dcterms:modified xsi:type="dcterms:W3CDTF">2026-03-04T20:37:19.219Z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