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40" w:lineRule="auto"/>
      </w:pPr>
      <w:r>
        <w:t xml:space="preserve">The Quiver Bioscience Sapphire AI drug discovery platform represents a breakthrough in systematic target identification and validation. The platform integrates functional genomics, cellular phenotyping, and AI to accelerate discovery.</w:t>
      </w:r>
    </w:p>
    <w:p>
      <w:pPr>
        <w:spacing w:after="200" w:line="240" w:lineRule="auto"/>
      </w:pPr>
      <w:r>
        <w:t xml:space="preserve">This analysis covers four complementary pipeline workflows for target suitability assessment. Together, these workflows provide a structured approach to target prioritization and ranking.</w:t>
      </w:r>
    </w:p>
    <w:p>
      <w:pPr>
        <w:spacing w:after="200" w:line="240" w:lineRule="auto"/>
      </w:pPr>
      <w:r>
        <w:t xml:space="preserve">The Quiver dataset contains ~18,000 CRISPR gene perturbations with comprehensive endpoint phenotyping in human cortical neurons.</w:t>
      </w:r>
    </w:p>
    <w:p>
      <w:pPr>
        <w:spacing w:after="200" w:line="240" w:lineRule="auto"/>
      </w:pPr>
      <w:r>
        <w:t xml:space="preserve">Modern drug discovery leverages computational prediction tools that integrate sequence information, structural models, and historical bioactivity data.</w:t>
      </w:r>
    </w:p>
    <w:p>
      <w:pPr>
        <w:spacing w:after="200" w:line="240" w:lineRule="auto"/>
      </w:pPr>
      <w:r>
        <w:t xml:space="preserve">Target suitability assessment must account for fundamental differences between therapeutic modalities including small molecules and antibodies.</w:t>
      </w:r>
    </w:p>
    <w:p>
      <w:pPr>
        <w:spacing w:after="200" w:line="240" w:lineRule="auto"/>
      </w:pPr>
      <w:r>
        <w:t xml:space="preserve">This document series provides detailed workflows for four critical target assessment and prioritization tasks with specific methodologies and tools.</w:t>
      </w:r>
    </w:p>
    <w:p>
      <w:pPr>
        <w:spacing w:after="200" w:line="240" w:lineRule="auto"/>
      </w:pPr>
      <w:r>
        <w:t xml:space="preserve">AlphaFold structure predictions provide computationally generated 3D protein models for rapid druggability assessment.</w:t>
      </w:r>
    </w:p>
    <w:p>
      <w:pPr>
        <w:spacing w:after="200" w:line="240" w:lineRule="auto"/>
      </w:pPr>
      <w:r>
        <w:t xml:space="preserve">Protein Data Bank entries contain experimentally determined structures enabling comprehensive structural coverage.</w:t>
      </w:r>
    </w:p>
    <w:p>
      <w:pPr>
        <w:spacing w:after="200" w:line="240" w:lineRule="auto"/>
      </w:pPr>
      <w:r>
        <w:t xml:space="preserve">SMILES format representation enables computational evaluation of molecular properties relevant to drug likeness.</w:t>
      </w:r>
    </w:p>
    <w:p>
      <w:pPr>
        <w:spacing w:after="200" w:line="240" w:lineRule="auto"/>
      </w:pPr>
      <w:r>
        <w:t xml:space="preserve">Ligandability scoring algorithms predict protein-ligand binding potential based on structural features.</w:t>
      </w:r>
    </w:p>
    <w:p>
      <w:pPr>
        <w:spacing w:after="200" w:line="240" w:lineRule="auto"/>
      </w:pPr>
      <w:r>
        <w:t xml:space="preserve">Dose-response analysis tools extract pharmacological parameters including IC50 and Hill coefficients.</w:t>
      </w:r>
    </w:p>
    <w:p>
      <w:pPr>
        <w:spacing w:after="200" w:line="240" w:lineRule="auto"/>
      </w:pPr>
      <w:r>
        <w:t xml:space="preserve">BBB penetration models assess CNS drug exposure based on molecular properties.</w:t>
      </w:r>
    </w:p>
    <w:p>
      <w:pPr>
        <w:spacing w:after="200" w:line="240" w:lineRule="auto"/>
      </w:pPr>
      <w:r>
        <w:t xml:space="preserve">Target engagement algorithms estimate target occupancy based on binding kinetics and drug concentrations.</w:t>
      </w:r>
    </w:p>
    <w:p>
      <w:pPr>
        <w:spacing w:after="200" w:line="240" w:lineRule="auto"/>
      </w:pPr>
      <w:r>
        <w:t xml:space="preserve">Gene expression analysis identifies tissue-specific patterns influencing therapeutic feasibility.</w:t>
      </w:r>
    </w:p>
    <w:p>
      <w:pPr>
        <w:spacing w:after="200" w:line="240" w:lineRule="auto"/>
      </w:pPr>
      <w:r>
        <w:t xml:space="preserve">Structural bioinformatics identifies binding pockets and druggable sites.</w:t>
      </w:r>
    </w:p>
    <w:p>
      <w:pPr>
        <w:spacing w:after="200" w:line="240" w:lineRule="auto"/>
      </w:pPr>
      <w:r>
        <w:t xml:space="preserve">Sequence homology analysis enables translational predictions across species.</w:t>
      </w:r>
    </w:p>
    <w:p>
      <w:pPr>
        <w:spacing w:after="200" w:line="240" w:lineRule="auto"/>
      </w:pPr>
      <w:r>
        <w:t xml:space="preserve">Signal peptide prediction identifies extracellular proteins amenable to antibody targeting.</w:t>
      </w:r>
    </w:p>
    <w:p>
      <w:pPr>
        <w:spacing w:after="200" w:line="240" w:lineRule="auto"/>
      </w:pPr>
      <w:r>
        <w:t xml:space="preserve">Off-target liability assessment predicts selectivity and potential safety concerns.</w:t>
      </w:r>
    </w:p>
    <w:p>
      <w:pPr>
        <w:spacing w:after="200" w:line="240" w:lineRule="auto"/>
      </w:pPr>
      <w:r>
        <w:t xml:space="preserve">PK prediction models assess oral bioavailability and tissue penetration.</w:t>
      </w:r>
    </w:p>
    <w:p>
      <w:pPr>
        <w:spacing w:after="200" w:line="240" w:lineRule="auto"/>
      </w:pPr>
      <w:r>
        <w:t xml:space="preserve">Machine learning models predict metabolic stability and hERG channel binding.</w:t>
      </w:r>
    </w:p>
    <w:p>
      <w:pPr>
        <w:spacing w:after="200" w:line="240" w:lineRule="auto"/>
      </w:pPr>
      <w:r>
        <w:t xml:space="preserve">Functional genomics databases provide CRISPR screening results across cell types.</w:t>
      </w:r>
    </w:p>
    <w:p>
      <w:pPr>
        <w:spacing w:after="200" w:line="240" w:lineRule="auto"/>
      </w:pPr>
      <w:r>
        <w:t xml:space="preserve">Literature mining enables rapid knowledge synthesis regarding target biology.</w:t>
      </w:r>
    </w:p>
    <w:p>
      <w:pPr>
        <w:spacing w:after="200" w:line="240" w:lineRule="auto"/>
      </w:pPr>
      <w:r>
        <w:t xml:space="preserve">PBPK modeling integrates PK predictions with target tissue exposure.</w:t>
      </w:r>
    </w:p>
    <w:p>
      <w:pPr>
        <w:spacing w:after="200" w:line="240" w:lineRule="auto"/>
      </w:pPr>
      <w:r>
        <w:t xml:space="preserve">Epitope mapping predicts antibody binding sites on target proteins.</w:t>
      </w:r>
    </w:p>
    <w:p>
      <w:pPr>
        <w:spacing w:after="200" w:line="240" w:lineRule="auto"/>
      </w:pPr>
      <w:r>
        <w:t xml:space="preserve">Transmembrane prediction identifies membrane topology and extracellular accessibility.</w:t>
      </w:r>
    </w:p>
    <w:p>
      <w:pPr>
        <w:spacing w:after="200" w:line="240" w:lineRule="auto"/>
      </w:pPr>
      <w:r>
        <w:t xml:space="preserve">Patent databases enable freedom-to-operate analysis for target selection.</w:t>
      </w:r>
    </w:p>
    <w:p>
      <w:pPr>
        <w:pStyle w:val="Heading1"/>
        <w:spacing w:after="300" w:line="240" w:lineRule="auto"/>
      </w:pPr>
      <w:r>
        <w:t xml:space="preserve">Pipeline_098: Brain Exposure Simulation and Functional Rescue</w:t>
      </w:r>
    </w:p>
    <w:p>
      <w:pPr>
        <w:spacing w:after="200" w:line="240" w:lineRule="auto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For gene X, simulate required brain exposure for functional rescue. This pipeline employs PK/PD modeling to estimate minimum brain drug concentration for functional rescue, integrating Quiver dose-response data, PK parameters, BBB penetrance predictions, and IVIVE factors.</w:t>
      </w:r>
    </w:p>
    <w:p>
      <w:pPr>
        <w:pStyle w:val="Heading2"/>
        <w:spacing w:after="200" w:line="240" w:lineRule="auto"/>
      </w:pPr>
      <w:r>
        <w:t xml:space="preserve">Methodology Overview</w:t>
      </w:r>
    </w:p>
    <w:p>
      <w:pPr>
        <w:spacing w:after="200" w:line="240" w:lineRule="auto"/>
      </w:pPr>
      <w:r>
        <w:t xml:space="preserve">The integration of multiple data sources enables comprehensive target evaluation that incorporates biological, chemical, and clinical considerations. This multifaceted approach ensures that prioritization decisions are grounded in robust evidence.</w:t>
      </w:r>
    </w:p>
    <w:p>
      <w:pPr>
        <w:spacing w:after="200" w:line="240" w:lineRule="auto"/>
      </w:pPr>
      <w:r>
        <w:t xml:space="preserve">Understanding target protein properties including size, domain structure, and post-translational modifications informs predictions about target druggability and therapeutic modality suitability.</w:t>
      </w:r>
    </w:p>
    <w:p>
      <w:pPr>
        <w:spacing w:after="200" w:line="240" w:lineRule="auto"/>
      </w:pPr>
      <w:r>
        <w:t xml:space="preserve">Cellular context strongly influences the consequences of target modulation, as different cell types may respond distinctly to the same target engagement.</w:t>
      </w:r>
    </w:p>
    <w:p>
      <w:pPr>
        <w:spacing w:after="200" w:line="240" w:lineRule="auto"/>
      </w:pPr>
      <w:r>
        <w:t xml:space="preserve">Gene expression patterns vary dramatically across tissues and developmental stages, influencing target accessibility and therapeutic selectivity.</w:t>
      </w:r>
    </w:p>
    <w:p>
      <w:pPr>
        <w:spacing w:after="200" w:line="240" w:lineRule="auto"/>
      </w:pPr>
      <w:r>
        <w:t xml:space="preserve">Functional redundancy between related protein family members influences the therapeutic selectivity and potency requirements for targeting specific genes.</w:t>
      </w:r>
    </w:p>
    <w:p>
      <w:pPr>
        <w:spacing w:after="200" w:line="240" w:lineRule="auto"/>
      </w:pPr>
      <w:r>
        <w:t xml:space="preserve">Pathway context analysis reveals how target modulation may influence related signaling cascades and cellular phenotypes.</w:t>
      </w:r>
    </w:p>
    <w:p>
      <w:pPr>
        <w:spacing w:after="200" w:line="240" w:lineRule="auto"/>
      </w:pPr>
      <w:r>
        <w:t xml:space="preserve">Disease-relevant cellular models provide more physiologically accurate assessment of target function compared to standard immortalized cell lines.</w:t>
      </w:r>
    </w:p>
    <w:p>
      <w:pPr>
        <w:spacing w:after="200" w:line="240" w:lineRule="auto"/>
      </w:pPr>
      <w:r>
        <w:t xml:space="preserve">Mechanistic understanding of target biology enables rational prediction of therapeutic mechanisms and potential off-target effects.</w:t>
      </w:r>
    </w:p>
    <w:p>
      <w:pPr>
        <w:spacing w:after="200" w:line="240" w:lineRule="auto"/>
      </w:pPr>
      <w:r>
        <w:t xml:space="preserve">Structural features including binding pocket accessibility directly influence the ease of developing potent small-molecule inhibitors.</w:t>
      </w:r>
    </w:p>
    <w:p>
      <w:pPr>
        <w:spacing w:after="200" w:line="240" w:lineRule="auto"/>
      </w:pPr>
      <w:r>
        <w:t xml:space="preserve">Pharmacokinetic properties determine achievable drug exposures in target tissues and influence therapeutic feasibility.</w:t>
      </w:r>
    </w:p>
    <w:p>
      <w:pPr>
        <w:spacing w:after="200" w:line="240" w:lineRule="auto"/>
      </w:pPr>
      <w:r>
        <w:t xml:space="preserve">BBB penetrance remains a critical determinant of therapeutic success for CNS-directed drugs.</w:t>
      </w:r>
    </w:p>
    <w:p>
      <w:pPr>
        <w:spacing w:after="200" w:line="240" w:lineRule="auto"/>
      </w:pPr>
      <w:r>
        <w:t xml:space="preserve">Target engagement kinetics influence the duration of action and dosing interval required for optimal therapeutic response.</w:t>
      </w:r>
    </w:p>
    <w:p>
      <w:pPr>
        <w:spacing w:after="200" w:line="240" w:lineRule="auto"/>
      </w:pPr>
      <w:r>
        <w:t xml:space="preserve">Cellular protein abundance influences the concentration of drug required to achieve defined engagement levels.</w:t>
      </w:r>
    </w:p>
    <w:p>
      <w:pPr>
        <w:spacing w:after="200" w:line="240" w:lineRule="auto"/>
      </w:pPr>
      <w:r>
        <w:t xml:space="preserve">Binding affinity alone does not predict in vivo efficacy, as multiple factors influence drug-target interactions in intact organisms.</w:t>
      </w:r>
    </w:p>
    <w:p>
      <w:pPr>
        <w:spacing w:after="200" w:line="240" w:lineRule="auto"/>
      </w:pPr>
      <w:r>
        <w:t xml:space="preserve">Safety assessment requires evaluation of on-target and off-target effects across the entire organism.</w:t>
      </w:r>
    </w:p>
    <w:p>
      <w:pPr>
        <w:spacing w:after="200" w:line="240" w:lineRule="auto"/>
      </w:pPr>
      <w:r>
        <w:t xml:space="preserve">Immune system activation may substantially influence therapeutic efficacy and safety of antibody-based therapeutics.</w:t>
      </w:r>
    </w:p>
    <w:p>
      <w:pPr>
        <w:spacing w:after="200" w:line="240" w:lineRule="auto"/>
      </w:pPr>
      <w:r>
        <w:t xml:space="preserve">Tissue distribution patterns influence whether therapeutics can achieve adequate concentrations in target tissues.</w:t>
      </w:r>
    </w:p>
    <w:p>
      <w:pPr>
        <w:spacing w:after="200" w:line="240" w:lineRule="auto"/>
      </w:pPr>
      <w:r>
        <w:t xml:space="preserve">Metabolic stability influences drug half-life and achievable steady-state exposures.</w:t>
      </w:r>
    </w:p>
    <w:p>
      <w:pPr>
        <w:spacing w:after="200" w:line="240" w:lineRule="auto"/>
      </w:pPr>
      <w:r>
        <w:t xml:space="preserve">Plasma protein binding substantially affects the free drug concentration available for target engagement.</w:t>
      </w:r>
    </w:p>
    <w:p>
      <w:pPr>
        <w:spacing w:after="200" w:line="240" w:lineRule="auto"/>
      </w:pPr>
      <w:r>
        <w:t xml:space="preserve">Renal and hepatic clearance determine the relationship between administered dose and systemic exposure.</w:t>
      </w:r>
    </w:p>
    <w:p>
      <w:pPr>
        <w:spacing w:after="200" w:line="240" w:lineRule="auto"/>
      </w:pPr>
      <w:r>
        <w:t xml:space="preserve">Transporter-mediated processes influence drug absorption, distribution, and elimination.</w:t>
      </w:r>
    </w:p>
    <w:p>
      <w:pPr>
        <w:spacing w:after="200" w:line="240" w:lineRule="auto"/>
      </w:pPr>
      <w:r>
        <w:t xml:space="preserve">Drug-drug interactions may substantially alter therapeutic drug exposures in patients receiving multiple medications.</w:t>
      </w:r>
    </w:p>
    <w:p>
      <w:pPr>
        <w:spacing w:after="200" w:line="240" w:lineRule="auto"/>
      </w:pPr>
      <w:r>
        <w:t xml:space="preserve">Genetic polymorphisms in drug-metabolizing enzymes influence interindividual variability in drug response.</w:t>
      </w:r>
    </w:p>
    <w:p>
      <w:pPr>
        <w:spacing w:after="200" w:line="240" w:lineRule="auto"/>
      </w:pPr>
      <w:r>
        <w:t xml:space="preserve">Age-related changes in pharmacokinetics influence therapeutic dosing in pediatric and geriatric populations.</w:t>
      </w:r>
    </w:p>
    <w:p>
      <w:pPr>
        <w:spacing w:after="200" w:line="240" w:lineRule="auto"/>
      </w:pPr>
      <w:r>
        <w:t xml:space="preserve">Sex differences in drug metabolism influence dosing strategies for some therapeutic agents.</w:t>
      </w:r>
    </w:p>
    <w:p>
      <w:pPr>
        <w:spacing w:after="200" w:line="240" w:lineRule="auto"/>
      </w:pPr>
      <w:r>
        <w:t xml:space="preserve">Disease pathophysiology influences both efficacy and safety of therapeutic interventions.</w:t>
      </w:r>
    </w:p>
    <w:p>
      <w:pPr>
        <w:spacing w:after="200" w:line="240" w:lineRule="auto"/>
      </w:pPr>
      <w:r>
        <w:t xml:space="preserve">Comorbid conditions often present in patient populations receiving therapeutics may influence drug response.</w:t>
      </w:r>
    </w:p>
    <w:p>
      <w:pPr>
        <w:spacing w:after="200" w:line="240" w:lineRule="auto"/>
      </w:pPr>
      <w:r>
        <w:t xml:space="preserve">Concomitant medications frequently influence therapeutic efficacy and safety through various mechanisms.</w:t>
      </w:r>
    </w:p>
    <w:p>
      <w:pPr>
        <w:spacing w:after="200" w:line="240" w:lineRule="auto"/>
      </w:pPr>
      <w:r>
        <w:t xml:space="preserve">Patient adherence to therapeutic regimens substantially influences real-world efficacy in clinical practice.</w:t>
      </w:r>
    </w:p>
    <w:p>
      <w:pPr>
        <w:spacing w:after="200" w:line="240" w:lineRule="auto"/>
      </w:pPr>
      <w:r>
        <w:t xml:space="preserve">Temporal dynamics of disease progression influence optimal timing and duration of therapeutic intervention.</w:t>
      </w:r>
    </w:p>
    <w:p>
      <w:pPr>
        <w:spacing w:after="200" w:line="240" w:lineRule="auto"/>
      </w:pPr>
      <w:r>
        <w:t xml:space="preserve">Biomarker-driven patient stratification enables selection of populations most likely to benefit from specific therapeutics.</w:t>
      </w:r>
    </w:p>
    <w:p>
      <w:pPr>
        <w:spacing w:after="200" w:line="240" w:lineRule="auto"/>
      </w:pPr>
      <w:r>
        <w:t xml:space="preserve">Companion diagnostics may enable identification of patients with specific molecular characteristics predictive of therapeutic response.</w:t>
      </w:r>
    </w:p>
    <w:p>
      <w:pPr>
        <w:spacing w:after="200" w:line="240" w:lineRule="auto"/>
      </w:pPr>
      <w:r>
        <w:t xml:space="preserve">Therapeutic drug monitoring enables optimization of individual dosing regimens based on measured drug concentrations.</w:t>
      </w:r>
    </w:p>
    <w:p>
      <w:pPr>
        <w:spacing w:after="200" w:line="240" w:lineRule="auto"/>
      </w:pPr>
      <w:r>
        <w:t xml:space="preserve">Pharmacogenomic testing enables prediction of individual responsiveness to therapeutics based on genetic polymorphisms.</w:t>
      </w:r>
    </w:p>
    <w:p>
      <w:pPr>
        <w:spacing w:after="200" w:line="240" w:lineRule="auto"/>
      </w:pPr>
      <w:r>
        <w:t xml:space="preserve">Clinical biomarkers linked to target engagement enable non-invasive assessment of pharmacodynamic effects.</w:t>
      </w:r>
    </w:p>
    <w:p>
      <w:pPr>
        <w:spacing w:after="200" w:line="240" w:lineRule="auto"/>
      </w:pPr>
      <w:r>
        <w:t xml:space="preserve">Surrogate efficacy endpoints often predict clinical outcomes while enabling more rapid assessment of therapeutic potential.</w:t>
      </w:r>
    </w:p>
    <w:p>
      <w:pPr>
        <w:spacing w:after="200" w:line="240" w:lineRule="auto"/>
      </w:pPr>
      <w:r>
        <w:t xml:space="preserve">Patient-reported outcomes provide important information regarding therapeutic benefits and tolerability in real-world populations.</w:t>
      </w:r>
    </w:p>
    <w:p>
      <w:pPr>
        <w:spacing w:after="200" w:line="240" w:lineRule="auto"/>
      </w:pPr>
      <w:r>
        <w:t xml:space="preserve">Quality of life assessments evaluate the net clinical benefit of therapeutics accounting for both efficacy and tolerability.</w:t>
      </w:r>
    </w:p>
    <w:p>
      <w:pPr>
        <w:spacing w:after="200" w:line="240" w:lineRule="auto"/>
      </w:pPr>
      <w:r>
        <w:t xml:space="preserve">Long-term safety monitoring post-market detects adverse effects that may not be apparent from premarket clinical trials.</w:t>
      </w:r>
    </w:p>
    <w:p>
      <w:pPr>
        <w:spacing w:after="200" w:line="240" w:lineRule="auto"/>
      </w:pPr>
      <w:r>
        <w:t xml:space="preserve">Pharmacovigilance systems enable rapid identification and characterization of unexpected adverse effects.</w:t>
      </w:r>
    </w:p>
    <w:p>
      <w:pPr>
        <w:spacing w:after="200" w:line="240" w:lineRule="auto"/>
      </w:pPr>
      <w:r>
        <w:t xml:space="preserve">Risk management programs establish systems to minimize serious adverse effects while preserving therapeutic benefits.</w:t>
      </w:r>
    </w:p>
    <w:p>
      <w:pPr>
        <w:spacing w:after="200" w:line="240" w:lineRule="auto"/>
      </w:pPr>
      <w:r>
        <w:t xml:space="preserve">Drug-disease interactions require careful assessment to ensure therapeutic appropriateness for individual patients.</w:t>
      </w:r>
    </w:p>
    <w:p>
      <w:pPr>
        <w:spacing w:after="200" w:line="240" w:lineRule="auto"/>
      </w:pPr>
      <w:r>
        <w:t xml:space="preserve">Combination therapy approaches may enhance efficacy while reducing individual drug requirements and adverse effects.</w:t>
      </w:r>
    </w:p>
    <w:p>
      <w:pPr>
        <w:spacing w:after="200" w:line="240" w:lineRule="auto"/>
      </w:pPr>
      <w:r>
        <w:t xml:space="preserve">Sequential therapy strategies enable optimization of temporal drug administration patterns.</w:t>
      </w:r>
    </w:p>
    <w:p>
      <w:pPr>
        <w:spacing w:after="200" w:line="240" w:lineRule="auto"/>
      </w:pPr>
      <w:r>
        <w:t xml:space="preserve">Adaptive dosing regimens enable individualization of therapeutic doses based on patient characteristics and response.</w:t>
      </w:r>
    </w:p>
    <w:p>
      <w:pPr>
        <w:spacing w:after="200" w:line="240" w:lineRule="auto"/>
      </w:pPr>
      <w:r>
        <w:t xml:space="preserve">Drug resistance mechanisms may develop over time, requiring transition to alternative therapeutics or combination approaches.</w:t>
      </w:r>
    </w:p>
    <w:p>
      <w:pPr>
        <w:spacing w:after="200" w:line="240" w:lineRule="auto"/>
      </w:pPr>
      <w:r>
        <w:t xml:space="preserve">Disease progression despite therapeutic intervention may require escalation or modification of treatment strategies.</w:t>
      </w:r>
    </w:p>
    <w:p>
      <w:pPr>
        <w:spacing w:after="200" w:line="240" w:lineRule="auto"/>
      </w:pPr>
      <w:r>
        <w:t xml:space="preserve">Therapeutic switching enables optimization of therapeutic response through systematic evaluation of alternative agents.</w:t>
      </w:r>
    </w:p>
    <w:p>
      <w:pPr>
        <w:spacing w:after="200" w:line="240" w:lineRule="auto"/>
      </w:pPr>
      <w:r>
        <w:t xml:space="preserve">Healthcare system factors including drug accessibility and cost influence real-world therapeutic utilization patterns.</w:t>
      </w:r>
    </w:p>
    <w:p>
      <w:pPr>
        <w:spacing w:after="200" w:line="240" w:lineRule="auto"/>
      </w:pPr>
      <w:r>
        <w:t xml:space="preserve">Regulatory approval processes ensure therapeutic safety and efficacy while enabling timely patient access to new treatments.</w:t>
      </w:r>
    </w:p>
    <w:p>
      <w:pPr>
        <w:spacing w:after="200" w:line="240" w:lineRule="auto"/>
      </w:pPr>
      <w:r>
        <w:t xml:space="preserve">Post-market surveillance enables ongoing assessment of therapeutic safety in large diverse patient populations.</w:t>
      </w:r>
    </w:p>
    <w:p>
      <w:pPr>
        <w:spacing w:after="200" w:line="240" w:lineRule="auto"/>
      </w:pPr>
      <w:r>
        <w:t xml:space="preserve">Pharmacoepidemiology studies provide information regarding therapeutic effectiveness in real-world clinical practice.</w:t>
      </w:r>
    </w:p>
    <w:p>
      <w:pPr>
        <w:spacing w:after="200" w:line="240" w:lineRule="auto"/>
      </w:pPr>
      <w:r>
        <w:t xml:space="preserve">Health economic analyses evaluate cost-effectiveness and enable optimal allocation of healthcare resources.</w:t>
      </w:r>
    </w:p>
    <w:p>
      <w:pPr>
        <w:spacing w:after="200" w:line="240" w:lineRule="auto"/>
      </w:pPr>
      <w:r>
        <w:t xml:space="preserve">Rapid target validation through multiple modalities accelerates the transition from discovery to clinical development.</w:t>
      </w:r>
    </w:p>
    <w:p>
      <w:pPr>
        <w:spacing w:after="200" w:line="240" w:lineRule="auto"/>
      </w:pPr>
      <w:r>
        <w:t xml:space="preserve">Integrated data platforms consolidate multi-omics information with clinical outcomes for comprehensive target evaluation.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Inputs: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Quiver CRISPR perturbation data from human cortical neurons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Target gene selection list with biological annotations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Structural and biochemical data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Reference compound pharmacological data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Computational predictions from structural biology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Tools &amp; Databases Called: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AlphaFold structure predictions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Dose-response modeling algorithms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BBB penetration prediction models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Target engagement calculation pipelines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Pharmacokinetic parameter databases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Signal peptide and transmembrane prediction tools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Exemplary Sub-Prompts: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Queries regarding target-specific IC50, EC50, and engagement requirements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BBB penetrance and brain exposure prediction requests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Antibody accessibility and epitope mapping queries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Small-molecule ligandability and binding pocket analysis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Dose simulation and exposure-response relationship requests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Expected Outputs: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Ranked target lists stratified by key pharmacological parameters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Quantitative predictions of required exposure levels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Dosing simulations showing probability of achieving target parameters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Safety margin analysis and risk assessments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Modality recommendations and development strategy guidance</w:t>
      </w:r>
    </w:p>
    <w:p>
      <w:pPr>
        <w:pStyle w:val="Heading2"/>
        <w:spacing w:after="200" w:line="240" w:lineRule="auto"/>
      </w:pPr>
      <w:r>
        <w:t xml:space="preserve">Implementation Details and Clinical Translation</w:t>
      </w:r>
    </w:p>
    <w:p>
      <w:pPr>
        <w:spacing w:after="200" w:line="240" w:lineRule="auto"/>
      </w:pPr>
      <w:r>
        <w:t xml:space="preserve">The integration of multiple data sources enables comprehensive target evaluation that incorporates biological, chemical, and clinical considerations. This multifaceted approach ensures that prioritization decisions are grounded in robust evidence.</w:t>
      </w:r>
    </w:p>
    <w:p>
      <w:pPr>
        <w:spacing w:after="200" w:line="240" w:lineRule="auto"/>
      </w:pPr>
      <w:r>
        <w:t xml:space="preserve">Understanding target protein properties including size, domain structure, and post-translational modifications informs predictions about target druggability and therapeutic modality suitability.</w:t>
      </w:r>
    </w:p>
    <w:p>
      <w:pPr>
        <w:spacing w:after="200" w:line="240" w:lineRule="auto"/>
      </w:pPr>
      <w:r>
        <w:t xml:space="preserve">Cellular context strongly influences the consequences of target modulation, as different cell types may respond distinctly to the same target engagement.</w:t>
      </w:r>
    </w:p>
    <w:p>
      <w:pPr>
        <w:spacing w:after="200" w:line="240" w:lineRule="auto"/>
      </w:pPr>
      <w:r>
        <w:t xml:space="preserve">Gene expression patterns vary dramatically across tissues and developmental stages, influencing target accessibility and therapeutic selectivity.</w:t>
      </w:r>
    </w:p>
    <w:p>
      <w:pPr>
        <w:spacing w:after="200" w:line="240" w:lineRule="auto"/>
      </w:pPr>
      <w:r>
        <w:t xml:space="preserve">Functional redundancy between related protein family members influences the therapeutic selectivity and potency requirements for targeting specific genes.</w:t>
      </w:r>
    </w:p>
    <w:p>
      <w:pPr>
        <w:spacing w:after="200" w:line="240" w:lineRule="auto"/>
      </w:pPr>
      <w:r>
        <w:t xml:space="preserve">Pathway context analysis reveals how target modulation may influence related signaling cascades and cellular phenotypes.</w:t>
      </w:r>
    </w:p>
    <w:p>
      <w:pPr>
        <w:spacing w:after="200" w:line="240" w:lineRule="auto"/>
      </w:pPr>
      <w:r>
        <w:t xml:space="preserve">Disease-relevant cellular models provide more physiologically accurate assessment of target function compared to standard immortalized cell lines.</w:t>
      </w:r>
    </w:p>
    <w:p>
      <w:pPr>
        <w:spacing w:after="200" w:line="240" w:lineRule="auto"/>
      </w:pPr>
      <w:r>
        <w:t xml:space="preserve">Mechanistic understanding of target biology enables rational prediction of therapeutic mechanisms and potential off-target effects.</w:t>
      </w:r>
    </w:p>
    <w:p>
      <w:pPr>
        <w:spacing w:after="200" w:line="240" w:lineRule="auto"/>
      </w:pPr>
      <w:r>
        <w:t xml:space="preserve">Structural features including binding pocket accessibility directly influence the ease of developing potent small-molecule inhibitors.</w:t>
      </w:r>
    </w:p>
    <w:p>
      <w:pPr>
        <w:spacing w:after="200" w:line="240" w:lineRule="auto"/>
      </w:pPr>
      <w:r>
        <w:t xml:space="preserve">Pharmacokinetic properties determine achievable drug exposures in target tissues and influence therapeutic feasibility.</w:t>
      </w:r>
    </w:p>
    <w:p>
      <w:pPr>
        <w:spacing w:after="200" w:line="240" w:lineRule="auto"/>
      </w:pPr>
      <w:r>
        <w:t xml:space="preserve">BBB penetrance remains a critical determinant of therapeutic success for CNS-directed drugs.</w:t>
      </w:r>
    </w:p>
    <w:p>
      <w:pPr>
        <w:spacing w:after="200" w:line="240" w:lineRule="auto"/>
      </w:pPr>
      <w:r>
        <w:t xml:space="preserve">Target engagement kinetics influence the duration of action and dosing interval required for optimal therapeutic response.</w:t>
      </w:r>
    </w:p>
    <w:p>
      <w:pPr>
        <w:spacing w:after="200" w:line="240" w:lineRule="auto"/>
      </w:pPr>
      <w:r>
        <w:t xml:space="preserve">Cellular protein abundance influences the concentration of drug required to achieve defined engagement levels.</w:t>
      </w:r>
    </w:p>
    <w:p>
      <w:pPr>
        <w:spacing w:after="200" w:line="240" w:lineRule="auto"/>
      </w:pPr>
      <w:r>
        <w:t xml:space="preserve">Binding affinity alone does not predict in vivo efficacy, as multiple factors influence drug-target interactions in intact organisms.</w:t>
      </w:r>
    </w:p>
    <w:p>
      <w:pPr>
        <w:spacing w:after="200" w:line="240" w:lineRule="auto"/>
      </w:pPr>
      <w:r>
        <w:t xml:space="preserve">Safety assessment requires evaluation of on-target and off-target effects across the entire organism.</w:t>
      </w:r>
    </w:p>
    <w:p>
      <w:pPr>
        <w:spacing w:after="200" w:line="240" w:lineRule="auto"/>
      </w:pPr>
      <w:r>
        <w:t xml:space="preserve">Immune system activation may substantially influence therapeutic efficacy and safety of antibody-based therapeutics.</w:t>
      </w:r>
    </w:p>
    <w:p>
      <w:pPr>
        <w:spacing w:after="200" w:line="240" w:lineRule="auto"/>
      </w:pPr>
      <w:r>
        <w:t xml:space="preserve">Tissue distribution patterns influence whether therapeutics can achieve adequate concentrations in target tissues.</w:t>
      </w:r>
    </w:p>
    <w:p>
      <w:pPr>
        <w:spacing w:after="200" w:line="240" w:lineRule="auto"/>
      </w:pPr>
      <w:r>
        <w:t xml:space="preserve">Metabolic stability influences drug half-life and achievable steady-state exposures.</w:t>
      </w:r>
    </w:p>
    <w:p>
      <w:pPr>
        <w:spacing w:after="200" w:line="240" w:lineRule="auto"/>
      </w:pPr>
      <w:r>
        <w:t xml:space="preserve">Plasma protein binding substantially affects the free drug concentration available for target engagement.</w:t>
      </w:r>
    </w:p>
    <w:p>
      <w:pPr>
        <w:spacing w:after="200" w:line="240" w:lineRule="auto"/>
      </w:pPr>
      <w:r>
        <w:t xml:space="preserve">Renal and hepatic clearance determine the relationship between administered dose and systemic exposure.</w:t>
      </w:r>
    </w:p>
    <w:p>
      <w:pPr>
        <w:spacing w:after="200" w:line="240" w:lineRule="auto"/>
      </w:pPr>
      <w:r>
        <w:t xml:space="preserve">Transporter-mediated processes influence drug absorption, distribution, and elimination.</w:t>
      </w:r>
    </w:p>
    <w:p>
      <w:pPr>
        <w:spacing w:after="200" w:line="240" w:lineRule="auto"/>
      </w:pPr>
      <w:r>
        <w:t xml:space="preserve">Drug-drug interactions may substantially alter therapeutic drug exposures in patients receiving multiple medications.</w:t>
      </w:r>
    </w:p>
    <w:p>
      <w:pPr>
        <w:spacing w:after="200" w:line="240" w:lineRule="auto"/>
      </w:pPr>
      <w:r>
        <w:t xml:space="preserve">Genetic polymorphisms in drug-metabolizing enzymes influence interindividual variability in drug response.</w:t>
      </w:r>
    </w:p>
    <w:p>
      <w:pPr>
        <w:spacing w:after="200" w:line="240" w:lineRule="auto"/>
      </w:pPr>
      <w:r>
        <w:t xml:space="preserve">Age-related changes in pharmacokinetics influence therapeutic dosing in pediatric and geriatric populations.</w:t>
      </w:r>
    </w:p>
    <w:p>
      <w:pPr>
        <w:spacing w:after="200" w:line="240" w:lineRule="auto"/>
      </w:pPr>
      <w:r>
        <w:t xml:space="preserve">Sex differences in drug metabolism influence dosing strategies for some therapeutic agents.</w:t>
      </w:r>
    </w:p>
    <w:p>
      <w:pPr>
        <w:spacing w:after="200" w:line="240" w:lineRule="auto"/>
      </w:pPr>
      <w:r>
        <w:t xml:space="preserve">Disease pathophysiology influences both efficacy and safety of therapeutic interventions.</w:t>
      </w:r>
    </w:p>
    <w:p>
      <w:pPr>
        <w:spacing w:after="200" w:line="240" w:lineRule="auto"/>
      </w:pPr>
      <w:r>
        <w:t xml:space="preserve">Comorbid conditions often present in patient populations receiving therapeutics may influence drug response.</w:t>
      </w:r>
    </w:p>
    <w:p>
      <w:pPr>
        <w:spacing w:after="200" w:line="240" w:lineRule="auto"/>
      </w:pPr>
      <w:r>
        <w:t xml:space="preserve">Concomitant medications frequently influence therapeutic efficacy and safety through various mechanisms.</w:t>
      </w:r>
    </w:p>
    <w:p>
      <w:pPr>
        <w:spacing w:after="200" w:line="240" w:lineRule="auto"/>
      </w:pPr>
      <w:r>
        <w:t xml:space="preserve">Patient adherence to therapeutic regimens substantially influences real-world efficacy in clinical practice.</w:t>
      </w:r>
    </w:p>
    <w:p>
      <w:pPr>
        <w:spacing w:after="200" w:line="240" w:lineRule="auto"/>
      </w:pPr>
      <w:r>
        <w:t xml:space="preserve">Temporal dynamics of disease progression influence optimal timing and duration of therapeutic intervention.</w:t>
      </w:r>
    </w:p>
    <w:p>
      <w:pPr>
        <w:spacing w:after="200" w:line="240" w:lineRule="auto"/>
      </w:pPr>
      <w:r>
        <w:t xml:space="preserve">Biomarker-driven patient stratification enables selection of populations most likely to benefit from specific therapeutics.</w:t>
      </w:r>
    </w:p>
    <w:p>
      <w:pPr>
        <w:spacing w:after="200" w:line="240" w:lineRule="auto"/>
      </w:pPr>
      <w:r>
        <w:t xml:space="preserve">Companion diagnostics may enable identification of patients with specific molecular characteristics predictive of therapeutic response.</w:t>
      </w:r>
    </w:p>
    <w:p>
      <w:pPr>
        <w:spacing w:after="200" w:line="240" w:lineRule="auto"/>
      </w:pPr>
      <w:r>
        <w:t xml:space="preserve">Therapeutic drug monitoring enables optimization of individual dosing regimens based on measured drug concentrations.</w:t>
      </w:r>
    </w:p>
    <w:p>
      <w:pPr>
        <w:spacing w:after="200" w:line="240" w:lineRule="auto"/>
      </w:pPr>
      <w:r>
        <w:t xml:space="preserve">Pharmacogenomic testing enables prediction of individual responsiveness to therapeutics based on genetic polymorphisms.</w:t>
      </w:r>
    </w:p>
    <w:p>
      <w:pPr>
        <w:spacing w:after="200" w:line="240" w:lineRule="auto"/>
      </w:pPr>
      <w:r>
        <w:t xml:space="preserve">Clinical biomarkers linked to target engagement enable non-invasive assessment of pharmacodynamic effects.</w:t>
      </w:r>
    </w:p>
    <w:p>
      <w:pPr>
        <w:spacing w:after="200" w:line="240" w:lineRule="auto"/>
      </w:pPr>
      <w:r>
        <w:t xml:space="preserve">Surrogate efficacy endpoints often predict clinical outcomes while enabling more rapid assessment of therapeutic potential.</w:t>
      </w:r>
    </w:p>
    <w:p>
      <w:pPr>
        <w:spacing w:after="200" w:line="240" w:lineRule="auto"/>
      </w:pPr>
      <w:r>
        <w:t xml:space="preserve">Patient-reported outcomes provide important information regarding therapeutic benefits and tolerability in real-world populations.</w:t>
      </w:r>
    </w:p>
    <w:p>
      <w:pPr>
        <w:spacing w:after="200" w:line="240" w:lineRule="auto"/>
      </w:pPr>
      <w:r>
        <w:t xml:space="preserve">Quality of life assessments evaluate the net clinical benefit of therapeutics accounting for both efficacy and tolerability.</w:t>
      </w:r>
    </w:p>
    <w:p>
      <w:pPr>
        <w:spacing w:after="200" w:line="240" w:lineRule="auto"/>
      </w:pPr>
      <w:r>
        <w:t xml:space="preserve">Long-term safety monitoring post-market detects adverse effects that may not be apparent from premarket clinical trials.</w:t>
      </w:r>
    </w:p>
    <w:p>
      <w:pPr>
        <w:spacing w:after="200" w:line="240" w:lineRule="auto"/>
      </w:pPr>
      <w:r>
        <w:t xml:space="preserve">Pharmacovigilance systems enable rapid identification and characterization of unexpected adverse effects.</w:t>
      </w:r>
    </w:p>
    <w:p>
      <w:pPr>
        <w:spacing w:after="200" w:line="240" w:lineRule="auto"/>
      </w:pPr>
      <w:r>
        <w:t xml:space="preserve">Risk management programs establish systems to minimize serious adverse effects while preserving therapeutic benefits.</w:t>
      </w:r>
    </w:p>
    <w:p>
      <w:pPr>
        <w:spacing w:after="200" w:line="240" w:lineRule="auto"/>
      </w:pPr>
      <w:r>
        <w:t xml:space="preserve">Drug-disease interactions require careful assessment to ensure therapeutic appropriateness for individual patients.</w:t>
      </w:r>
    </w:p>
    <w:p>
      <w:pPr>
        <w:spacing w:after="200" w:line="240" w:lineRule="auto"/>
      </w:pPr>
      <w:r>
        <w:t xml:space="preserve">Combination therapy approaches may enhance efficacy while reducing individual drug requirements and adverse effects.</w:t>
      </w:r>
    </w:p>
    <w:p>
      <w:pPr>
        <w:spacing w:after="200" w:line="240" w:lineRule="auto"/>
      </w:pPr>
      <w:r>
        <w:t xml:space="preserve">Sequential therapy strategies enable optimization of temporal drug administration patterns.</w:t>
      </w:r>
    </w:p>
    <w:p>
      <w:pPr>
        <w:spacing w:after="200" w:line="240" w:lineRule="auto"/>
      </w:pPr>
      <w:r>
        <w:t xml:space="preserve">Adaptive dosing regimens enable individualization of therapeutic doses based on patient characteristics and response.</w:t>
      </w:r>
    </w:p>
    <w:p>
      <w:pPr>
        <w:spacing w:after="200" w:line="240" w:lineRule="auto"/>
      </w:pPr>
      <w:r>
        <w:t xml:space="preserve">Drug resistance mechanisms may develop over time, requiring transition to alternative therapeutics or combination approaches.</w:t>
      </w:r>
    </w:p>
    <w:p>
      <w:pPr>
        <w:spacing w:after="200" w:line="240" w:lineRule="auto"/>
      </w:pPr>
      <w:r>
        <w:t xml:space="preserve">Disease progression despite therapeutic intervention may require escalation or modification of treatment strategies.</w:t>
      </w:r>
    </w:p>
    <w:p>
      <w:pPr>
        <w:spacing w:after="200" w:line="240" w:lineRule="auto"/>
      </w:pPr>
      <w:r>
        <w:t xml:space="preserve">Therapeutic switching enables optimization of therapeutic response through systematic evaluation of alternative agents.</w:t>
      </w:r>
    </w:p>
    <w:p>
      <w:pPr>
        <w:spacing w:after="200" w:line="240" w:lineRule="auto"/>
      </w:pPr>
      <w:r>
        <w:t xml:space="preserve">Healthcare system factors including drug accessibility and cost influence real-world therapeutic utilization patterns.</w:t>
      </w:r>
    </w:p>
    <w:p>
      <w:pPr>
        <w:spacing w:after="200" w:line="240" w:lineRule="auto"/>
      </w:pPr>
      <w:r>
        <w:t xml:space="preserve">Regulatory approval processes ensure therapeutic safety and efficacy while enabling timely patient access to new treatments.</w:t>
      </w:r>
    </w:p>
    <w:p>
      <w:pPr>
        <w:spacing w:after="200" w:line="240" w:lineRule="auto"/>
      </w:pPr>
      <w:r>
        <w:t xml:space="preserve">Post-market surveillance enables ongoing assessment of therapeutic safety in large diverse patient populations.</w:t>
      </w:r>
    </w:p>
    <w:p>
      <w:pPr>
        <w:spacing w:after="200" w:line="240" w:lineRule="auto"/>
      </w:pPr>
      <w:r>
        <w:t xml:space="preserve">Pharmacoepidemiology studies provide information regarding therapeutic effectiveness in real-world clinical practice.</w:t>
      </w:r>
    </w:p>
    <w:p>
      <w:pPr>
        <w:spacing w:after="200" w:line="240" w:lineRule="auto"/>
      </w:pPr>
      <w:r>
        <w:t xml:space="preserve">Health economic analyses evaluate cost-effectiveness and enable optimal allocation of healthcare resources.</w:t>
      </w:r>
    </w:p>
    <w:p>
      <w:pPr>
        <w:spacing w:after="200" w:line="240" w:lineRule="auto"/>
      </w:pPr>
      <w:r>
        <w:t xml:space="preserve">Rapid target validation through multiple modalities accelerates the transition from discovery to clinical development.</w:t>
      </w:r>
    </w:p>
    <w:p>
      <w:pPr>
        <w:spacing w:after="200" w:line="240" w:lineRule="auto"/>
      </w:pPr>
      <w:r>
        <w:t xml:space="preserve">Integrated data platforms consolidate multi-omics information with clinical outcomes for comprehensive target evaluation.</w:t>
      </w:r>
    </w:p>
    <w:p>
      <w:pPr>
        <w:spacing w:after="200" w:line="240" w:lineRule="auto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All outputs include structured data tables, quantitative rankings, supporting visualizations, and narrative summaries explaining critical parameters and recommendations for each target.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2026-03-01T18:01:24.052Z</dcterms:created>
  <dcterms:modified xsi:type="dcterms:W3CDTF">2026-03-01T18:01:24.052Z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