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bCs/>
        </w:rPr>
        <w:t xml:space="preserve">Prompt: "Identify compounds whose Quiver profile resembles known neurotoxic agents."</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The Sapphire Pipeline 108 is designed to systematically identify compounds within Quiver Bioscience's drug discovery platform that exhibit molecular and behavioral profiles consistent with known neurotoxic agents. This pipeline integrates multi-dimensional chemical space analysis, pharmacological mechanism classification, and phenotypic correlation algorithms to flag compounds of concern during early-stage screening. By comparing candidate molecules against a curated knowledge base of neurotoxic reference compounds, the pipeline enables rapid risk assessment and supports informed decision-making for lead optimization and candidate selection.</w:t>
      </w:r>
    </w:p>
    <w:p>
      <w:pPr>
        <w:spacing w:after="200" w:line="360"/>
      </w:pPr>
      <w:r>
        <w:t xml:space="preserve">The workflow employs sequential computational stages that progressively filter, characterize, and compare compounds, ultimately generating a prioritized list of structural and mechanistic alerts. Each stage is grounded in established chemoinformatics, pharmacophore modeling, and toxicology databases, ensuring scientific rigor and regulatory compliance. The pipeline outputs are designed for both computational validation and expert review, enabling both automated risk flagging and human-informed safety assessment.</w:t>
      </w:r>
    </w:p>
    <w:p>
      <w:pPr>
        <w:pStyle w:val="Heading2"/>
      </w:pPr>
      <w:r>
        <w:t xml:space="preserve">Stage 1: Compound Ingestion &amp; Feature Extraction</w:t>
      </w:r>
    </w:p>
    <w:p>
      <w:pPr>
        <w:spacing w:after="200" w:line="360"/>
      </w:pPr>
      <w:r>
        <w:rPr>
          <w:b/>
          <w:bCs/>
        </w:rPr>
        <w:t xml:space="preserve">Purpose: </w:t>
      </w:r>
      <w:r>
        <w:t xml:space="preserve">Ingest query compounds and extract comprehensive molecular descriptors, including physicochemical properties, topological features, and structural fingerprints required for downstream similarity comparisons and mechanism classification.</w:t>
      </w:r>
    </w:p>
    <w:p>
      <w:pPr>
        <w:spacing w:after="100"/>
      </w:pPr>
      <w:r>
        <w:rPr>
          <w:b/>
          <w:bCs/>
        </w:rPr>
        <w:t xml:space="preserve">Inputs:</w:t>
      </w:r>
    </w:p>
    <w:p>
      <w:pPr>
        <w:pStyle w:val="ListParagraph"/>
        <w:numPr>
          <w:ilvl w:val="0"/>
          <w:numId w:val="2"/>
        </w:numPr>
        <w:spacing w:after="100"/>
      </w:pPr>
      <w:r>
        <w:t xml:space="preserve">Candidate compound set (SMILES, IUPAC names, or SDF files)</w:t>
      </w:r>
    </w:p>
    <w:p>
      <w:pPr>
        <w:pStyle w:val="ListParagraph"/>
        <w:numPr>
          <w:ilvl w:val="0"/>
          <w:numId w:val="2"/>
        </w:numPr>
        <w:spacing w:after="100"/>
      </w:pPr>
      <w:r>
        <w:t xml:space="preserve">Molecular weight, logP, hydrogen bond donors/acceptors, rotatable bonds</w:t>
      </w:r>
    </w:p>
    <w:p>
      <w:pPr>
        <w:pStyle w:val="ListParagraph"/>
        <w:numPr>
          <w:ilvl w:val="0"/>
          <w:numId w:val="2"/>
        </w:numPr>
        <w:spacing w:after="100"/>
      </w:pPr>
      <w:r>
        <w:t xml:space="preserve">2D and 3D molecular fingerprints (Morgan, ECFP, topological hashing)</w:t>
      </w:r>
    </w:p>
    <w:p>
      <w:pPr>
        <w:pStyle w:val="ListParagraph"/>
        <w:numPr>
          <w:ilvl w:val="0"/>
          <w:numId w:val="2"/>
        </w:numPr>
        <w:spacing w:after="100"/>
      </w:pPr>
      <w:r>
        <w:t xml:space="preserve">Predicted metabolic stability and CYP450 interaction profiles</w:t>
      </w:r>
    </w:p>
    <w:p>
      <w:pPr>
        <w:pStyle w:val="ListParagraph"/>
        <w:numPr>
          <w:ilvl w:val="0"/>
          <w:numId w:val="2"/>
        </w:numPr>
        <w:spacing w:after="100"/>
      </w:pPr>
      <w:r>
        <w:t xml:space="preserve">BBB penetration likelihood and plasma protein binding estimates</w:t>
      </w:r>
    </w:p>
    <w:p>
      <w:pPr>
        <w:spacing w:after="100"/>
      </w:pPr>
      <w:r>
        <w:rPr>
          <w:b/>
          <w:bCs/>
        </w:rPr>
        <w:t xml:space="preserve">Tools &amp; Databases Called:</w:t>
      </w:r>
    </w:p>
    <w:p>
      <w:pPr>
        <w:pStyle w:val="ListParagraph"/>
        <w:numPr>
          <w:ilvl w:val="0"/>
          <w:numId w:val="2"/>
        </w:numPr>
        <w:spacing w:after="100"/>
      </w:pPr>
      <w:r>
        <w:rPr>
          <w:b/>
          <w:bCs/>
        </w:rPr>
        <w:t xml:space="preserve">RDKit: </w:t>
      </w:r>
      <w:r>
        <w:t xml:space="preserve">Open-source cheminformatics toolkit for molecular structure parsing and descriptor computation</w:t>
      </w:r>
    </w:p>
    <w:p>
      <w:pPr>
        <w:pStyle w:val="ListParagraph"/>
        <w:numPr>
          <w:ilvl w:val="0"/>
          <w:numId w:val="2"/>
        </w:numPr>
        <w:spacing w:after="100"/>
      </w:pPr>
      <w:r>
        <w:rPr>
          <w:b/>
          <w:bCs/>
        </w:rPr>
        <w:t xml:space="preserve">Quiver ChemSpace: </w:t>
      </w:r>
      <w:r>
        <w:t xml:space="preserve">Internal Quiver Bioscience database of proprietary compound library with pre-calculated descriptors</w:t>
      </w:r>
    </w:p>
    <w:p>
      <w:pPr>
        <w:pStyle w:val="ListParagraph"/>
        <w:numPr>
          <w:ilvl w:val="0"/>
          <w:numId w:val="2"/>
        </w:numPr>
        <w:spacing w:after="100"/>
      </w:pPr>
      <w:r>
        <w:rPr>
          <w:b/>
          <w:bCs/>
        </w:rPr>
        <w:t xml:space="preserve">PubChem API: </w:t>
      </w:r>
      <w:r>
        <w:t xml:space="preserve">Public chemical structure database for compound validation and cross-referencing</w:t>
      </w:r>
    </w:p>
    <w:p>
      <w:pPr>
        <w:pStyle w:val="ListParagraph"/>
        <w:numPr>
          <w:ilvl w:val="0"/>
          <w:numId w:val="2"/>
        </w:numPr>
        <w:spacing w:after="100"/>
      </w:pPr>
      <w:r>
        <w:rPr>
          <w:b/>
          <w:bCs/>
        </w:rPr>
        <w:t xml:space="preserve">OSIRIS Property Explorer: </w:t>
      </w:r>
      <w:r>
        <w:t xml:space="preserve">Descriptor calculation for drug-likeness and toxicity prediction</w:t>
      </w:r>
    </w:p>
    <w:p>
      <w:pPr>
        <w:pStyle w:val="ListParagraph"/>
        <w:numPr>
          <w:ilvl w:val="0"/>
          <w:numId w:val="2"/>
        </w:numPr>
        <w:spacing w:after="100"/>
      </w:pPr>
      <w:r>
        <w:rPr>
          <w:b/>
          <w:bCs/>
        </w:rPr>
        <w:t xml:space="preserve">SwissADME: </w:t>
      </w:r>
      <w:r>
        <w:t xml:space="preserve">Web-based tool for ADMET prediction and bioavailability assessment</w:t>
      </w:r>
    </w:p>
    <w:p>
      <w:pPr>
        <w:pStyle w:val="ListParagraph"/>
        <w:numPr>
          <w:ilvl w:val="0"/>
          <w:numId w:val="2"/>
        </w:numPr>
        <w:spacing w:after="100"/>
      </w:pPr>
      <w:r>
        <w:rPr>
          <w:b/>
          <w:bCs/>
        </w:rPr>
        <w:t xml:space="preserve">Pipeline Pilot: </w:t>
      </w:r>
      <w:r>
        <w:t xml:space="preserve">Enterprise workflow automation for batch descriptor calculation and data normalization</w:t>
      </w:r>
    </w:p>
    <w:p>
      <w:pPr>
        <w:spacing w:after="100"/>
      </w:pPr>
      <w:r>
        <w:rPr>
          <w:b/>
          <w:bCs/>
        </w:rPr>
        <w:t xml:space="preserve">Exemplary Sub-Prompts:</w:t>
      </w:r>
    </w:p>
    <w:p>
      <w:pPr>
        <w:pStyle w:val="ListParagraph"/>
        <w:numPr>
          <w:ilvl w:val="0"/>
          <w:numId w:val="2"/>
        </w:numPr>
        <w:spacing w:after="100"/>
      </w:pPr>
      <w:r>
        <w:t xml:space="preserve">Calculate Morgan fingerprints (radius=2) for all query compounds and store as bit vectors.</w:t>
      </w:r>
    </w:p>
    <w:p>
      <w:pPr>
        <w:pStyle w:val="ListParagraph"/>
        <w:numPr>
          <w:ilvl w:val="0"/>
          <w:numId w:val="2"/>
        </w:numPr>
        <w:spacing w:after="100"/>
      </w:pPr>
      <w:r>
        <w:t xml:space="preserve">Compute logP, molecular weight, and polar surface area for BBB permeability prediction.</w:t>
      </w:r>
    </w:p>
    <w:p>
      <w:pPr>
        <w:pStyle w:val="ListParagraph"/>
        <w:numPr>
          <w:ilvl w:val="0"/>
          <w:numId w:val="2"/>
        </w:numPr>
        <w:spacing w:after="100"/>
      </w:pPr>
      <w:r>
        <w:t xml:space="preserve">Identify potential metabolic liabilities via CYP3A4, CYP2D6, and CYP2C9 binding prediction.</w:t>
      </w:r>
    </w:p>
    <w:p>
      <w:pPr>
        <w:pStyle w:val="ListParagraph"/>
        <w:numPr>
          <w:ilvl w:val="0"/>
          <w:numId w:val="2"/>
        </w:numPr>
        <w:spacing w:after="100"/>
      </w:pPr>
      <w:r>
        <w:t xml:space="preserve">Extract topological and geometric isomerism information for structural canonicalization.</w:t>
      </w:r>
    </w:p>
    <w:p>
      <w:pPr>
        <w:pStyle w:val="ListParagraph"/>
        <w:numPr>
          <w:ilvl w:val="0"/>
          <w:numId w:val="2"/>
        </w:numPr>
        <w:spacing w:after="100"/>
      </w:pPr>
      <w:r>
        <w:t xml:space="preserve">Validate all SMILES strings and flag any malformed chemical structures for manual curation.</w:t>
      </w:r>
    </w:p>
    <w:p>
      <w:pPr>
        <w:spacing w:after="100"/>
      </w:pPr>
      <w:r>
        <w:rPr>
          <w:b/>
          <w:bCs/>
        </w:rPr>
        <w:t xml:space="preserve">Expected Outputs:</w:t>
      </w:r>
    </w:p>
    <w:p>
      <w:pPr>
        <w:pStyle w:val="ListParagraph"/>
        <w:numPr>
          <w:ilvl w:val="0"/>
          <w:numId w:val="2"/>
        </w:numPr>
        <w:spacing w:after="100"/>
      </w:pPr>
      <w:r>
        <w:t xml:space="preserve">Standardized molecular feature matrix (rows=compounds, columns=descriptors)</w:t>
      </w:r>
    </w:p>
    <w:p>
      <w:pPr>
        <w:pStyle w:val="ListParagraph"/>
        <w:numPr>
          <w:ilvl w:val="0"/>
          <w:numId w:val="2"/>
        </w:numPr>
        <w:spacing w:after="100"/>
      </w:pPr>
      <w:r>
        <w:t xml:space="preserve">Fingerprint vectors suitable for similarity searching and clustering</w:t>
      </w:r>
    </w:p>
    <w:p>
      <w:pPr>
        <w:pStyle w:val="ListParagraph"/>
        <w:numPr>
          <w:ilvl w:val="0"/>
          <w:numId w:val="2"/>
        </w:numPr>
        <w:spacing w:after="100"/>
      </w:pPr>
      <w:r>
        <w:t xml:space="preserve">ADMET prediction scores including BBB permeability, plasma binding, and metabolic stability</w:t>
      </w:r>
    </w:p>
    <w:p>
      <w:pPr>
        <w:pStyle w:val="ListParagraph"/>
        <w:numPr>
          <w:ilvl w:val="0"/>
          <w:numId w:val="2"/>
        </w:numPr>
        <w:spacing w:after="100"/>
      </w:pPr>
      <w:r>
        <w:t xml:space="preserve">Quality control report flagging structural anomalies or missing data</w:t>
      </w:r>
    </w:p>
    <w:p>
      <w:pPr>
        <w:pStyle w:val="ListParagraph"/>
        <w:numPr>
          <w:ilvl w:val="0"/>
          <w:numId w:val="2"/>
        </w:numPr>
        <w:spacing w:after="100"/>
      </w:pPr>
      <w:r>
        <w:t xml:space="preserve">Canonical SMILES and InChI representations for all validated compounds</w:t>
      </w:r>
    </w:p>
    <w:p>
      <w:pPr>
        <w:pStyle w:val="ListParagraph"/>
        <w:numPr>
          <w:ilvl w:val="0"/>
          <w:numId w:val="2"/>
        </w:numPr>
        <w:spacing w:after="100"/>
      </w:pPr>
      <w:r>
        <w:t xml:space="preserve">Metadata linking each compound to source library, batch, and experimental context</w:t>
      </w:r>
    </w:p>
    <w:p>
      <w:pPr>
        <w:spacing w:after="200" w:line="360"/>
      </w:pPr>
      <w:r>
        <w:rPr>
          <w:b/>
          <w:bCs/>
        </w:rPr>
        <w:t xml:space="preserve">Format: </w:t>
      </w:r>
      <w:r>
        <w:t xml:space="preserve">Structured data tables (CSV/HDF5) with compound identifiers as primary keys and descriptor columns as features; metadata in JSON format for lineage tracking.</w:t>
      </w:r>
    </w:p>
    <w:p>
      <w:pPr>
        <w:pStyle w:val="Heading2"/>
      </w:pPr>
      <w:r>
        <w:t xml:space="preserve">Stage 2: Neurotoxicity Reference Library Assembly</w:t>
      </w:r>
    </w:p>
    <w:p>
      <w:pPr>
        <w:spacing w:after="200" w:line="360"/>
      </w:pPr>
      <w:r>
        <w:rPr>
          <w:b/>
          <w:bCs/>
        </w:rPr>
        <w:t xml:space="preserve">Purpose: </w:t>
      </w:r>
      <w:r>
        <w:t xml:space="preserve">Curate and assemble a comprehensive reference library of known neurotoxic agents, including their molecular descriptors, mechanism of action, and phenotypic signatures, against which candidate compounds will be compared.</w:t>
      </w:r>
    </w:p>
    <w:p>
      <w:pPr>
        <w:spacing w:after="100"/>
      </w:pPr>
      <w:r>
        <w:rPr>
          <w:b/>
          <w:bCs/>
        </w:rPr>
        <w:t xml:space="preserve">Inputs:</w:t>
      </w:r>
    </w:p>
    <w:p>
      <w:pPr>
        <w:pStyle w:val="ListParagraph"/>
        <w:numPr>
          <w:ilvl w:val="0"/>
          <w:numId w:val="2"/>
        </w:numPr>
        <w:spacing w:after="100"/>
      </w:pPr>
      <w:r>
        <w:t xml:space="preserve">Known neurotoxic reference compounds (e.g., 6-OHDA, MPP+, rotenone, acrylamide, methyl-n-butyl ketone)</w:t>
      </w:r>
    </w:p>
    <w:p>
      <w:pPr>
        <w:pStyle w:val="ListParagraph"/>
        <w:numPr>
          <w:ilvl w:val="0"/>
          <w:numId w:val="2"/>
        </w:numPr>
        <w:spacing w:after="100"/>
      </w:pPr>
      <w:r>
        <w:t xml:space="preserve">Published neurotoxicity literature and adverse event databases (FDA, EMA, PubMed)</w:t>
      </w:r>
    </w:p>
    <w:p>
      <w:pPr>
        <w:pStyle w:val="ListParagraph"/>
        <w:numPr>
          <w:ilvl w:val="0"/>
          <w:numId w:val="2"/>
        </w:numPr>
        <w:spacing w:after="100"/>
      </w:pPr>
      <w:r>
        <w:t xml:space="preserve">Mechanism of action classifications (mitochondrial dysfunction, oxidative stress, proteasomal inhibition, etc.)</w:t>
      </w:r>
    </w:p>
    <w:p>
      <w:pPr>
        <w:pStyle w:val="ListParagraph"/>
        <w:numPr>
          <w:ilvl w:val="0"/>
          <w:numId w:val="2"/>
        </w:numPr>
        <w:spacing w:after="100"/>
      </w:pPr>
      <w:r>
        <w:t xml:space="preserve">Cellular and animal model phenotypes associated with each neurotoxic agent</w:t>
      </w:r>
    </w:p>
    <w:p>
      <w:pPr>
        <w:pStyle w:val="ListParagraph"/>
        <w:numPr>
          <w:ilvl w:val="0"/>
          <w:numId w:val="2"/>
        </w:numPr>
        <w:spacing w:after="100"/>
      </w:pPr>
      <w:r>
        <w:t xml:space="preserve">Quantitative toxicity measures (LD50, IC50, NOEL values across multiple biological assays)</w:t>
      </w:r>
    </w:p>
    <w:p>
      <w:pPr>
        <w:spacing w:after="100"/>
      </w:pPr>
      <w:r>
        <w:rPr>
          <w:b/>
          <w:bCs/>
        </w:rPr>
        <w:t xml:space="preserve">Tools &amp; Databases Called:</w:t>
      </w:r>
    </w:p>
    <w:p>
      <w:pPr>
        <w:pStyle w:val="ListParagraph"/>
        <w:numPr>
          <w:ilvl w:val="0"/>
          <w:numId w:val="2"/>
        </w:numPr>
        <w:spacing w:after="100"/>
      </w:pPr>
      <w:r>
        <w:rPr>
          <w:b/>
          <w:bCs/>
        </w:rPr>
        <w:t xml:space="preserve">Tox21 Database: </w:t>
      </w:r>
      <w:r>
        <w:t xml:space="preserve">NIH/NCBI repository of high-throughput toxicology screening data across multiple targets</w:t>
      </w:r>
    </w:p>
    <w:p>
      <w:pPr>
        <w:pStyle w:val="ListParagraph"/>
        <w:numPr>
          <w:ilvl w:val="0"/>
          <w:numId w:val="2"/>
        </w:numPr>
        <w:spacing w:after="100"/>
      </w:pPr>
      <w:r>
        <w:rPr>
          <w:b/>
          <w:bCs/>
        </w:rPr>
        <w:t xml:space="preserve">DrugBank: </w:t>
      </w:r>
      <w:r>
        <w:t xml:space="preserve">Comprehensive drug and toxicity database with adverse event and mechanism annotations</w:t>
      </w:r>
    </w:p>
    <w:p>
      <w:pPr>
        <w:pStyle w:val="ListParagraph"/>
        <w:numPr>
          <w:ilvl w:val="0"/>
          <w:numId w:val="2"/>
        </w:numPr>
        <w:spacing w:after="100"/>
      </w:pPr>
      <w:r>
        <w:rPr>
          <w:b/>
          <w:bCs/>
        </w:rPr>
        <w:t xml:space="preserve">PubChem Bioassay: </w:t>
      </w:r>
      <w:r>
        <w:t xml:space="preserve">Large-scale bioactivity and toxicity screening results from academic and pharmaceutical sources</w:t>
      </w:r>
    </w:p>
    <w:p>
      <w:pPr>
        <w:pStyle w:val="ListParagraph"/>
        <w:numPr>
          <w:ilvl w:val="0"/>
          <w:numId w:val="2"/>
        </w:numPr>
        <w:spacing w:after="100"/>
      </w:pPr>
      <w:r>
        <w:rPr>
          <w:b/>
          <w:bCs/>
        </w:rPr>
        <w:t xml:space="preserve">CompTox Dashboard: </w:t>
      </w:r>
      <w:r>
        <w:t xml:space="preserve">EPA's integrated platform for chemical hazard and toxicological characterization</w:t>
      </w:r>
    </w:p>
    <w:p>
      <w:pPr>
        <w:pStyle w:val="ListParagraph"/>
        <w:numPr>
          <w:ilvl w:val="0"/>
          <w:numId w:val="2"/>
        </w:numPr>
        <w:spacing w:after="100"/>
      </w:pPr>
      <w:r>
        <w:rPr>
          <w:b/>
          <w:bCs/>
        </w:rPr>
        <w:t xml:space="preserve">Neurotoxicity Atlas (Quiver Internal): </w:t>
      </w:r>
      <w:r>
        <w:t xml:space="preserve">Proprietary curated compilation of neurotoxic agents with validated experimental data</w:t>
      </w:r>
    </w:p>
    <w:p>
      <w:pPr>
        <w:pStyle w:val="ListParagraph"/>
        <w:numPr>
          <w:ilvl w:val="0"/>
          <w:numId w:val="2"/>
        </w:numPr>
        <w:spacing w:after="100"/>
      </w:pPr>
      <w:r>
        <w:rPr>
          <w:b/>
          <w:bCs/>
        </w:rPr>
        <w:t xml:space="preserve">KEGG Pathways: </w:t>
      </w:r>
      <w:r>
        <w:t xml:space="preserve">Pathway database linking chemical structures to known biological mechanisms</w:t>
      </w:r>
    </w:p>
    <w:p>
      <w:pPr>
        <w:spacing w:after="100"/>
      </w:pPr>
      <w:r>
        <w:rPr>
          <w:b/>
          <w:bCs/>
        </w:rPr>
        <w:t xml:space="preserve">Exemplary Sub-Prompts:</w:t>
      </w:r>
    </w:p>
    <w:p>
      <w:pPr>
        <w:pStyle w:val="ListParagraph"/>
        <w:numPr>
          <w:ilvl w:val="0"/>
          <w:numId w:val="2"/>
        </w:numPr>
        <w:spacing w:after="100"/>
      </w:pPr>
      <w:r>
        <w:t xml:space="preserve">Extract all compounds flagged with neurotoxic, parkinsonism, or neurodegenerative adverse events from Tox21 and DrugBank.</w:t>
      </w:r>
    </w:p>
    <w:p>
      <w:pPr>
        <w:pStyle w:val="ListParagraph"/>
        <w:numPr>
          <w:ilvl w:val="0"/>
          <w:numId w:val="2"/>
        </w:numPr>
        <w:spacing w:after="100"/>
      </w:pPr>
      <w:r>
        <w:t xml:space="preserve">Compile descriptor profiles for 50+ well-characterized neurotoxic agents (6-OHDA, MPP+, paraquat, rotenone, etc.).</w:t>
      </w:r>
    </w:p>
    <w:p>
      <w:pPr>
        <w:pStyle w:val="ListParagraph"/>
        <w:numPr>
          <w:ilvl w:val="0"/>
          <w:numId w:val="2"/>
        </w:numPr>
        <w:spacing w:after="100"/>
      </w:pPr>
      <w:r>
        <w:t xml:space="preserve">Assign mechanism of action labels (MOA) to each reference compound based on literature consensus.</w:t>
      </w:r>
    </w:p>
    <w:p>
      <w:pPr>
        <w:pStyle w:val="ListParagraph"/>
        <w:numPr>
          <w:ilvl w:val="0"/>
          <w:numId w:val="2"/>
        </w:numPr>
        <w:spacing w:after="100"/>
      </w:pPr>
      <w:r>
        <w:t xml:space="preserve">Retrieve quantitative toxicity values (IC50, LD50, EC50) for reference compounds from PubChem Bioassay.</w:t>
      </w:r>
    </w:p>
    <w:p>
      <w:pPr>
        <w:pStyle w:val="ListParagraph"/>
        <w:numPr>
          <w:ilvl w:val="0"/>
          <w:numId w:val="2"/>
        </w:numPr>
        <w:spacing w:after="100"/>
      </w:pPr>
      <w:r>
        <w:t xml:space="preserve">Cross-validate reference library against published Parkinson's disease and ALS drug-induced phenotypes.</w:t>
      </w:r>
    </w:p>
    <w:p>
      <w:pPr>
        <w:spacing w:after="100"/>
      </w:pPr>
      <w:r>
        <w:rPr>
          <w:b/>
          <w:bCs/>
        </w:rPr>
        <w:t xml:space="preserve">Expected Outputs:</w:t>
      </w:r>
    </w:p>
    <w:p>
      <w:pPr>
        <w:pStyle w:val="ListParagraph"/>
        <w:numPr>
          <w:ilvl w:val="0"/>
          <w:numId w:val="2"/>
        </w:numPr>
        <w:spacing w:after="100"/>
      </w:pPr>
      <w:r>
        <w:t xml:space="preserve">Curated reference library containing ~50-100 well-characterized neurotoxic compounds with full molecular and toxicological metadata</w:t>
      </w:r>
    </w:p>
    <w:p>
      <w:pPr>
        <w:pStyle w:val="ListParagraph"/>
        <w:numPr>
          <w:ilvl w:val="0"/>
          <w:numId w:val="2"/>
        </w:numPr>
        <w:spacing w:after="100"/>
      </w:pPr>
      <w:r>
        <w:t xml:space="preserve">Mechanism of action classification matrix linking compounds to known pathways (mitochondrial dysfunction, oxidative stress, etc.)</w:t>
      </w:r>
    </w:p>
    <w:p>
      <w:pPr>
        <w:pStyle w:val="ListParagraph"/>
        <w:numPr>
          <w:ilvl w:val="0"/>
          <w:numId w:val="2"/>
        </w:numPr>
        <w:spacing w:after="100"/>
      </w:pPr>
      <w:r>
        <w:t xml:space="preserve">Phenotypic signature database with cell death profiles, mitochondrial metrics, and neuroinflammatory markers</w:t>
      </w:r>
    </w:p>
    <w:p>
      <w:pPr>
        <w:pStyle w:val="ListParagraph"/>
        <w:numPr>
          <w:ilvl w:val="0"/>
          <w:numId w:val="2"/>
        </w:numPr>
        <w:spacing w:after="100"/>
      </w:pPr>
      <w:r>
        <w:t xml:space="preserve">Quantitative toxicity parameters (LD50, IC50, EC50, NOEL) standardized across assay platforms</w:t>
      </w:r>
    </w:p>
    <w:p>
      <w:pPr>
        <w:pStyle w:val="ListParagraph"/>
        <w:numPr>
          <w:ilvl w:val="0"/>
          <w:numId w:val="2"/>
        </w:numPr>
        <w:spacing w:after="100"/>
      </w:pPr>
      <w:r>
        <w:t xml:space="preserve">Structural fingerprints and descriptor vectors for all reference compounds, matched to Stage 1 formats</w:t>
      </w:r>
    </w:p>
    <w:p>
      <w:pPr>
        <w:pStyle w:val="ListParagraph"/>
        <w:numPr>
          <w:ilvl w:val="0"/>
          <w:numId w:val="2"/>
        </w:numPr>
        <w:spacing w:after="100"/>
      </w:pPr>
      <w:r>
        <w:t xml:space="preserve">Literature citations and data provenance documentation for validation and regulatory submission</w:t>
      </w:r>
    </w:p>
    <w:p>
      <w:pPr>
        <w:spacing w:after="200" w:line="360"/>
      </w:pPr>
      <w:r>
        <w:rPr>
          <w:b/>
          <w:bCs/>
        </w:rPr>
        <w:t xml:space="preserve">Format: </w:t>
      </w:r>
      <w:r>
        <w:t xml:space="preserve">Relational database tables (SQL) with structured toxicology records; descriptors in standardized matrix format compatible with Stage 1 outputs.</w:t>
      </w:r>
    </w:p>
    <w:p>
      <w:pPr>
        <w:pStyle w:val="Heading2"/>
      </w:pPr>
      <w:r>
        <w:t xml:space="preserve">Stage 3: Molecular Similarity Comparison</w:t>
      </w:r>
    </w:p>
    <w:p>
      <w:pPr>
        <w:spacing w:after="200" w:line="360"/>
      </w:pPr>
      <w:r>
        <w:rPr>
          <w:b/>
          <w:bCs/>
        </w:rPr>
        <w:t xml:space="preserve">Purpose: </w:t>
      </w:r>
      <w:r>
        <w:t xml:space="preserve">Perform systematic similarity searching using multiple fingerprint and descriptor-based methods to identify candidate compounds structurally or pharmacologically similar to known neurotoxic reference agents.</w:t>
      </w:r>
    </w:p>
    <w:p>
      <w:pPr>
        <w:spacing w:after="100"/>
      </w:pPr>
      <w:r>
        <w:rPr>
          <w:b/>
          <w:bCs/>
        </w:rPr>
        <w:t xml:space="preserve">Inputs:</w:t>
      </w:r>
    </w:p>
    <w:p>
      <w:pPr>
        <w:pStyle w:val="ListParagraph"/>
        <w:numPr>
          <w:ilvl w:val="0"/>
          <w:numId w:val="2"/>
        </w:numPr>
        <w:spacing w:after="100"/>
      </w:pPr>
      <w:r>
        <w:t xml:space="preserve">Candidate compound descriptors and fingerprints from Stage 1</w:t>
      </w:r>
    </w:p>
    <w:p>
      <w:pPr>
        <w:pStyle w:val="ListParagraph"/>
        <w:numPr>
          <w:ilvl w:val="0"/>
          <w:numId w:val="2"/>
        </w:numPr>
        <w:spacing w:after="100"/>
      </w:pPr>
      <w:r>
        <w:t xml:space="preserve">Neurotoxic reference compound descriptors and fingerprints from Stage 2</w:t>
      </w:r>
    </w:p>
    <w:p>
      <w:pPr>
        <w:pStyle w:val="ListParagraph"/>
        <w:numPr>
          <w:ilvl w:val="0"/>
          <w:numId w:val="2"/>
        </w:numPr>
        <w:spacing w:after="100"/>
      </w:pPr>
      <w:r>
        <w:t xml:space="preserve">Similarity metrics and thresholds (Tanimoto, Euclidean distance, cosine similarity)</w:t>
      </w:r>
    </w:p>
    <w:p>
      <w:pPr>
        <w:pStyle w:val="ListParagraph"/>
        <w:numPr>
          <w:ilvl w:val="0"/>
          <w:numId w:val="2"/>
        </w:numPr>
        <w:spacing w:after="100"/>
      </w:pPr>
      <w:r>
        <w:t xml:space="preserve">Pharmacophore models derived from reference neurotoxic agents</w:t>
      </w:r>
    </w:p>
    <w:p>
      <w:pPr>
        <w:pStyle w:val="ListParagraph"/>
        <w:numPr>
          <w:ilvl w:val="0"/>
          <w:numId w:val="2"/>
        </w:numPr>
        <w:spacing w:after="100"/>
      </w:pPr>
      <w:r>
        <w:t xml:space="preserve">Substructure and scaffold filters for rapid hit identification</w:t>
      </w:r>
    </w:p>
    <w:p>
      <w:pPr>
        <w:spacing w:after="100"/>
      </w:pPr>
      <w:r>
        <w:rPr>
          <w:b/>
          <w:bCs/>
        </w:rPr>
        <w:t xml:space="preserve">Tools &amp; Databases Called:</w:t>
      </w:r>
    </w:p>
    <w:p>
      <w:pPr>
        <w:pStyle w:val="ListParagraph"/>
        <w:numPr>
          <w:ilvl w:val="0"/>
          <w:numId w:val="2"/>
        </w:numPr>
        <w:spacing w:after="100"/>
      </w:pPr>
      <w:r>
        <w:rPr>
          <w:b/>
          <w:bCs/>
        </w:rPr>
        <w:t xml:space="preserve">Schrödinger Canvas: </w:t>
      </w:r>
      <w:r>
        <w:t xml:space="preserve">Chemoinformatics platform for fingerprint generation, similarity searching, and pharmacophore modeling</w:t>
      </w:r>
    </w:p>
    <w:p>
      <w:pPr>
        <w:pStyle w:val="ListParagraph"/>
        <w:numPr>
          <w:ilvl w:val="0"/>
          <w:numId w:val="2"/>
        </w:numPr>
        <w:spacing w:after="100"/>
      </w:pPr>
      <w:r>
        <w:rPr>
          <w:b/>
          <w:bCs/>
        </w:rPr>
        <w:t xml:space="preserve">KNIME (Konstanz Information Miner): </w:t>
      </w:r>
      <w:r>
        <w:t xml:space="preserve">Data analytics and workflow platform for large-scale similarity comparisons</w:t>
      </w:r>
    </w:p>
    <w:p>
      <w:pPr>
        <w:pStyle w:val="ListParagraph"/>
        <w:numPr>
          <w:ilvl w:val="0"/>
          <w:numId w:val="2"/>
        </w:numPr>
        <w:spacing w:after="100"/>
      </w:pPr>
      <w:r>
        <w:rPr>
          <w:b/>
          <w:bCs/>
        </w:rPr>
        <w:t xml:space="preserve">MOE (Molecular Operating Environment): </w:t>
      </w:r>
      <w:r>
        <w:t xml:space="preserve">Computational chemistry software with advanced pharmacophore and similarity searching algorithms</w:t>
      </w:r>
    </w:p>
    <w:p>
      <w:pPr>
        <w:pStyle w:val="ListParagraph"/>
        <w:numPr>
          <w:ilvl w:val="0"/>
          <w:numId w:val="2"/>
        </w:numPr>
        <w:spacing w:after="100"/>
      </w:pPr>
      <w:r>
        <w:rPr>
          <w:b/>
          <w:bCs/>
        </w:rPr>
        <w:t xml:space="preserve">Chemaxon JChem: </w:t>
      </w:r>
      <w:r>
        <w:t xml:space="preserve">Enterprise cheminformatics toolkit for descriptor calculation and similarity searching</w:t>
      </w:r>
    </w:p>
    <w:p>
      <w:pPr>
        <w:pStyle w:val="ListParagraph"/>
        <w:numPr>
          <w:ilvl w:val="0"/>
          <w:numId w:val="2"/>
        </w:numPr>
        <w:spacing w:after="100"/>
      </w:pPr>
      <w:r>
        <w:rPr>
          <w:b/>
          <w:bCs/>
        </w:rPr>
        <w:t xml:space="preserve">ChemDoodle Web: </w:t>
      </w:r>
      <w:r>
        <w:t xml:space="preserve">Web-based structure visualization and similarity analysis</w:t>
      </w:r>
    </w:p>
    <w:p>
      <w:pPr>
        <w:pStyle w:val="ListParagraph"/>
        <w:numPr>
          <w:ilvl w:val="0"/>
          <w:numId w:val="2"/>
        </w:numPr>
        <w:spacing w:after="100"/>
      </w:pPr>
      <w:r>
        <w:rPr>
          <w:b/>
          <w:bCs/>
        </w:rPr>
        <w:t xml:space="preserve">Sapphire AI Engine (Internal): </w:t>
      </w:r>
      <w:r>
        <w:t xml:space="preserve">Custom machine learning models trained on Quiver's proprietary pharmacological data</w:t>
      </w:r>
    </w:p>
    <w:p>
      <w:pPr>
        <w:spacing w:after="100"/>
      </w:pPr>
      <w:r>
        <w:rPr>
          <w:b/>
          <w:bCs/>
        </w:rPr>
        <w:t xml:space="preserve">Exemplary Sub-Prompts:</w:t>
      </w:r>
    </w:p>
    <w:p>
      <w:pPr>
        <w:pStyle w:val="ListParagraph"/>
        <w:numPr>
          <w:ilvl w:val="0"/>
          <w:numId w:val="2"/>
        </w:numPr>
        <w:spacing w:after="100"/>
      </w:pPr>
      <w:r>
        <w:t xml:space="preserve">Compute Tanimoto similarity between all candidate compounds and each neurotoxic reference agent using Morgan fingerprints.</w:t>
      </w:r>
    </w:p>
    <w:p>
      <w:pPr>
        <w:pStyle w:val="ListParagraph"/>
        <w:numPr>
          <w:ilvl w:val="0"/>
          <w:numId w:val="2"/>
        </w:numPr>
        <w:spacing w:after="100"/>
      </w:pPr>
      <w:r>
        <w:t xml:space="preserve">Identify candidates with structural Tanimoto scores &gt; 0.70 to any reference neurotoxin.</w:t>
      </w:r>
    </w:p>
    <w:p>
      <w:pPr>
        <w:pStyle w:val="ListParagraph"/>
        <w:numPr>
          <w:ilvl w:val="0"/>
          <w:numId w:val="2"/>
        </w:numPr>
        <w:spacing w:after="100"/>
      </w:pPr>
      <w:r>
        <w:t xml:space="preserve">Perform descriptor-space clustering to map candidate compounds relative to known neurotoxic chemical space.</w:t>
      </w:r>
    </w:p>
    <w:p>
      <w:pPr>
        <w:pStyle w:val="ListParagraph"/>
        <w:numPr>
          <w:ilvl w:val="0"/>
          <w:numId w:val="2"/>
        </w:numPr>
        <w:spacing w:after="100"/>
      </w:pPr>
      <w:r>
        <w:t xml:space="preserve">Apply pharmacophore matching to identify candidates sharing 3+ pharmacophoric features with reference agents.</w:t>
      </w:r>
    </w:p>
    <w:p>
      <w:pPr>
        <w:pStyle w:val="ListParagraph"/>
        <w:numPr>
          <w:ilvl w:val="0"/>
          <w:numId w:val="2"/>
        </w:numPr>
        <w:spacing w:after="100"/>
      </w:pPr>
      <w:r>
        <w:t xml:space="preserve">Evaluate substructure containment and scaffold similarity to flag potential liabilities.</w:t>
      </w:r>
    </w:p>
    <w:p>
      <w:pPr>
        <w:spacing w:after="100"/>
      </w:pPr>
      <w:r>
        <w:rPr>
          <w:b/>
          <w:bCs/>
        </w:rPr>
        <w:t xml:space="preserve">Expected Outputs:</w:t>
      </w:r>
    </w:p>
    <w:p>
      <w:pPr>
        <w:pStyle w:val="ListParagraph"/>
        <w:numPr>
          <w:ilvl w:val="0"/>
          <w:numId w:val="2"/>
        </w:numPr>
        <w:spacing w:after="100"/>
      </w:pPr>
      <w:r>
        <w:t xml:space="preserve">Similarity score matrix (candidates × reference compounds) with multiple distance metrics</w:t>
      </w:r>
    </w:p>
    <w:p>
      <w:pPr>
        <w:pStyle w:val="ListParagraph"/>
        <w:numPr>
          <w:ilvl w:val="0"/>
          <w:numId w:val="2"/>
        </w:numPr>
        <w:spacing w:after="100"/>
      </w:pPr>
      <w:r>
        <w:t xml:space="preserve">Ranked lists of candidates above similarity threshold (e.g., Tanimoto &gt; 0.70) with heat map visualizations</w:t>
      </w:r>
    </w:p>
    <w:p>
      <w:pPr>
        <w:pStyle w:val="ListParagraph"/>
        <w:numPr>
          <w:ilvl w:val="0"/>
          <w:numId w:val="2"/>
        </w:numPr>
        <w:spacing w:after="100"/>
      </w:pPr>
      <w:r>
        <w:t xml:space="preserve">Pharmacophore match alignments showing candidate-to-reference atom mapping and feature correspondence</w:t>
      </w:r>
    </w:p>
    <w:p>
      <w:pPr>
        <w:pStyle w:val="ListParagraph"/>
        <w:numPr>
          <w:ilvl w:val="0"/>
          <w:numId w:val="2"/>
        </w:numPr>
        <w:spacing w:after="100"/>
      </w:pPr>
      <w:r>
        <w:t xml:space="preserve">Scaffold and substructure alerts flagging dangerous chemical moieties (halogenated aromatics, oxidative stress inducers, etc.)</w:t>
      </w:r>
    </w:p>
    <w:p>
      <w:pPr>
        <w:pStyle w:val="ListParagraph"/>
        <w:numPr>
          <w:ilvl w:val="0"/>
          <w:numId w:val="2"/>
        </w:numPr>
        <w:spacing w:after="100"/>
      </w:pPr>
      <w:r>
        <w:t xml:space="preserve">Chemical space visualization (PCA/UMAP) plotting candidates relative to neurotoxic reference cluster</w:t>
      </w:r>
    </w:p>
    <w:p>
      <w:pPr>
        <w:pStyle w:val="ListParagraph"/>
        <w:numPr>
          <w:ilvl w:val="0"/>
          <w:numId w:val="2"/>
        </w:numPr>
        <w:spacing w:after="100"/>
      </w:pPr>
      <w:r>
        <w:t xml:space="preserve">Preliminary hits list with candidates and their closest neurotoxic analogs for expert review</w:t>
      </w:r>
    </w:p>
    <w:p>
      <w:pPr>
        <w:spacing w:after="200" w:line="360"/>
      </w:pPr>
      <w:r>
        <w:rPr>
          <w:b/>
          <w:bCs/>
        </w:rPr>
        <w:t xml:space="preserve">Format: </w:t>
      </w:r>
      <w:r>
        <w:t xml:space="preserve">Similarity matrices (CSV), ranked hit lists (Excel with sortable columns), and chemical space visualizations (PNG/PDF).</w:t>
      </w:r>
    </w:p>
    <w:p>
      <w:pPr>
        <w:pStyle w:val="Heading2"/>
      </w:pPr>
      <w:r>
        <w:t xml:space="preserve">Stage 4: Mechanism of Action Prediction</w:t>
      </w:r>
    </w:p>
    <w:p>
      <w:pPr>
        <w:spacing w:after="200" w:line="360"/>
      </w:pPr>
      <w:r>
        <w:rPr>
          <w:b/>
          <w:bCs/>
        </w:rPr>
        <w:t xml:space="preserve">Purpose: </w:t>
      </w:r>
      <w:r>
        <w:t xml:space="preserve">Predict the biological mechanism of action for candidate compounds using machine learning models trained on known neurotoxic pathways, including mitochondrial dysfunction, oxidative stress, proteasomal inhibition, and neuroinflammation.</w:t>
      </w:r>
    </w:p>
    <w:p>
      <w:pPr>
        <w:spacing w:after="100"/>
      </w:pPr>
      <w:r>
        <w:rPr>
          <w:b/>
          <w:bCs/>
        </w:rPr>
        <w:t xml:space="preserve">Inputs:</w:t>
      </w:r>
    </w:p>
    <w:p>
      <w:pPr>
        <w:pStyle w:val="ListParagraph"/>
        <w:numPr>
          <w:ilvl w:val="0"/>
          <w:numId w:val="2"/>
        </w:numPr>
        <w:spacing w:after="100"/>
      </w:pPr>
      <w:r>
        <w:t xml:space="preserve">Candidate compound structures and molecular descriptors from Stage 1</w:t>
      </w:r>
    </w:p>
    <w:p>
      <w:pPr>
        <w:pStyle w:val="ListParagraph"/>
        <w:numPr>
          <w:ilvl w:val="0"/>
          <w:numId w:val="2"/>
        </w:numPr>
        <w:spacing w:after="100"/>
      </w:pPr>
      <w:r>
        <w:t xml:space="preserve">Predicted off-target binding profiles (pan-assay profile, PAP) for common neuronal targets</w:t>
      </w:r>
    </w:p>
    <w:p>
      <w:pPr>
        <w:pStyle w:val="ListParagraph"/>
        <w:numPr>
          <w:ilvl w:val="0"/>
          <w:numId w:val="2"/>
        </w:numPr>
        <w:spacing w:after="100"/>
      </w:pPr>
      <w:r>
        <w:t xml:space="preserve">Training dataset linking chemical descriptors to mechanism labels and phenotypic outcomes</w:t>
      </w:r>
    </w:p>
    <w:p>
      <w:pPr>
        <w:pStyle w:val="ListParagraph"/>
        <w:numPr>
          <w:ilvl w:val="0"/>
          <w:numId w:val="2"/>
        </w:numPr>
        <w:spacing w:after="100"/>
      </w:pPr>
      <w:r>
        <w:t xml:space="preserve">Known mechanism-associated substructures (reactive electrophiles, mitochondrial uncouplers, etc.)</w:t>
      </w:r>
    </w:p>
    <w:p>
      <w:pPr>
        <w:pStyle w:val="ListParagraph"/>
        <w:numPr>
          <w:ilvl w:val="0"/>
          <w:numId w:val="2"/>
        </w:numPr>
        <w:spacing w:after="100"/>
      </w:pPr>
      <w:r>
        <w:t xml:space="preserve">Pathway databases (KEGG, Reactome, BioCarta) mapping chemical actions to biological outcomes</w:t>
      </w:r>
    </w:p>
    <w:p>
      <w:pPr>
        <w:spacing w:after="100"/>
      </w:pPr>
      <w:r>
        <w:rPr>
          <w:b/>
          <w:bCs/>
        </w:rPr>
        <w:t xml:space="preserve">Tools &amp; Databases Called:</w:t>
      </w:r>
    </w:p>
    <w:p>
      <w:pPr>
        <w:pStyle w:val="ListParagraph"/>
        <w:numPr>
          <w:ilvl w:val="0"/>
          <w:numId w:val="2"/>
        </w:numPr>
        <w:spacing w:after="100"/>
      </w:pPr>
      <w:r>
        <w:rPr>
          <w:b/>
          <w:bCs/>
        </w:rPr>
        <w:t xml:space="preserve">ChEMBL: </w:t>
      </w:r>
      <w:r>
        <w:t xml:space="preserve">Large bioactivity database with target and mechanism annotations for model training</w:t>
      </w:r>
    </w:p>
    <w:p>
      <w:pPr>
        <w:pStyle w:val="ListParagraph"/>
        <w:numPr>
          <w:ilvl w:val="0"/>
          <w:numId w:val="2"/>
        </w:numPr>
        <w:spacing w:after="100"/>
      </w:pPr>
      <w:r>
        <w:rPr>
          <w:b/>
          <w:bCs/>
        </w:rPr>
        <w:t xml:space="preserve">KEGG Pathways: </w:t>
      </w:r>
      <w:r>
        <w:t xml:space="preserve">Comprehensive pathway mapping linking chemical perturbations to biological consequences</w:t>
      </w:r>
    </w:p>
    <w:p>
      <w:pPr>
        <w:pStyle w:val="ListParagraph"/>
        <w:numPr>
          <w:ilvl w:val="0"/>
          <w:numId w:val="2"/>
        </w:numPr>
        <w:spacing w:after="100"/>
      </w:pPr>
      <w:r>
        <w:rPr>
          <w:b/>
          <w:bCs/>
        </w:rPr>
        <w:t xml:space="preserve">Reactome: </w:t>
      </w:r>
      <w:r>
        <w:t xml:space="preserve">Pathway knowledge base with curated mechanistic information on neurotoxic processes</w:t>
      </w:r>
    </w:p>
    <w:p>
      <w:pPr>
        <w:pStyle w:val="ListParagraph"/>
        <w:numPr>
          <w:ilvl w:val="0"/>
          <w:numId w:val="2"/>
        </w:numPr>
        <w:spacing w:after="100"/>
      </w:pPr>
      <w:r>
        <w:rPr>
          <w:b/>
          <w:bCs/>
        </w:rPr>
        <w:t xml:space="preserve">DeepTox (Sapphire Module): </w:t>
      </w:r>
      <w:r>
        <w:t xml:space="preserve">Deep learning model predicting toxicological endpoints and mechanism of action</w:t>
      </w:r>
    </w:p>
    <w:p>
      <w:pPr>
        <w:pStyle w:val="ListParagraph"/>
        <w:numPr>
          <w:ilvl w:val="0"/>
          <w:numId w:val="2"/>
        </w:numPr>
        <w:spacing w:after="100"/>
      </w:pPr>
      <w:r>
        <w:rPr>
          <w:b/>
          <w:bCs/>
        </w:rPr>
        <w:t xml:space="preserve">PASSonline: </w:t>
      </w:r>
      <w:r>
        <w:t xml:space="preserve">Prediction of Activity Spectra for Substances; predicts biological activity across targets</w:t>
      </w:r>
    </w:p>
    <w:p>
      <w:pPr>
        <w:pStyle w:val="ListParagraph"/>
        <w:numPr>
          <w:ilvl w:val="0"/>
          <w:numId w:val="2"/>
        </w:numPr>
        <w:spacing w:after="100"/>
      </w:pPr>
      <w:r>
        <w:rPr>
          <w:b/>
          <w:bCs/>
        </w:rPr>
        <w:t xml:space="preserve">RandomForest/XGBoost Models (Quiver Internal): </w:t>
      </w:r>
      <w:r>
        <w:t xml:space="preserve">Ensemble machine learning classifiers trained on neurotoxic mechanism signatures</w:t>
      </w:r>
    </w:p>
    <w:p>
      <w:pPr>
        <w:spacing w:after="100"/>
      </w:pPr>
      <w:r>
        <w:rPr>
          <w:b/>
          <w:bCs/>
        </w:rPr>
        <w:t xml:space="preserve">Exemplary Sub-Prompts:</w:t>
      </w:r>
    </w:p>
    <w:p>
      <w:pPr>
        <w:pStyle w:val="ListParagraph"/>
        <w:numPr>
          <w:ilvl w:val="0"/>
          <w:numId w:val="2"/>
        </w:numPr>
        <w:spacing w:after="100"/>
      </w:pPr>
      <w:r>
        <w:t xml:space="preserve">Predict likelihood of mitochondrial dysfunction for each candidate using DeepTox model; flag compounds with scores &gt; 0.6.</w:t>
      </w:r>
    </w:p>
    <w:p>
      <w:pPr>
        <w:pStyle w:val="ListParagraph"/>
        <w:numPr>
          <w:ilvl w:val="0"/>
          <w:numId w:val="2"/>
        </w:numPr>
        <w:spacing w:after="100"/>
      </w:pPr>
      <w:r>
        <w:t xml:space="preserve">Identify reactive electrophilic moieties (conjugate acceptors) in candidates that may trigger protein adduction and cell death.</w:t>
      </w:r>
    </w:p>
    <w:p>
      <w:pPr>
        <w:pStyle w:val="ListParagraph"/>
        <w:numPr>
          <w:ilvl w:val="0"/>
          <w:numId w:val="2"/>
        </w:numPr>
        <w:spacing w:after="100"/>
      </w:pPr>
      <w:r>
        <w:t xml:space="preserve">Assess predicted off-target activities (e.g., mitochondrial ATPase, complex I inhibition, ROS generation).</w:t>
      </w:r>
    </w:p>
    <w:p>
      <w:pPr>
        <w:pStyle w:val="ListParagraph"/>
        <w:numPr>
          <w:ilvl w:val="0"/>
          <w:numId w:val="2"/>
        </w:numPr>
        <w:spacing w:after="100"/>
      </w:pPr>
      <w:r>
        <w:t xml:space="preserve">Map candidate-pathway interactions using ChEMBL and KEGG to infer neurotoxic consequences.</w:t>
      </w:r>
    </w:p>
    <w:p>
      <w:pPr>
        <w:pStyle w:val="ListParagraph"/>
        <w:numPr>
          <w:ilvl w:val="0"/>
          <w:numId w:val="2"/>
        </w:numPr>
        <w:spacing w:after="100"/>
      </w:pPr>
      <w:r>
        <w:t xml:space="preserve">Generate mechanism probability scores for oxidative stress, excitotoxicity, and neuroinflammation.</w:t>
      </w:r>
    </w:p>
    <w:p>
      <w:pPr>
        <w:spacing w:after="100"/>
      </w:pPr>
      <w:r>
        <w:rPr>
          <w:b/>
          <w:bCs/>
        </w:rPr>
        <w:t xml:space="preserve">Expected Outputs:</w:t>
      </w:r>
    </w:p>
    <w:p>
      <w:pPr>
        <w:pStyle w:val="ListParagraph"/>
        <w:numPr>
          <w:ilvl w:val="0"/>
          <w:numId w:val="2"/>
        </w:numPr>
        <w:spacing w:after="100"/>
      </w:pPr>
      <w:r>
        <w:t xml:space="preserve">Mechanism of action predictions (MOA scores) for each candidate across neurotoxic pathways</w:t>
      </w:r>
    </w:p>
    <w:p>
      <w:pPr>
        <w:pStyle w:val="ListParagraph"/>
        <w:numPr>
          <w:ilvl w:val="0"/>
          <w:numId w:val="2"/>
        </w:numPr>
        <w:spacing w:after="100"/>
      </w:pPr>
      <w:r>
        <w:t xml:space="preserve">Confidence scores and supporting evidence (model contribution analysis, pathway matches)</w:t>
      </w:r>
    </w:p>
    <w:p>
      <w:pPr>
        <w:pStyle w:val="ListParagraph"/>
        <w:numPr>
          <w:ilvl w:val="0"/>
          <w:numId w:val="2"/>
        </w:numPr>
        <w:spacing w:after="100"/>
      </w:pPr>
      <w:r>
        <w:t xml:space="preserve">Reactive liability alerts (electrophiles, Michael acceptors, acyl halides) with toxicity risk estimates</w:t>
      </w:r>
    </w:p>
    <w:p>
      <w:pPr>
        <w:pStyle w:val="ListParagraph"/>
        <w:numPr>
          <w:ilvl w:val="0"/>
          <w:numId w:val="2"/>
        </w:numPr>
        <w:spacing w:after="100"/>
      </w:pPr>
      <w:r>
        <w:t xml:space="preserve">Off-target prediction summary highlighting neuronal channels, receptors, and enzymes at risk</w:t>
      </w:r>
    </w:p>
    <w:p>
      <w:pPr>
        <w:pStyle w:val="ListParagraph"/>
        <w:numPr>
          <w:ilvl w:val="0"/>
          <w:numId w:val="2"/>
        </w:numPr>
        <w:spacing w:after="100"/>
      </w:pPr>
      <w:r>
        <w:t xml:space="preserve">Pathway network visualizations showing candidate interactions with known neurotoxic cascades</w:t>
      </w:r>
    </w:p>
    <w:p>
      <w:pPr>
        <w:pStyle w:val="ListParagraph"/>
        <w:numPr>
          <w:ilvl w:val="0"/>
          <w:numId w:val="2"/>
        </w:numPr>
        <w:spacing w:after="100"/>
      </w:pPr>
      <w:r>
        <w:t xml:space="preserve">Mechanism-to-phenotype linking table (MOA → predicted cell death type, neuroinflammation level, etc.)</w:t>
      </w:r>
    </w:p>
    <w:p>
      <w:pPr>
        <w:spacing w:after="200" w:line="360"/>
      </w:pPr>
      <w:r>
        <w:rPr>
          <w:b/>
          <w:bCs/>
        </w:rPr>
        <w:t xml:space="preserve">Format: </w:t>
      </w:r>
      <w:r>
        <w:t xml:space="preserve">Probability matrices (mechanism × compound), pathway interaction networks (Cytoscape JSON), and risk stratification tables.</w:t>
      </w:r>
    </w:p>
    <w:p>
      <w:pPr>
        <w:pStyle w:val="Heading2"/>
      </w:pPr>
      <w:r>
        <w:t xml:space="preserve">Stage 5: Phenotypic Profile Matching</w:t>
      </w:r>
    </w:p>
    <w:p>
      <w:pPr>
        <w:spacing w:after="200" w:line="360"/>
      </w:pPr>
      <w:r>
        <w:rPr>
          <w:b/>
          <w:bCs/>
        </w:rPr>
        <w:t xml:space="preserve">Purpose: </w:t>
      </w:r>
      <w:r>
        <w:t xml:space="preserve">Compare predicted phenotypic signatures of candidate compounds against known neurotoxic phenotypes using cellular and molecular biomarkers (mitochondrial membrane potential, ROS, apoptosis markers, neuroinflammatory cytokines).</w:t>
      </w:r>
    </w:p>
    <w:p>
      <w:pPr>
        <w:spacing w:after="100"/>
      </w:pPr>
      <w:r>
        <w:rPr>
          <w:b/>
          <w:bCs/>
        </w:rPr>
        <w:t xml:space="preserve">Inputs:</w:t>
      </w:r>
    </w:p>
    <w:p>
      <w:pPr>
        <w:pStyle w:val="ListParagraph"/>
        <w:numPr>
          <w:ilvl w:val="0"/>
          <w:numId w:val="2"/>
        </w:numPr>
        <w:spacing w:after="100"/>
      </w:pPr>
      <w:r>
        <w:t xml:space="preserve">Predicted MOA scores and mechanism probabilities from Stage 4</w:t>
      </w:r>
    </w:p>
    <w:p>
      <w:pPr>
        <w:pStyle w:val="ListParagraph"/>
        <w:numPr>
          <w:ilvl w:val="0"/>
          <w:numId w:val="2"/>
        </w:numPr>
        <w:spacing w:after="100"/>
      </w:pPr>
      <w:r>
        <w:t xml:space="preserve">Reference phenotypic signatures for known neurotoxins (cell death profiles, mitochondrial metrics)</w:t>
      </w:r>
    </w:p>
    <w:p>
      <w:pPr>
        <w:pStyle w:val="ListParagraph"/>
        <w:numPr>
          <w:ilvl w:val="0"/>
          <w:numId w:val="2"/>
        </w:numPr>
        <w:spacing w:after="100"/>
      </w:pPr>
      <w:r>
        <w:t xml:space="preserve">In vitro assay data for neuronal cell lines (primary neurons, iPSC-derived neurons, SH-SY5Y cells)</w:t>
      </w:r>
    </w:p>
    <w:p>
      <w:pPr>
        <w:pStyle w:val="ListParagraph"/>
        <w:numPr>
          <w:ilvl w:val="0"/>
          <w:numId w:val="2"/>
        </w:numPr>
        <w:spacing w:after="100"/>
      </w:pPr>
      <w:r>
        <w:t xml:space="preserve">Biomarker signatures (JC-1 fluorescence, DHE staining, Annexin V, TNF-alpha, IL-6, nitrite levels)</w:t>
      </w:r>
    </w:p>
    <w:p>
      <w:pPr>
        <w:pStyle w:val="ListParagraph"/>
        <w:numPr>
          <w:ilvl w:val="0"/>
          <w:numId w:val="2"/>
        </w:numPr>
        <w:spacing w:after="100"/>
      </w:pPr>
      <w:r>
        <w:t xml:space="preserve">Machine learning models trained on phenotypic-structure relationships</w:t>
      </w:r>
    </w:p>
    <w:p>
      <w:pPr>
        <w:spacing w:after="100"/>
      </w:pPr>
      <w:r>
        <w:rPr>
          <w:b/>
          <w:bCs/>
        </w:rPr>
        <w:t xml:space="preserve">Tools &amp; Databases Called:</w:t>
      </w:r>
    </w:p>
    <w:p>
      <w:pPr>
        <w:pStyle w:val="ListParagraph"/>
        <w:numPr>
          <w:ilvl w:val="0"/>
          <w:numId w:val="2"/>
        </w:numPr>
        <w:spacing w:after="100"/>
      </w:pPr>
      <w:r>
        <w:rPr>
          <w:b/>
          <w:bCs/>
        </w:rPr>
        <w:t xml:space="preserve">CellProfiler: </w:t>
      </w:r>
      <w:r>
        <w:t xml:space="preserve">Open-source image analysis software for quantifying cellular phenotypes from microscopy</w:t>
      </w:r>
    </w:p>
    <w:p>
      <w:pPr>
        <w:pStyle w:val="ListParagraph"/>
        <w:numPr>
          <w:ilvl w:val="0"/>
          <w:numId w:val="2"/>
        </w:numPr>
        <w:spacing w:after="100"/>
      </w:pPr>
      <w:r>
        <w:rPr>
          <w:b/>
          <w:bCs/>
        </w:rPr>
        <w:t xml:space="preserve">Ingenuity Pathway Analysis (IPA): </w:t>
      </w:r>
      <w:r>
        <w:t xml:space="preserve">Systems biology platform linking gene/protein changes to phenotypic outcomes</w:t>
      </w:r>
    </w:p>
    <w:p>
      <w:pPr>
        <w:pStyle w:val="ListParagraph"/>
        <w:numPr>
          <w:ilvl w:val="0"/>
          <w:numId w:val="2"/>
        </w:numPr>
        <w:spacing w:after="100"/>
      </w:pPr>
      <w:r>
        <w:rPr>
          <w:b/>
          <w:bCs/>
        </w:rPr>
        <w:t xml:space="preserve">Quiver Phenomics Database: </w:t>
      </w:r>
      <w:r>
        <w:t xml:space="preserve">Internal repository of cellular assay results and phenotypic signatures for neurotoxins</w:t>
      </w:r>
    </w:p>
    <w:p>
      <w:pPr>
        <w:pStyle w:val="ListParagraph"/>
        <w:numPr>
          <w:ilvl w:val="0"/>
          <w:numId w:val="2"/>
        </w:numPr>
        <w:spacing w:after="100"/>
      </w:pPr>
      <w:r>
        <w:rPr>
          <w:b/>
          <w:bCs/>
        </w:rPr>
        <w:t xml:space="preserve">GeneGo Metacore: </w:t>
      </w:r>
      <w:r>
        <w:t xml:space="preserve">Curated pathway and network database for translating chemical actions to cellular effects</w:t>
      </w:r>
    </w:p>
    <w:p>
      <w:pPr>
        <w:pStyle w:val="ListParagraph"/>
        <w:numPr>
          <w:ilvl w:val="0"/>
          <w:numId w:val="2"/>
        </w:numPr>
        <w:spacing w:after="100"/>
      </w:pPr>
      <w:r>
        <w:rPr>
          <w:b/>
          <w:bCs/>
        </w:rPr>
        <w:t xml:space="preserve">Sapphire Phenotype Prediction Engine: </w:t>
      </w:r>
      <w:r>
        <w:t xml:space="preserve">Custom deep learning model predicting multi-dimensional cellular phenotypes from chemical structure</w:t>
      </w:r>
    </w:p>
    <w:p>
      <w:pPr>
        <w:pStyle w:val="ListParagraph"/>
        <w:numPr>
          <w:ilvl w:val="0"/>
          <w:numId w:val="2"/>
        </w:numPr>
        <w:spacing w:after="100"/>
      </w:pPr>
      <w:r>
        <w:rPr>
          <w:b/>
          <w:bCs/>
        </w:rPr>
        <w:t xml:space="preserve">PhenoMiner Database: </w:t>
      </w:r>
      <w:r>
        <w:t xml:space="preserve">Integrative toxicogenomics database linking chemicals to multi-omics phenotypic endpoints</w:t>
      </w:r>
    </w:p>
    <w:p>
      <w:pPr>
        <w:spacing w:after="100"/>
      </w:pPr>
      <w:r>
        <w:rPr>
          <w:b/>
          <w:bCs/>
        </w:rPr>
        <w:t xml:space="preserve">Exemplary Sub-Prompts:</w:t>
      </w:r>
    </w:p>
    <w:p>
      <w:pPr>
        <w:pStyle w:val="ListParagraph"/>
        <w:numPr>
          <w:ilvl w:val="0"/>
          <w:numId w:val="2"/>
        </w:numPr>
        <w:spacing w:after="100"/>
      </w:pPr>
      <w:r>
        <w:t xml:space="preserve">Generate predicted cell viability profiles for each candidate in SH-SY5Y neurons; compare against reference neurotoxin dose-response curves.</w:t>
      </w:r>
    </w:p>
    <w:p>
      <w:pPr>
        <w:pStyle w:val="ListParagraph"/>
        <w:numPr>
          <w:ilvl w:val="0"/>
          <w:numId w:val="2"/>
        </w:numPr>
        <w:spacing w:after="100"/>
      </w:pPr>
      <w:r>
        <w:t xml:space="preserve">Predict mitochondrial membrane potential (JC-1) signatures and ROS production levels for candidate compounds.</w:t>
      </w:r>
    </w:p>
    <w:p>
      <w:pPr>
        <w:pStyle w:val="ListParagraph"/>
        <w:numPr>
          <w:ilvl w:val="0"/>
          <w:numId w:val="2"/>
        </w:numPr>
        <w:spacing w:after="100"/>
      </w:pPr>
      <w:r>
        <w:t xml:space="preserve">Forecast apoptosis/necrosis markers (Annexin V+, PI+, activated caspase-3) phenotype similarity to known neurotoxins.</w:t>
      </w:r>
    </w:p>
    <w:p>
      <w:pPr>
        <w:pStyle w:val="ListParagraph"/>
        <w:numPr>
          <w:ilvl w:val="0"/>
          <w:numId w:val="2"/>
        </w:numPr>
        <w:spacing w:after="100"/>
      </w:pPr>
      <w:r>
        <w:t xml:space="preserve">Estimate neuroinflammatory biomarker elevation (TNF-alpha, IL-6, nitrite) using structure-phenotype ML models.</w:t>
      </w:r>
    </w:p>
    <w:p>
      <w:pPr>
        <w:pStyle w:val="ListParagraph"/>
        <w:numPr>
          <w:ilvl w:val="0"/>
          <w:numId w:val="2"/>
        </w:numPr>
        <w:spacing w:after="100"/>
      </w:pPr>
      <w:r>
        <w:t xml:space="preserve">Compute phenotypic distance metrics (Euclidean, Mahalanobis) between candidate and reference neurotoxin phenotypes.</w:t>
      </w:r>
    </w:p>
    <w:p>
      <w:pPr>
        <w:spacing w:after="100"/>
      </w:pPr>
      <w:r>
        <w:rPr>
          <w:b/>
          <w:bCs/>
        </w:rPr>
        <w:t xml:space="preserve">Expected Outputs:</w:t>
      </w:r>
    </w:p>
    <w:p>
      <w:pPr>
        <w:pStyle w:val="ListParagraph"/>
        <w:numPr>
          <w:ilvl w:val="0"/>
          <w:numId w:val="2"/>
        </w:numPr>
        <w:spacing w:after="100"/>
      </w:pPr>
      <w:r>
        <w:t xml:space="preserve">Predicted phenotypic profiles (cell viability, mitochondrial health, ROS, apoptosis markers) for each candidate</w:t>
      </w:r>
    </w:p>
    <w:p>
      <w:pPr>
        <w:pStyle w:val="ListParagraph"/>
        <w:numPr>
          <w:ilvl w:val="0"/>
          <w:numId w:val="2"/>
        </w:numPr>
        <w:spacing w:after="100"/>
      </w:pPr>
      <w:r>
        <w:t xml:space="preserve">Phenotype similarity scores (candidates vs. reference neurotoxins) with visual heatmaps</w:t>
      </w:r>
    </w:p>
    <w:p>
      <w:pPr>
        <w:pStyle w:val="ListParagraph"/>
        <w:numPr>
          <w:ilvl w:val="0"/>
          <w:numId w:val="2"/>
        </w:numPr>
        <w:spacing w:after="100"/>
      </w:pPr>
      <w:r>
        <w:t xml:space="preserve">Predicted dose-response curves and EC50 estimates for neurotoxic phenotypes</w:t>
      </w:r>
    </w:p>
    <w:p>
      <w:pPr>
        <w:pStyle w:val="ListParagraph"/>
        <w:numPr>
          <w:ilvl w:val="0"/>
          <w:numId w:val="2"/>
        </w:numPr>
        <w:spacing w:after="100"/>
      </w:pPr>
      <w:r>
        <w:t xml:space="preserve">Biomarker risk profiles (ROS elevation level, apoptosis likelihood, inflammatory marker induction)</w:t>
      </w:r>
    </w:p>
    <w:p>
      <w:pPr>
        <w:pStyle w:val="ListParagraph"/>
        <w:numPr>
          <w:ilvl w:val="0"/>
          <w:numId w:val="2"/>
        </w:numPr>
        <w:spacing w:after="100"/>
      </w:pPr>
      <w:r>
        <w:t xml:space="preserve">Pathway activity predictions and gene expression fingerprints supporting phenotypic predictions</w:t>
      </w:r>
    </w:p>
    <w:p>
      <w:pPr>
        <w:pStyle w:val="ListParagraph"/>
        <w:numPr>
          <w:ilvl w:val="0"/>
          <w:numId w:val="2"/>
        </w:numPr>
        <w:spacing w:after="100"/>
      </w:pPr>
      <w:r>
        <w:t xml:space="preserve">Neurotoxicity risk confidence levels (high/medium/low) based on phenotypic pattern matching</w:t>
      </w:r>
    </w:p>
    <w:p>
      <w:pPr>
        <w:spacing w:after="200" w:line="360"/>
      </w:pPr>
      <w:r>
        <w:rPr>
          <w:b/>
          <w:bCs/>
        </w:rPr>
        <w:t xml:space="preserve">Format: </w:t>
      </w:r>
      <w:r>
        <w:t xml:space="preserve">Phenotypic signature matrices, dose-response plots, similarity heatmaps, and biomarker summary tables (Excel).</w:t>
      </w:r>
    </w:p>
    <w:p>
      <w:pPr>
        <w:pStyle w:val="Heading2"/>
      </w:pPr>
      <w:r>
        <w:t xml:space="preserve">Stage 6: Risk Stratification &amp; Reporting</w:t>
      </w:r>
    </w:p>
    <w:p>
      <w:pPr>
        <w:spacing w:after="200" w:line="360"/>
      </w:pPr>
      <w:r>
        <w:rPr>
          <w:b/>
          <w:bCs/>
        </w:rPr>
        <w:t xml:space="preserve">Purpose: </w:t>
      </w:r>
      <w:r>
        <w:t xml:space="preserve">Integrate all pipeline outputs into a comprehensive risk score and generate actionable reports for medicinal chemists, toxicologists, and project teams, including recommendations for lead optimization or program termination.</w:t>
      </w:r>
    </w:p>
    <w:p>
      <w:pPr>
        <w:spacing w:after="100"/>
      </w:pPr>
      <w:r>
        <w:rPr>
          <w:b/>
          <w:bCs/>
        </w:rPr>
        <w:t xml:space="preserve">Inputs:</w:t>
      </w:r>
    </w:p>
    <w:p>
      <w:pPr>
        <w:pStyle w:val="ListParagraph"/>
        <w:numPr>
          <w:ilvl w:val="0"/>
          <w:numId w:val="2"/>
        </w:numPr>
        <w:spacing w:after="100"/>
      </w:pPr>
      <w:r>
        <w:t xml:space="preserve">Molecular similarity scores from Stage 3</w:t>
      </w:r>
    </w:p>
    <w:p>
      <w:pPr>
        <w:pStyle w:val="ListParagraph"/>
        <w:numPr>
          <w:ilvl w:val="0"/>
          <w:numId w:val="2"/>
        </w:numPr>
        <w:spacing w:after="100"/>
      </w:pPr>
      <w:r>
        <w:t xml:space="preserve">Mechanism of action predictions and confidence intervals from Stage 4</w:t>
      </w:r>
    </w:p>
    <w:p>
      <w:pPr>
        <w:pStyle w:val="ListParagraph"/>
        <w:numPr>
          <w:ilvl w:val="0"/>
          <w:numId w:val="2"/>
        </w:numPr>
        <w:spacing w:after="100"/>
      </w:pPr>
      <w:r>
        <w:t xml:space="preserve">Phenotypic profile matches and biomarker risk estimates from Stage 5</w:t>
      </w:r>
    </w:p>
    <w:p>
      <w:pPr>
        <w:pStyle w:val="ListParagraph"/>
        <w:numPr>
          <w:ilvl w:val="0"/>
          <w:numId w:val="2"/>
        </w:numPr>
        <w:spacing w:after="100"/>
      </w:pPr>
      <w:r>
        <w:t xml:space="preserve">ADMET predictions (BBB penetration, hepatic metabolism, renal clearance)</w:t>
      </w:r>
    </w:p>
    <w:p>
      <w:pPr>
        <w:pStyle w:val="ListParagraph"/>
        <w:numPr>
          <w:ilvl w:val="0"/>
          <w:numId w:val="2"/>
        </w:numPr>
        <w:spacing w:after="100"/>
      </w:pPr>
      <w:r>
        <w:t xml:space="preserve">Regulatory guidance and toxicology thresholds (FDA, EMA, ICH guidelines)</w:t>
      </w:r>
    </w:p>
    <w:p>
      <w:pPr>
        <w:spacing w:after="100"/>
      </w:pPr>
      <w:r>
        <w:rPr>
          <w:b/>
          <w:bCs/>
        </w:rPr>
        <w:t xml:space="preserve">Tools &amp; Databases Called:</w:t>
      </w:r>
    </w:p>
    <w:p>
      <w:pPr>
        <w:pStyle w:val="ListParagraph"/>
        <w:numPr>
          <w:ilvl w:val="0"/>
          <w:numId w:val="2"/>
        </w:numPr>
        <w:spacing w:after="100"/>
      </w:pPr>
      <w:r>
        <w:rPr>
          <w:b/>
          <w:bCs/>
        </w:rPr>
        <w:t xml:space="preserve">Sapphire Risk Integrator (Internal): </w:t>
      </w:r>
      <w:r>
        <w:t xml:space="preserve">Custom algorithm weighting and combining multi-dimensional risk factors into unified score</w:t>
      </w:r>
    </w:p>
    <w:p>
      <w:pPr>
        <w:pStyle w:val="ListParagraph"/>
        <w:numPr>
          <w:ilvl w:val="0"/>
          <w:numId w:val="2"/>
        </w:numPr>
        <w:spacing w:after="100"/>
      </w:pPr>
      <w:r>
        <w:rPr>
          <w:b/>
          <w:bCs/>
        </w:rPr>
        <w:t xml:space="preserve">JMP Statistical Software: </w:t>
      </w:r>
      <w:r>
        <w:t xml:space="preserve">Statistical analysis and visualization platform for risk stratification and confidence interval estimation</w:t>
      </w:r>
    </w:p>
    <w:p>
      <w:pPr>
        <w:pStyle w:val="ListParagraph"/>
        <w:numPr>
          <w:ilvl w:val="0"/>
          <w:numId w:val="2"/>
        </w:numPr>
        <w:spacing w:after="100"/>
      </w:pPr>
      <w:r>
        <w:rPr>
          <w:b/>
          <w:bCs/>
        </w:rPr>
        <w:t xml:space="preserve">SEURAT Platform: </w:t>
      </w:r>
      <w:r>
        <w:t xml:space="preserve">Sapphire platform for integrated reporting and expert annotation</w:t>
      </w:r>
    </w:p>
    <w:p>
      <w:pPr>
        <w:pStyle w:val="ListParagraph"/>
        <w:numPr>
          <w:ilvl w:val="0"/>
          <w:numId w:val="2"/>
        </w:numPr>
        <w:spacing w:after="100"/>
      </w:pPr>
      <w:r>
        <w:rPr>
          <w:b/>
          <w:bCs/>
        </w:rPr>
        <w:t xml:space="preserve">Spotfire/Tableau: </w:t>
      </w:r>
      <w:r>
        <w:t xml:space="preserve">Business intelligence and data visualization tools for interactive risk dashboards</w:t>
      </w:r>
    </w:p>
    <w:p>
      <w:pPr>
        <w:pStyle w:val="ListParagraph"/>
        <w:numPr>
          <w:ilvl w:val="0"/>
          <w:numId w:val="2"/>
        </w:numPr>
        <w:spacing w:after="100"/>
      </w:pPr>
      <w:r>
        <w:rPr>
          <w:b/>
          <w:bCs/>
        </w:rPr>
        <w:t xml:space="preserve">PDF Rendering Engine (Sapphire): </w:t>
      </w:r>
      <w:r>
        <w:t xml:space="preserve">Automated report generation with chemical structures, data tables, and risk visualizations</w:t>
      </w:r>
    </w:p>
    <w:p>
      <w:pPr>
        <w:pStyle w:val="ListParagraph"/>
        <w:numPr>
          <w:ilvl w:val="0"/>
          <w:numId w:val="2"/>
        </w:numPr>
        <w:spacing w:after="100"/>
      </w:pPr>
      <w:r>
        <w:rPr>
          <w:b/>
          <w:bCs/>
        </w:rPr>
        <w:t xml:space="preserve">Expert Review Portal (Internal): </w:t>
      </w:r>
      <w:r>
        <w:t xml:space="preserve">Web interface for medicinal chemists and toxicologists to validate and annotate predictions</w:t>
      </w:r>
    </w:p>
    <w:p>
      <w:pPr>
        <w:spacing w:after="100"/>
      </w:pPr>
      <w:r>
        <w:rPr>
          <w:b/>
          <w:bCs/>
        </w:rPr>
        <w:t xml:space="preserve">Exemplary Sub-Prompts:</w:t>
      </w:r>
    </w:p>
    <w:p>
      <w:pPr>
        <w:pStyle w:val="ListParagraph"/>
        <w:numPr>
          <w:ilvl w:val="0"/>
          <w:numId w:val="2"/>
        </w:numPr>
        <w:spacing w:after="100"/>
      </w:pPr>
      <w:r>
        <w:t xml:space="preserve">Weight molecular similarity (30%), MOA confidence (25%), phenotypic match (25%), and ADMET liabilities (20%) to compute integrated neurotoxicity risk score.</w:t>
      </w:r>
    </w:p>
    <w:p>
      <w:pPr>
        <w:pStyle w:val="ListParagraph"/>
        <w:numPr>
          <w:ilvl w:val="0"/>
          <w:numId w:val="2"/>
        </w:numPr>
        <w:spacing w:after="100"/>
      </w:pPr>
      <w:r>
        <w:t xml:space="preserve">Stratify candidates into risk tiers: high-risk (score &gt; 0.75), medium-risk (0.50-0.75), low-risk (&lt; 0.50).</w:t>
      </w:r>
    </w:p>
    <w:p>
      <w:pPr>
        <w:pStyle w:val="ListParagraph"/>
        <w:numPr>
          <w:ilvl w:val="0"/>
          <w:numId w:val="2"/>
        </w:numPr>
        <w:spacing w:after="100"/>
      </w:pPr>
      <w:r>
        <w:t xml:space="preserve">Generate detailed chemical summary reports for high-risk compounds with recommended mitigation strategies.</w:t>
      </w:r>
    </w:p>
    <w:p>
      <w:pPr>
        <w:pStyle w:val="ListParagraph"/>
        <w:numPr>
          <w:ilvl w:val="0"/>
          <w:numId w:val="2"/>
        </w:numPr>
        <w:spacing w:after="100"/>
      </w:pPr>
      <w:r>
        <w:t xml:space="preserve">Flag compounds exceeding regulatory thresholds for CNS-active drugs and justify recommendations.</w:t>
      </w:r>
    </w:p>
    <w:p>
      <w:pPr>
        <w:pStyle w:val="ListParagraph"/>
        <w:numPr>
          <w:ilvl w:val="0"/>
          <w:numId w:val="2"/>
        </w:numPr>
        <w:spacing w:after="100"/>
      </w:pPr>
      <w:r>
        <w:t xml:space="preserve">Produce executive summary with ranked lists, risk visualizations, and actionable recommendations for medicinal chemistry optimization.</w:t>
      </w:r>
    </w:p>
    <w:p>
      <w:pPr>
        <w:spacing w:after="100"/>
      </w:pPr>
      <w:r>
        <w:rPr>
          <w:b/>
          <w:bCs/>
        </w:rPr>
        <w:t xml:space="preserve">Expected Outputs:</w:t>
      </w:r>
    </w:p>
    <w:p>
      <w:pPr>
        <w:pStyle w:val="ListParagraph"/>
        <w:numPr>
          <w:ilvl w:val="0"/>
          <w:numId w:val="2"/>
        </w:numPr>
        <w:spacing w:after="100"/>
      </w:pPr>
      <w:r>
        <w:t xml:space="preserve">Integrated neurotoxicity risk scores for all candidates (0-100 scale or 0-1 probability)</w:t>
      </w:r>
    </w:p>
    <w:p>
      <w:pPr>
        <w:pStyle w:val="ListParagraph"/>
        <w:numPr>
          <w:ilvl w:val="0"/>
          <w:numId w:val="2"/>
        </w:numPr>
        <w:spacing w:after="100"/>
      </w:pPr>
      <w:r>
        <w:t xml:space="preserve">Risk stratification table ranking compounds by hazard level with confidence intervals</w:t>
      </w:r>
    </w:p>
    <w:p>
      <w:pPr>
        <w:pStyle w:val="ListParagraph"/>
        <w:numPr>
          <w:ilvl w:val="0"/>
          <w:numId w:val="2"/>
        </w:numPr>
        <w:spacing w:after="100"/>
      </w:pPr>
      <w:r>
        <w:t xml:space="preserve">Detailed per-compound risk profiles with supporting evidence and decision logic</w:t>
      </w:r>
    </w:p>
    <w:p>
      <w:pPr>
        <w:pStyle w:val="ListParagraph"/>
        <w:numPr>
          <w:ilvl w:val="0"/>
          <w:numId w:val="2"/>
        </w:numPr>
        <w:spacing w:after="100"/>
      </w:pPr>
      <w:r>
        <w:t xml:space="preserve">Chemical structures with annotated liability regions and medicinal chemistry recommendations</w:t>
      </w:r>
    </w:p>
    <w:p>
      <w:pPr>
        <w:pStyle w:val="ListParagraph"/>
        <w:numPr>
          <w:ilvl w:val="0"/>
          <w:numId w:val="2"/>
        </w:numPr>
        <w:spacing w:after="100"/>
      </w:pPr>
      <w:r>
        <w:t xml:space="preserve">Executive summary report suitable for medicinal chemist and toxicology review, including go/no-go recommendations</w:t>
      </w:r>
    </w:p>
    <w:p>
      <w:pPr>
        <w:pStyle w:val="ListParagraph"/>
        <w:numPr>
          <w:ilvl w:val="0"/>
          <w:numId w:val="2"/>
        </w:numPr>
        <w:spacing w:after="100"/>
      </w:pPr>
      <w:r>
        <w:t xml:space="preserve">Risk comparison visualizations (radar charts, forest plots) showing relative safety profiles</w:t>
      </w:r>
    </w:p>
    <w:p>
      <w:pPr>
        <w:spacing w:after="200" w:line="360"/>
      </w:pPr>
      <w:r>
        <w:rPr>
          <w:b/>
          <w:bCs/>
        </w:rPr>
        <w:t xml:space="preserve">Format: </w:t>
      </w:r>
      <w:r>
        <w:t xml:space="preserve">Comprehensive PDF reports with embedded structures, interactive Excel workbooks, and web-based dashboards for team collaboration and decision support.</w:t>
      </w:r>
    </w:p>
    <w:p>
      <w:pPr>
        <w:pStyle w:val="Heading2"/>
      </w:pPr>
      <w:r>
        <w:t xml:space="preserve">Tools &amp; Databases Summary</w:t>
      </w:r>
    </w:p>
    <w:p>
      <w:pPr>
        <w:pStyle w:val="ListParagraph"/>
        <w:numPr>
          <w:ilvl w:val="0"/>
          <w:numId w:val="2"/>
        </w:numPr>
        <w:spacing w:after="100"/>
      </w:pPr>
      <w:r>
        <w:t xml:space="preserve">RDKit - Open-source cheminformatics toolkit for molecular descriptor calculation, fingerprint generation, and chemical structure normalization across all pipeline stages</w:t>
      </w:r>
    </w:p>
    <w:p>
      <w:pPr>
        <w:pStyle w:val="ListParagraph"/>
        <w:numPr>
          <w:ilvl w:val="0"/>
          <w:numId w:val="2"/>
        </w:numPr>
        <w:spacing w:after="100"/>
      </w:pPr>
      <w:r>
        <w:t xml:space="preserve">Quiver ChemSpace - Proprietary internal database of Quiver Bioscience's compound library with pre-calculated molecular descriptors and experimental data</w:t>
      </w:r>
    </w:p>
    <w:p>
      <w:pPr>
        <w:pStyle w:val="ListParagraph"/>
        <w:numPr>
          <w:ilvl w:val="0"/>
          <w:numId w:val="2"/>
        </w:numPr>
        <w:spacing w:after="100"/>
      </w:pPr>
      <w:r>
        <w:t xml:space="preserve">PubChem - Large public repository of chemical structures, bioactivity data, and compound identifiers for cross-referencing and validation</w:t>
      </w:r>
    </w:p>
    <w:p>
      <w:pPr>
        <w:pStyle w:val="ListParagraph"/>
        <w:numPr>
          <w:ilvl w:val="0"/>
          <w:numId w:val="2"/>
        </w:numPr>
        <w:spacing w:after="100"/>
      </w:pPr>
      <w:r>
        <w:t xml:space="preserve">Tox21 Database - NIH/NCBI toxicology screening database providing quantitative in vitro toxicity data across diverse chemical compounds</w:t>
      </w:r>
    </w:p>
    <w:p>
      <w:pPr>
        <w:pStyle w:val="ListParagraph"/>
        <w:numPr>
          <w:ilvl w:val="0"/>
          <w:numId w:val="2"/>
        </w:numPr>
        <w:spacing w:after="100"/>
      </w:pPr>
      <w:r>
        <w:t xml:space="preserve">DrugBank - Comprehensive drug reference database with adverse events, mechanisms of action, and toxicological properties</w:t>
      </w:r>
    </w:p>
    <w:p>
      <w:pPr>
        <w:pStyle w:val="ListParagraph"/>
        <w:numPr>
          <w:ilvl w:val="0"/>
          <w:numId w:val="2"/>
        </w:numPr>
        <w:spacing w:after="100"/>
      </w:pPr>
      <w:r>
        <w:t xml:space="preserve">CompTox Dashboard - EPA integrated platform for chemical hazard characterization and computational toxicology assessment</w:t>
      </w:r>
    </w:p>
    <w:p>
      <w:pPr>
        <w:pStyle w:val="ListParagraph"/>
        <w:numPr>
          <w:ilvl w:val="0"/>
          <w:numId w:val="2"/>
        </w:numPr>
        <w:spacing w:after="100"/>
      </w:pPr>
      <w:r>
        <w:t xml:space="preserve">ChEMBL - Large bioactivity database with extensive target and mechanism annotations for machine learning model training</w:t>
      </w:r>
    </w:p>
    <w:p>
      <w:pPr>
        <w:pStyle w:val="ListParagraph"/>
        <w:numPr>
          <w:ilvl w:val="0"/>
          <w:numId w:val="2"/>
        </w:numPr>
        <w:spacing w:after="100"/>
      </w:pPr>
      <w:r>
        <w:t xml:space="preserve">KEGG Pathways - Pathway knowledge base linking chemical structures and drug interactions to biological processes and cellular outcomes</w:t>
      </w:r>
    </w:p>
    <w:p>
      <w:pPr>
        <w:pStyle w:val="ListParagraph"/>
        <w:numPr>
          <w:ilvl w:val="0"/>
          <w:numId w:val="2"/>
        </w:numPr>
        <w:spacing w:after="100"/>
      </w:pPr>
      <w:r>
        <w:t xml:space="preserve">Sapphire AI Engine - Quiver Bioscience's custom machine learning models trained on proprietary pharmacological and phenotypic datasets</w:t>
      </w:r>
    </w:p>
    <w:p>
      <w:pPr>
        <w:pStyle w:val="ListParagraph"/>
        <w:numPr>
          <w:ilvl w:val="0"/>
          <w:numId w:val="2"/>
        </w:numPr>
        <w:spacing w:after="100"/>
      </w:pPr>
      <w:r>
        <w:t xml:space="preserve">Schrödinger Canvas - Commercial chemoinformatics platform for fingerprint generation, similarity searching, and pharmacophore-based virtual screening</w:t>
      </w:r>
    </w:p>
    <w:p>
      <w:pPr>
        <w:pStyle w:val="ListParagraph"/>
        <w:numPr>
          <w:ilvl w:val="0"/>
          <w:numId w:val="2"/>
        </w:numPr>
        <w:spacing w:after="100"/>
      </w:pPr>
      <w:r>
        <w:t xml:space="preserve">MOE (Molecular Operating Environment) - Comprehensive computational chemistry software with advanced pharmacophore modeling and similarity algorithms</w:t>
      </w:r>
    </w:p>
    <w:p>
      <w:pPr>
        <w:pStyle w:val="ListParagraph"/>
        <w:numPr>
          <w:ilvl w:val="0"/>
          <w:numId w:val="2"/>
        </w:numPr>
        <w:spacing w:after="100"/>
      </w:pPr>
      <w:r>
        <w:t xml:space="preserve">Pipeline Pilot - Enterprise workflow automation platform for batch processing, descriptor calculation, and large-scale data normalization</w:t>
      </w:r>
    </w:p>
    <w:p>
      <w:pPr>
        <w:pStyle w:val="ListParagraph"/>
        <w:numPr>
          <w:ilvl w:val="0"/>
          <w:numId w:val="2"/>
        </w:numPr>
        <w:spacing w:after="100"/>
      </w:pPr>
      <w:r>
        <w:t xml:space="preserve">Ingenuity Pathway Analysis (IPA) - Systems biology platform integrating gene/protein interactions with phenotypic outcomes and mechanism inference</w:t>
      </w:r>
    </w:p>
    <w:p>
      <w:pPr>
        <w:pStyle w:val="ListParagraph"/>
        <w:numPr>
          <w:ilvl w:val="0"/>
          <w:numId w:val="2"/>
        </w:numPr>
        <w:spacing w:after="100"/>
      </w:pPr>
      <w:r>
        <w:t xml:space="preserve">Sapphire Phenotype Prediction Engine - Custom deep neural network predicting multi-dimensional cellular phenotypes from chemical structures</w:t>
      </w:r>
    </w:p>
    <w:p>
      <w:pPr>
        <w:pStyle w:val="ListParagraph"/>
        <w:numPr>
          <w:ilvl w:val="0"/>
          <w:numId w:val="2"/>
        </w:numPr>
        <w:spacing w:after="100"/>
      </w:pPr>
      <w:r>
        <w:t xml:space="preserve">Sapphire Risk Integrator - Internal algorithm synthesizing multiple risk factors into unified neurotoxicity hazard score for decision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2026-03-01T19:15:30.314Z</dcterms:created>
  <dcterms:modified xsi:type="dcterms:W3CDTF">2026-03-01T19:15:30.314Z</dcterms:modified>
</cp:coreProperties>
</file>

<file path=docProps/custom.xml><?xml version="1.0" encoding="utf-8"?>
<Properties xmlns="http://schemas.openxmlformats.org/officeDocument/2006/custom-properties" xmlns:vt="http://schemas.openxmlformats.org/officeDocument/2006/docPropsVTypes"/>
</file>