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"For target X, estimate likelihood of psychiatric adverse events."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Sapphire Pipeline 109 is engineered to systematically estimate the risk of psychiatric adverse events for a given pharmacological target (e.g., serotonin transporter, dopamine D2 receptor, glutamate NMDA receptor). This pipeline integrates target biology, drug candidate chemical series, off-target binding prediction, human genetics data, and clinical outcomes databases to quantify the psychiatric safety profile of compounds targeting a specified biological entity. By harmonizing computational pharmacology, genomics, and medical informatics, the pipeline enables early identification of psychiatric liabilities and supports informed target and chemical series selection for CNS drug discovery.</w:t>
      </w:r>
    </w:p>
    <w:p>
      <w:pPr>
        <w:spacing w:after="200" w:line="360"/>
      </w:pPr>
      <w:r>
        <w:t xml:space="preserve">The workflow progresses through sequential computational stages that characterize target engagement mechanisms, predict off-target activities in psychiatric-relevant systems, integrate human genetic risk factors, and synthesize evidence into a confidence-weighted risk assessment. Each stage is grounded in established neuropharmacology, systems biology, and clinical pharmacoepidemiology, ensuring scientific rigor and regulatory alignment. The pipeline outputs serve dual purposes: rapid risk flagging for project teams and detailed mechanistic insights for medicinal chemistry optimization and clinical strategy.</w:t>
      </w:r>
    </w:p>
    <w:p>
      <w:pPr>
        <w:pStyle w:val="Heading2"/>
      </w:pPr>
      <w:r>
        <w:t xml:space="preserve">Stage 1: Target Biology Profiling &amp; Mechanism Characterization</w:t>
      </w:r>
    </w:p>
    <w:p>
      <w:pPr>
        <w:spacing w:after="200" w:line="360"/>
      </w:pPr>
      <w:r>
        <w:rPr>
          <w:b/>
          <w:bCs/>
        </w:rPr>
        <w:t xml:space="preserve">Purpose: </w:t>
      </w:r>
      <w:r>
        <w:t xml:space="preserve">Comprehensively characterize the pharmacological target (ligand-binding properties, tissue distribution, expression patterns, known biological functions) and map its role in psychiatric physiology and pathophysiology to establish the mechanistic foundation for psychiatric adverse event risk assessment.</w:t>
      </w:r>
    </w:p>
    <w:p>
      <w:pPr>
        <w:spacing w:after="100"/>
      </w:pPr>
      <w:r>
        <w:rPr>
          <w:b/>
          <w:bCs/>
        </w:rPr>
        <w:t xml:space="preserve">Inputs:</w:t>
      </w:r>
    </w:p>
    <w:p>
      <w:pPr>
        <w:pStyle w:val="ListParagraph"/>
        <w:numPr>
          <w:ilvl w:val="0"/>
          <w:numId w:val="2"/>
        </w:numPr>
        <w:spacing w:after="100"/>
      </w:pPr>
      <w:r>
        <w:t xml:space="preserve">Target protein name, UniProt ID, and gene symbol (e.g., SLC6A4 for SERT, DRD2 for D2 dopamine receptor)</w:t>
      </w:r>
    </w:p>
    <w:p>
      <w:pPr>
        <w:pStyle w:val="ListParagraph"/>
        <w:numPr>
          <w:ilvl w:val="0"/>
          <w:numId w:val="2"/>
        </w:numPr>
        <w:spacing w:after="100"/>
      </w:pPr>
      <w:r>
        <w:t xml:space="preserve">Target family classification (GPCR, ion channel, transporter, enzyme, nuclear receptor)</w:t>
      </w:r>
    </w:p>
    <w:p>
      <w:pPr>
        <w:pStyle w:val="ListParagraph"/>
        <w:numPr>
          <w:ilvl w:val="0"/>
          <w:numId w:val="2"/>
        </w:numPr>
        <w:spacing w:after="100"/>
      </w:pPr>
      <w:r>
        <w:t xml:space="preserve">Known native ligands and endogenous substrates (e.g., serotonin for SERT, dopamine for D2)</w:t>
      </w:r>
    </w:p>
    <w:p>
      <w:pPr>
        <w:pStyle w:val="ListParagraph"/>
        <w:numPr>
          <w:ilvl w:val="0"/>
          <w:numId w:val="2"/>
        </w:numPr>
        <w:spacing w:after="100"/>
      </w:pPr>
      <w:r>
        <w:t xml:space="preserve">Target expression patterns across brain regions and peripheral tissues (RNA-seq, immunohistochemistry data)</w:t>
      </w:r>
    </w:p>
    <w:p>
      <w:pPr>
        <w:pStyle w:val="ListParagraph"/>
        <w:numPr>
          <w:ilvl w:val="0"/>
          <w:numId w:val="2"/>
        </w:numPr>
        <w:spacing w:after="100"/>
      </w:pPr>
      <w:r>
        <w:t xml:space="preserve">Historical clinical compounds and their psychiatric adverse event profiles (FDA MedWatch, literature case reports)</w:t>
      </w:r>
    </w:p>
    <w:p>
      <w:pPr>
        <w:spacing w:after="100"/>
      </w:pPr>
      <w:r>
        <w:rPr>
          <w:b/>
          <w:bCs/>
        </w:rPr>
        <w:t xml:space="preserve">Tools &amp; Databases Called:</w:t>
      </w:r>
    </w:p>
    <w:p>
      <w:pPr>
        <w:pStyle w:val="ListParagraph"/>
        <w:numPr>
          <w:ilvl w:val="0"/>
          <w:numId w:val="2"/>
        </w:numPr>
        <w:spacing w:after="100"/>
      </w:pPr>
      <w:r>
        <w:rPr>
          <w:b/>
          <w:bCs/>
        </w:rPr>
        <w:t xml:space="preserve">UniProt/SwissProt: </w:t>
      </w:r>
      <w:r>
        <w:t xml:space="preserve">Comprehensive protein sequence and functional annotation database</w:t>
      </w:r>
    </w:p>
    <w:p>
      <w:pPr>
        <w:pStyle w:val="ListParagraph"/>
        <w:numPr>
          <w:ilvl w:val="0"/>
          <w:numId w:val="2"/>
        </w:numPr>
        <w:spacing w:after="100"/>
      </w:pPr>
      <w:r>
        <w:rPr>
          <w:b/>
          <w:bCs/>
        </w:rPr>
        <w:t xml:space="preserve">NCBI Gene &amp; GEO (Gene Expression Omnibus): </w:t>
      </w:r>
      <w:r>
        <w:t xml:space="preserve">Gene nomenclature, expression profiles across tissues and disease states</w:t>
      </w:r>
    </w:p>
    <w:p>
      <w:pPr>
        <w:pStyle w:val="ListParagraph"/>
        <w:numPr>
          <w:ilvl w:val="0"/>
          <w:numId w:val="2"/>
        </w:numPr>
        <w:spacing w:after="100"/>
      </w:pPr>
      <w:r>
        <w:rPr>
          <w:b/>
          <w:bCs/>
        </w:rPr>
        <w:t xml:space="preserve">Human Protein Atlas (HPA): </w:t>
      </w:r>
      <w:r>
        <w:t xml:space="preserve">Tissue expression and subcellular localization for CNS and psychiatric-relevant tissues</w:t>
      </w:r>
    </w:p>
    <w:p>
      <w:pPr>
        <w:pStyle w:val="ListParagraph"/>
        <w:numPr>
          <w:ilvl w:val="0"/>
          <w:numId w:val="2"/>
        </w:numPr>
        <w:spacing w:after="100"/>
      </w:pPr>
      <w:r>
        <w:rPr>
          <w:b/>
          <w:bCs/>
        </w:rPr>
        <w:t xml:space="preserve">IUPHAR/BPS Guide to Pharmacology: </w:t>
      </w:r>
      <w:r>
        <w:t xml:space="preserve">Authoritative database of drug targets, ligands, and pharmacological properties</w:t>
      </w:r>
    </w:p>
    <w:p>
      <w:pPr>
        <w:pStyle w:val="ListParagraph"/>
        <w:numPr>
          <w:ilvl w:val="0"/>
          <w:numId w:val="2"/>
        </w:numPr>
        <w:spacing w:after="100"/>
      </w:pPr>
      <w:r>
        <w:rPr>
          <w:b/>
          <w:bCs/>
        </w:rPr>
        <w:t xml:space="preserve">CTD (Comparative Toxicogenomics Database): </w:t>
      </w:r>
      <w:r>
        <w:t xml:space="preserve">Chemical-gene interactions and disease associations curated from literature</w:t>
      </w:r>
    </w:p>
    <w:p>
      <w:pPr>
        <w:pStyle w:val="ListParagraph"/>
        <w:numPr>
          <w:ilvl w:val="0"/>
          <w:numId w:val="2"/>
        </w:numPr>
        <w:spacing w:after="100"/>
      </w:pPr>
      <w:r>
        <w:rPr>
          <w:b/>
          <w:bCs/>
        </w:rPr>
        <w:t xml:space="preserve">FDA Adverse Event Reporting System (FAERS): </w:t>
      </w:r>
      <w:r>
        <w:t xml:space="preserve">Pharmacovigilance database tracking psychiatric adverse events for marketed drugs</w:t>
      </w:r>
    </w:p>
    <w:p>
      <w:pPr>
        <w:spacing w:after="100"/>
      </w:pPr>
      <w:r>
        <w:rPr>
          <w:b/>
          <w:bCs/>
        </w:rPr>
        <w:t xml:space="preserve">Exemplary Sub-Prompts:</w:t>
      </w:r>
    </w:p>
    <w:p>
      <w:pPr>
        <w:pStyle w:val="ListParagraph"/>
        <w:numPr>
          <w:ilvl w:val="0"/>
          <w:numId w:val="2"/>
        </w:numPr>
        <w:spacing w:after="100"/>
      </w:pPr>
      <w:r>
        <w:t xml:space="preserve">Retrieve expression profile for target across prefrontal cortex, striatum, amygdala, hippocampus, and ventral tegmental area.</w:t>
      </w:r>
    </w:p>
    <w:p>
      <w:pPr>
        <w:pStyle w:val="ListParagraph"/>
        <w:numPr>
          <w:ilvl w:val="0"/>
          <w:numId w:val="2"/>
        </w:numPr>
        <w:spacing w:after="100"/>
      </w:pPr>
      <w:r>
        <w:t xml:space="preserve">Identify native ligand (e.g., serotonin, dopamine, glutamate) and characterize receptor signaling cascades (G-protein vs. beta-arrestin coupling).</w:t>
      </w:r>
    </w:p>
    <w:p>
      <w:pPr>
        <w:pStyle w:val="ListParagraph"/>
        <w:numPr>
          <w:ilvl w:val="0"/>
          <w:numId w:val="2"/>
        </w:numPr>
        <w:spacing w:after="100"/>
      </w:pPr>
      <w:r>
        <w:t xml:space="preserve">Compile psychiatric adverse event profiles from all marketed drugs targeting this protein (depression, anxiety, psychosis, mania, suicidality).</w:t>
      </w:r>
    </w:p>
    <w:p>
      <w:pPr>
        <w:pStyle w:val="ListParagraph"/>
        <w:numPr>
          <w:ilvl w:val="0"/>
          <w:numId w:val="2"/>
        </w:numPr>
        <w:spacing w:after="100"/>
      </w:pPr>
      <w:r>
        <w:t xml:space="preserve">Map target role in mood, cognition, reward, and stress-response neural circuits using systems neuroscience literature.</w:t>
      </w:r>
    </w:p>
    <w:p>
      <w:pPr>
        <w:pStyle w:val="ListParagraph"/>
        <w:numPr>
          <w:ilvl w:val="0"/>
          <w:numId w:val="2"/>
        </w:numPr>
        <w:spacing w:after="100"/>
      </w:pPr>
      <w:r>
        <w:t xml:space="preserve">Identify genetic polymorphisms and mutations in the target gene associated with psychiatric disorders (GWAS, sequencing studies).</w:t>
      </w:r>
    </w:p>
    <w:p>
      <w:pPr>
        <w:spacing w:after="100"/>
      </w:pPr>
      <w:r>
        <w:rPr>
          <w:b/>
          <w:bCs/>
        </w:rPr>
        <w:t xml:space="preserve">Expected Outputs:</w:t>
      </w:r>
    </w:p>
    <w:p>
      <w:pPr>
        <w:pStyle w:val="ListParagraph"/>
        <w:numPr>
          <w:ilvl w:val="0"/>
          <w:numId w:val="2"/>
        </w:numPr>
        <w:spacing w:after="100"/>
      </w:pPr>
      <w:r>
        <w:t xml:space="preserve">Target biology profile document with expression patterns, signaling properties, and tissue distribution</w:t>
      </w:r>
    </w:p>
    <w:p>
      <w:pPr>
        <w:pStyle w:val="ListParagraph"/>
        <w:numPr>
          <w:ilvl w:val="0"/>
          <w:numId w:val="2"/>
        </w:numPr>
        <w:spacing w:after="100"/>
      </w:pPr>
      <w:r>
        <w:t xml:space="preserve">Psychiatric relevance assessment (high/medium/low risk based on target's known role in mood, cognition, psychosis)</w:t>
      </w:r>
    </w:p>
    <w:p>
      <w:pPr>
        <w:pStyle w:val="ListParagraph"/>
        <w:numPr>
          <w:ilvl w:val="0"/>
          <w:numId w:val="2"/>
        </w:numPr>
        <w:spacing w:after="100"/>
      </w:pPr>
      <w:r>
        <w:t xml:space="preserve">Compiled psychiatric adverse event database for historical compounds targeting this protein</w:t>
      </w:r>
    </w:p>
    <w:p>
      <w:pPr>
        <w:pStyle w:val="ListParagraph"/>
        <w:numPr>
          <w:ilvl w:val="0"/>
          <w:numId w:val="2"/>
        </w:numPr>
        <w:spacing w:after="100"/>
      </w:pPr>
      <w:r>
        <w:t xml:space="preserve">Neural circuit map showing target localization in mood, reward, and cognitive networks</w:t>
      </w:r>
    </w:p>
    <w:p>
      <w:pPr>
        <w:pStyle w:val="ListParagraph"/>
        <w:numPr>
          <w:ilvl w:val="0"/>
          <w:numId w:val="2"/>
        </w:numPr>
        <w:spacing w:after="100"/>
      </w:pPr>
      <w:r>
        <w:t xml:space="preserve">Genetic risk factor summary (polymorphisms, loss-of-function variants associated with psychiatric disease)</w:t>
      </w:r>
    </w:p>
    <w:p>
      <w:pPr>
        <w:pStyle w:val="ListParagraph"/>
        <w:numPr>
          <w:ilvl w:val="0"/>
          <w:numId w:val="2"/>
        </w:numPr>
        <w:spacing w:after="100"/>
      </w:pPr>
      <w:r>
        <w:t xml:space="preserve">Pharmacological liability assessment (native ligand potency, selectivity vs. related targets, feedback mechanisms)</w:t>
      </w:r>
    </w:p>
    <w:p>
      <w:pPr>
        <w:spacing w:after="200" w:line="360"/>
      </w:pPr>
      <w:r>
        <w:rPr>
          <w:b/>
          <w:bCs/>
        </w:rPr>
        <w:t xml:space="preserve">Format: </w:t>
      </w:r>
      <w:r>
        <w:t xml:space="preserve">Comprehensive target profile report (PDF) with neural circuit diagrams, expression heatmaps, and adverse event summaries in structured tables.</w:t>
      </w:r>
    </w:p>
    <w:p>
      <w:pPr>
        <w:pStyle w:val="Heading2"/>
      </w:pPr>
      <w:r>
        <w:t xml:space="preserve">Stage 2: Compound Profiling &amp; Target Engagement Prediction</w:t>
      </w:r>
    </w:p>
    <w:p>
      <w:pPr>
        <w:spacing w:after="200" w:line="360"/>
      </w:pPr>
      <w:r>
        <w:rPr>
          <w:b/>
          <w:bCs/>
        </w:rPr>
        <w:t xml:space="preserve">Purpose: </w:t>
      </w:r>
      <w:r>
        <w:t xml:space="preserve">Analyze query compounds (if available) and predict binding affinity, selectivity, and functional mechanism (agonist, antagonist, allosteric modulator) for the target to quantify the degree and nature of target engagement.</w:t>
      </w:r>
    </w:p>
    <w:p>
      <w:pPr>
        <w:spacing w:after="100"/>
      </w:pPr>
      <w:r>
        <w:rPr>
          <w:b/>
          <w:bCs/>
        </w:rPr>
        <w:t xml:space="preserve">Inputs:</w:t>
      </w:r>
    </w:p>
    <w:p>
      <w:pPr>
        <w:pStyle w:val="ListParagraph"/>
        <w:numPr>
          <w:ilvl w:val="0"/>
          <w:numId w:val="2"/>
        </w:numPr>
        <w:spacing w:after="100"/>
      </w:pPr>
      <w:r>
        <w:t xml:space="preserve">Candidate compound structures (SMILES, SDF) or chemical series descriptors</w:t>
      </w:r>
    </w:p>
    <w:p>
      <w:pPr>
        <w:pStyle w:val="ListParagraph"/>
        <w:numPr>
          <w:ilvl w:val="0"/>
          <w:numId w:val="2"/>
        </w:numPr>
        <w:spacing w:after="100"/>
      </w:pPr>
      <w:r>
        <w:t xml:space="preserve">Molecular descriptors and physicochemical properties (logP, MW, HBD/HBA, polar surface area)</w:t>
      </w:r>
    </w:p>
    <w:p>
      <w:pPr>
        <w:pStyle w:val="ListParagraph"/>
        <w:numPr>
          <w:ilvl w:val="0"/>
          <w:numId w:val="2"/>
        </w:numPr>
        <w:spacing w:after="100"/>
      </w:pPr>
      <w:r>
        <w:t xml:space="preserve">Target binding pocket information and structural models (X-ray crystallography, cryo-EM structures)</w:t>
      </w:r>
    </w:p>
    <w:p>
      <w:pPr>
        <w:pStyle w:val="ListParagraph"/>
        <w:numPr>
          <w:ilvl w:val="0"/>
          <w:numId w:val="2"/>
        </w:numPr>
        <w:spacing w:after="100"/>
      </w:pPr>
      <w:r>
        <w:t xml:space="preserve">Known ligands and their binding affinity data (Ki, Kd, IC50 values)</w:t>
      </w:r>
    </w:p>
    <w:p>
      <w:pPr>
        <w:pStyle w:val="ListParagraph"/>
        <w:numPr>
          <w:ilvl w:val="0"/>
          <w:numId w:val="2"/>
        </w:numPr>
        <w:spacing w:after="100"/>
      </w:pPr>
      <w:r>
        <w:t xml:space="preserve">Functional assay readouts (cAMP, GTP-binding, ion channel patch-clamp, receptor internalization)</w:t>
      </w:r>
    </w:p>
    <w:p>
      <w:pPr>
        <w:spacing w:after="100"/>
      </w:pPr>
      <w:r>
        <w:rPr>
          <w:b/>
          <w:bCs/>
        </w:rPr>
        <w:t xml:space="preserve">Tools &amp; Databases Called:</w:t>
      </w:r>
    </w:p>
    <w:p>
      <w:pPr>
        <w:pStyle w:val="ListParagraph"/>
        <w:numPr>
          <w:ilvl w:val="0"/>
          <w:numId w:val="2"/>
        </w:numPr>
        <w:spacing w:after="100"/>
      </w:pPr>
      <w:r>
        <w:rPr>
          <w:b/>
          <w:bCs/>
        </w:rPr>
        <w:t xml:space="preserve">Schrödinger Glide: </w:t>
      </w:r>
      <w:r>
        <w:t xml:space="preserve">Molecular docking and binding affinity prediction for target-ligand interactions</w:t>
      </w:r>
    </w:p>
    <w:p>
      <w:pPr>
        <w:pStyle w:val="ListParagraph"/>
        <w:numPr>
          <w:ilvl w:val="0"/>
          <w:numId w:val="2"/>
        </w:numPr>
        <w:spacing w:after="100"/>
      </w:pPr>
      <w:r>
        <w:rPr>
          <w:b/>
          <w:bCs/>
        </w:rPr>
        <w:t xml:space="preserve">RCSB PDB (Protein Data Bank): </w:t>
      </w:r>
      <w:r>
        <w:t xml:space="preserve">Repository of experimental protein structures including target-ligand complexes</w:t>
      </w:r>
    </w:p>
    <w:p>
      <w:pPr>
        <w:pStyle w:val="ListParagraph"/>
        <w:numPr>
          <w:ilvl w:val="0"/>
          <w:numId w:val="2"/>
        </w:numPr>
        <w:spacing w:after="100"/>
      </w:pPr>
      <w:r>
        <w:rPr>
          <w:b/>
          <w:bCs/>
        </w:rPr>
        <w:t xml:space="preserve">ChEMBL &amp; BindingDB: </w:t>
      </w:r>
      <w:r>
        <w:t xml:space="preserve">Large bioactivity databases with binding affinity data for target-compound interactions</w:t>
      </w:r>
    </w:p>
    <w:p>
      <w:pPr>
        <w:pStyle w:val="ListParagraph"/>
        <w:numPr>
          <w:ilvl w:val="0"/>
          <w:numId w:val="2"/>
        </w:numPr>
        <w:spacing w:after="100"/>
      </w:pPr>
      <w:r>
        <w:rPr>
          <w:b/>
          <w:bCs/>
        </w:rPr>
        <w:t xml:space="preserve">DeepTox &amp; Sapphire Binding Predictor: </w:t>
      </w:r>
      <w:r>
        <w:t xml:space="preserve">Deep learning models for predicting binding affinity and functional mechanism from chemical structure</w:t>
      </w:r>
    </w:p>
    <w:p>
      <w:pPr>
        <w:pStyle w:val="ListParagraph"/>
        <w:numPr>
          <w:ilvl w:val="0"/>
          <w:numId w:val="2"/>
        </w:numPr>
        <w:spacing w:after="100"/>
      </w:pPr>
      <w:r>
        <w:rPr>
          <w:b/>
          <w:bCs/>
        </w:rPr>
        <w:t xml:space="preserve">Quiver PharmacoDB (Internal): </w:t>
      </w:r>
      <w:r>
        <w:t xml:space="preserve">Proprietary database of in-house binding and functional assay data</w:t>
      </w:r>
    </w:p>
    <w:p>
      <w:pPr>
        <w:pStyle w:val="ListParagraph"/>
        <w:numPr>
          <w:ilvl w:val="0"/>
          <w:numId w:val="2"/>
        </w:numPr>
        <w:spacing w:after="100"/>
      </w:pPr>
      <w:r>
        <w:rPr>
          <w:b/>
          <w:bCs/>
        </w:rPr>
        <w:t xml:space="preserve">MOE/PyMOL: </w:t>
      </w:r>
      <w:r>
        <w:t xml:space="preserve">Molecular visualization and computational chemistry for binding pocket analysis</w:t>
      </w:r>
    </w:p>
    <w:p>
      <w:pPr>
        <w:spacing w:after="100"/>
      </w:pPr>
      <w:r>
        <w:rPr>
          <w:b/>
          <w:bCs/>
        </w:rPr>
        <w:t xml:space="preserve">Exemplary Sub-Prompts:</w:t>
      </w:r>
    </w:p>
    <w:p>
      <w:pPr>
        <w:pStyle w:val="ListParagraph"/>
        <w:numPr>
          <w:ilvl w:val="0"/>
          <w:numId w:val="2"/>
        </w:numPr>
        <w:spacing w:after="100"/>
      </w:pPr>
      <w:r>
        <w:t xml:space="preserve">Predict binding affinity (Kd/Ki) for each candidate compound to the target using docking and machine learning.</w:t>
      </w:r>
    </w:p>
    <w:p>
      <w:pPr>
        <w:pStyle w:val="ListParagraph"/>
        <w:numPr>
          <w:ilvl w:val="0"/>
          <w:numId w:val="2"/>
        </w:numPr>
        <w:spacing w:after="100"/>
      </w:pPr>
      <w:r>
        <w:t xml:space="preserve">Classify functional mechanism as agonist, antagonist, partial agonist, or allosteric modulator based on predicted signaling outcomes.</w:t>
      </w:r>
    </w:p>
    <w:p>
      <w:pPr>
        <w:pStyle w:val="ListParagraph"/>
        <w:numPr>
          <w:ilvl w:val="0"/>
          <w:numId w:val="2"/>
        </w:numPr>
        <w:spacing w:after="100"/>
      </w:pPr>
      <w:r>
        <w:t xml:space="preserve">Estimate target occupancy at therapeutic dose ranges (assuming standard PK properties).</w:t>
      </w:r>
    </w:p>
    <w:p>
      <w:pPr>
        <w:pStyle w:val="ListParagraph"/>
        <w:numPr>
          <w:ilvl w:val="0"/>
          <w:numId w:val="2"/>
        </w:numPr>
        <w:spacing w:after="100"/>
      </w:pPr>
      <w:r>
        <w:t xml:space="preserve">Predict functional selectivity ratio (G-protein coupling vs. beta-arrestin signaling for GPCRs).</w:t>
      </w:r>
    </w:p>
    <w:p>
      <w:pPr>
        <w:pStyle w:val="ListParagraph"/>
        <w:numPr>
          <w:ilvl w:val="0"/>
          <w:numId w:val="2"/>
        </w:numPr>
        <w:spacing w:after="100"/>
      </w:pPr>
      <w:r>
        <w:t xml:space="preserve">Assess potential for on-target compensatory effects or feedback disruptions based on neural circuit modeling.</w:t>
      </w:r>
    </w:p>
    <w:p>
      <w:pPr>
        <w:spacing w:after="100"/>
      </w:pPr>
      <w:r>
        <w:rPr>
          <w:b/>
          <w:bCs/>
        </w:rPr>
        <w:t xml:space="preserve">Expected Outputs:</w:t>
      </w:r>
    </w:p>
    <w:p>
      <w:pPr>
        <w:pStyle w:val="ListParagraph"/>
        <w:numPr>
          <w:ilvl w:val="0"/>
          <w:numId w:val="2"/>
        </w:numPr>
        <w:spacing w:after="100"/>
      </w:pPr>
      <w:r>
        <w:t xml:space="preserve">Predicted binding affinity matrix (compounds × affinities with confidence intervals)</w:t>
      </w:r>
    </w:p>
    <w:p>
      <w:pPr>
        <w:pStyle w:val="ListParagraph"/>
        <w:numPr>
          <w:ilvl w:val="0"/>
          <w:numId w:val="2"/>
        </w:numPr>
        <w:spacing w:after="100"/>
      </w:pPr>
      <w:r>
        <w:t xml:space="preserve">Functional mechanism predictions (agonist/antagonist classification with supporting evidence)</w:t>
      </w:r>
    </w:p>
    <w:p>
      <w:pPr>
        <w:pStyle w:val="ListParagraph"/>
        <w:numPr>
          <w:ilvl w:val="0"/>
          <w:numId w:val="2"/>
        </w:numPr>
        <w:spacing w:after="100"/>
      </w:pPr>
      <w:r>
        <w:t xml:space="preserve">Target occupancy estimates across therapeutic dose ranges</w:t>
      </w:r>
    </w:p>
    <w:p>
      <w:pPr>
        <w:pStyle w:val="ListParagraph"/>
        <w:numPr>
          <w:ilvl w:val="0"/>
          <w:numId w:val="2"/>
        </w:numPr>
        <w:spacing w:after="100"/>
      </w:pPr>
      <w:r>
        <w:t xml:space="preserve">Docking poses and binding pocket interaction diagrams for high-affinity compounds</w:t>
      </w:r>
    </w:p>
    <w:p>
      <w:pPr>
        <w:pStyle w:val="ListParagraph"/>
        <w:numPr>
          <w:ilvl w:val="0"/>
          <w:numId w:val="2"/>
        </w:numPr>
        <w:spacing w:after="100"/>
      </w:pPr>
      <w:r>
        <w:t xml:space="preserve">Functional selectivity predictions (pathway-biased signaling assessments)</w:t>
      </w:r>
    </w:p>
    <w:p>
      <w:pPr>
        <w:pStyle w:val="ListParagraph"/>
        <w:numPr>
          <w:ilvl w:val="0"/>
          <w:numId w:val="2"/>
        </w:numPr>
        <w:spacing w:after="100"/>
      </w:pPr>
      <w:r>
        <w:t xml:space="preserve">On-target pharmacological risk assessment (likelihood of disrupting homeostatic feedback, compensatory mechanisms)</w:t>
      </w:r>
    </w:p>
    <w:p>
      <w:pPr>
        <w:spacing w:after="200" w:line="360"/>
      </w:pPr>
      <w:r>
        <w:rPr>
          <w:b/>
          <w:bCs/>
        </w:rPr>
        <w:t xml:space="preserve">Format: </w:t>
      </w:r>
      <w:r>
        <w:t xml:space="preserve">Affinity prediction tables (Excel), docking visualization files (PDB), and mechanism classification reports.</w:t>
      </w:r>
    </w:p>
    <w:p>
      <w:pPr>
        <w:pStyle w:val="Heading2"/>
      </w:pPr>
      <w:r>
        <w:t xml:space="preserve">Stage 3: Off-Target Binding &amp; Psychiatric Pathway Analysis</w:t>
      </w:r>
    </w:p>
    <w:p>
      <w:pPr>
        <w:spacing w:after="200" w:line="360"/>
      </w:pPr>
      <w:r>
        <w:rPr>
          <w:b/>
          <w:bCs/>
        </w:rPr>
        <w:t xml:space="preserve">Purpose: </w:t>
      </w:r>
      <w:r>
        <w:t xml:space="preserve">Systematically predict off-target binding across psychiatric-relevant receptors, transporters, and ion channels, and map compound-target interactions to known psychiatric risk pathways (monoaminergic, glutamatergic, GABAergic, cholinergic systems).</w:t>
      </w:r>
    </w:p>
    <w:p>
      <w:pPr>
        <w:spacing w:after="100"/>
      </w:pPr>
      <w:r>
        <w:rPr>
          <w:b/>
          <w:bCs/>
        </w:rPr>
        <w:t xml:space="preserve">Inputs:</w:t>
      </w:r>
    </w:p>
    <w:p>
      <w:pPr>
        <w:pStyle w:val="ListParagraph"/>
        <w:numPr>
          <w:ilvl w:val="0"/>
          <w:numId w:val="2"/>
        </w:numPr>
        <w:spacing w:after="100"/>
      </w:pPr>
      <w:r>
        <w:t xml:space="preserve">Candidate compound structures and molecular descriptors from Stage 2</w:t>
      </w:r>
    </w:p>
    <w:p>
      <w:pPr>
        <w:pStyle w:val="ListParagraph"/>
        <w:numPr>
          <w:ilvl w:val="0"/>
          <w:numId w:val="2"/>
        </w:numPr>
        <w:spacing w:after="100"/>
      </w:pPr>
      <w:r>
        <w:t xml:space="preserve">Panel of psychiatric-relevant targets (serotonin 5-HT receptors/transporter, dopamine D1/D2/D3, norepinephrine, histamine, muscarinic, sigma-1 receptor, etc.)</w:t>
      </w:r>
    </w:p>
    <w:p>
      <w:pPr>
        <w:pStyle w:val="ListParagraph"/>
        <w:numPr>
          <w:ilvl w:val="0"/>
          <w:numId w:val="2"/>
        </w:numPr>
        <w:spacing w:after="100"/>
      </w:pPr>
      <w:r>
        <w:t xml:space="preserve">Known psychiatric adverse event mechanisms (antimuscarinic effects, QT prolongation, extrapyramidal symptoms, mood destabilization)</w:t>
      </w:r>
    </w:p>
    <w:p>
      <w:pPr>
        <w:pStyle w:val="ListParagraph"/>
        <w:numPr>
          <w:ilvl w:val="0"/>
          <w:numId w:val="2"/>
        </w:numPr>
        <w:spacing w:after="100"/>
      </w:pPr>
      <w:r>
        <w:t xml:space="preserve">Structure-activity relationships (SAR) for off-target activities in psychiatric drug databases</w:t>
      </w:r>
    </w:p>
    <w:p>
      <w:pPr>
        <w:pStyle w:val="ListParagraph"/>
        <w:numPr>
          <w:ilvl w:val="0"/>
          <w:numId w:val="2"/>
        </w:numPr>
        <w:spacing w:after="100"/>
      </w:pPr>
      <w:r>
        <w:t xml:space="preserve">Human genetics data linking off-targets to psychiatric disease risk (GWAS hits, exome sequencing studies)</w:t>
      </w:r>
    </w:p>
    <w:p>
      <w:pPr>
        <w:spacing w:after="100"/>
      </w:pPr>
      <w:r>
        <w:rPr>
          <w:b/>
          <w:bCs/>
        </w:rPr>
        <w:t xml:space="preserve">Tools &amp; Databases Called:</w:t>
      </w:r>
    </w:p>
    <w:p>
      <w:pPr>
        <w:pStyle w:val="ListParagraph"/>
        <w:numPr>
          <w:ilvl w:val="0"/>
          <w:numId w:val="2"/>
        </w:numPr>
        <w:spacing w:after="100"/>
      </w:pPr>
      <w:r>
        <w:rPr>
          <w:b/>
          <w:bCs/>
        </w:rPr>
        <w:t xml:space="preserve">SwissTargetPrediction: </w:t>
      </w:r>
      <w:r>
        <w:t xml:space="preserve">Web-based tool for predicting off-target activities across the proteome</w:t>
      </w:r>
    </w:p>
    <w:p>
      <w:pPr>
        <w:pStyle w:val="ListParagraph"/>
        <w:numPr>
          <w:ilvl w:val="0"/>
          <w:numId w:val="2"/>
        </w:numPr>
        <w:spacing w:after="100"/>
      </w:pPr>
      <w:r>
        <w:rPr>
          <w:b/>
          <w:bCs/>
        </w:rPr>
        <w:t xml:space="preserve">PharmGKB (Pharmacogenomics Knowledge Base): </w:t>
      </w:r>
      <w:r>
        <w:t xml:space="preserve">Curated drug-target-outcome relationships with human genetics and clinical data</w:t>
      </w:r>
    </w:p>
    <w:p>
      <w:pPr>
        <w:pStyle w:val="ListParagraph"/>
        <w:numPr>
          <w:ilvl w:val="0"/>
          <w:numId w:val="2"/>
        </w:numPr>
        <w:spacing w:after="100"/>
      </w:pPr>
      <w:r>
        <w:rPr>
          <w:b/>
          <w:bCs/>
        </w:rPr>
        <w:t xml:space="preserve">SIDER (Side Effect Resource): </w:t>
      </w:r>
      <w:r>
        <w:t xml:space="preserve">Database of marketed drugs and their adverse events, including psychiatric side effects</w:t>
      </w:r>
    </w:p>
    <w:p>
      <w:pPr>
        <w:pStyle w:val="ListParagraph"/>
        <w:numPr>
          <w:ilvl w:val="0"/>
          <w:numId w:val="2"/>
        </w:numPr>
        <w:spacing w:after="100"/>
      </w:pPr>
      <w:r>
        <w:rPr>
          <w:b/>
          <w:bCs/>
        </w:rPr>
        <w:t xml:space="preserve">ChEMBL Bioassay &amp; PubChem: </w:t>
      </w:r>
      <w:r>
        <w:t xml:space="preserve">Large-scale binding affinity and functional assay data across psychiatric targets</w:t>
      </w:r>
    </w:p>
    <w:p>
      <w:pPr>
        <w:pStyle w:val="ListParagraph"/>
        <w:numPr>
          <w:ilvl w:val="0"/>
          <w:numId w:val="2"/>
        </w:numPr>
        <w:spacing w:after="100"/>
      </w:pPr>
      <w:r>
        <w:rPr>
          <w:b/>
          <w:bCs/>
        </w:rPr>
        <w:t xml:space="preserve">Sapphire Off-Target Predictor (Internal): </w:t>
      </w:r>
      <w:r>
        <w:t xml:space="preserve">Custom machine learning model trained on off-target binding and psychiatric adverse events</w:t>
      </w:r>
    </w:p>
    <w:p>
      <w:pPr>
        <w:pStyle w:val="ListParagraph"/>
        <w:numPr>
          <w:ilvl w:val="0"/>
          <w:numId w:val="2"/>
        </w:numPr>
        <w:spacing w:after="100"/>
      </w:pPr>
      <w:r>
        <w:rPr>
          <w:b/>
          <w:bCs/>
        </w:rPr>
        <w:t xml:space="preserve">GWAS Catalog &amp; PsychENCODE: </w:t>
      </w:r>
      <w:r>
        <w:t xml:space="preserve">Psychiatric genetics databases linking genetic variants to disease risk and drug targets</w:t>
      </w:r>
    </w:p>
    <w:p>
      <w:pPr>
        <w:spacing w:after="100"/>
      </w:pPr>
      <w:r>
        <w:rPr>
          <w:b/>
          <w:bCs/>
        </w:rPr>
        <w:t xml:space="preserve">Exemplary Sub-Prompts:</w:t>
      </w:r>
    </w:p>
    <w:p>
      <w:pPr>
        <w:pStyle w:val="ListParagraph"/>
        <w:numPr>
          <w:ilvl w:val="0"/>
          <w:numId w:val="2"/>
        </w:numPr>
        <w:spacing w:after="100"/>
      </w:pPr>
      <w:r>
        <w:t xml:space="preserve">Predict off-target binding affinity across a panel of 50+ psychiatric-relevant receptors and transporters.</w:t>
      </w:r>
    </w:p>
    <w:p>
      <w:pPr>
        <w:pStyle w:val="ListParagraph"/>
        <w:numPr>
          <w:ilvl w:val="0"/>
          <w:numId w:val="2"/>
        </w:numPr>
        <w:spacing w:after="100"/>
      </w:pPr>
      <w:r>
        <w:t xml:space="preserve">Identify high-affinity off-target binders (Ki &lt; 100 nM) for targets known to cause psychiatric adverse events (e.g., H1, muscarinic M1/M2/M3, sigma-1).</w:t>
      </w:r>
    </w:p>
    <w:p>
      <w:pPr>
        <w:pStyle w:val="ListParagraph"/>
        <w:numPr>
          <w:ilvl w:val="0"/>
          <w:numId w:val="2"/>
        </w:numPr>
        <w:spacing w:after="100"/>
      </w:pPr>
      <w:r>
        <w:t xml:space="preserve">Map off-target binding profile to known psychiatric mechanisms (antimuscarinic syndrome, serotonin syndrome, dopaminergic dysregulation).</w:t>
      </w:r>
    </w:p>
    <w:p>
      <w:pPr>
        <w:pStyle w:val="ListParagraph"/>
        <w:numPr>
          <w:ilvl w:val="0"/>
          <w:numId w:val="2"/>
        </w:numPr>
        <w:spacing w:after="100"/>
      </w:pPr>
      <w:r>
        <w:t xml:space="preserve">Cross-reference predicted off-targets with genetic risk factors (e.g., if DRD2 SNP increases psychiatric risk, assess D2 binding affinity).</w:t>
      </w:r>
    </w:p>
    <w:p>
      <w:pPr>
        <w:pStyle w:val="ListParagraph"/>
        <w:numPr>
          <w:ilvl w:val="0"/>
          <w:numId w:val="2"/>
        </w:numPr>
        <w:spacing w:after="100"/>
      </w:pPr>
      <w:r>
        <w:t xml:space="preserve">Assess polypharmacology risk by identifying compounds with multi-target engagement patterns similar to known psychiatric liabilities.</w:t>
      </w:r>
    </w:p>
    <w:p>
      <w:pPr>
        <w:spacing w:after="100"/>
      </w:pPr>
      <w:r>
        <w:rPr>
          <w:b/>
          <w:bCs/>
        </w:rPr>
        <w:t xml:space="preserve">Expected Outputs:</w:t>
      </w:r>
    </w:p>
    <w:p>
      <w:pPr>
        <w:pStyle w:val="ListParagraph"/>
        <w:numPr>
          <w:ilvl w:val="0"/>
          <w:numId w:val="2"/>
        </w:numPr>
        <w:spacing w:after="100"/>
      </w:pPr>
      <w:r>
        <w:t xml:space="preserve">Off-target binding prediction matrix (compounds × psychiatric-relevant targets) with affinity estimates and confidence intervals</w:t>
      </w:r>
    </w:p>
    <w:p>
      <w:pPr>
        <w:pStyle w:val="ListParagraph"/>
        <w:numPr>
          <w:ilvl w:val="0"/>
          <w:numId w:val="2"/>
        </w:numPr>
        <w:spacing w:after="100"/>
      </w:pPr>
      <w:r>
        <w:t xml:space="preserve">Polypharmacology profiles highlighting psychiatric-relevant off-target hotspots (e.g., H1 histamine, M1 muscarinic, 5-HT2A serotonin)</w:t>
      </w:r>
    </w:p>
    <w:p>
      <w:pPr>
        <w:pStyle w:val="ListParagraph"/>
        <w:numPr>
          <w:ilvl w:val="0"/>
          <w:numId w:val="2"/>
        </w:numPr>
        <w:spacing w:after="100"/>
      </w:pPr>
      <w:r>
        <w:t xml:space="preserve">Psychiatry-specific mechanism predictions (antimuscarinic effects, serotonergic dysregulation, dopaminergic imbalance)</w:t>
      </w:r>
    </w:p>
    <w:p>
      <w:pPr>
        <w:pStyle w:val="ListParagraph"/>
        <w:numPr>
          <w:ilvl w:val="0"/>
          <w:numId w:val="2"/>
        </w:numPr>
        <w:spacing w:after="100"/>
      </w:pPr>
      <w:r>
        <w:t xml:space="preserve">Genetics-informed risk assessment (integration of off-target predictions with psychiatric GWAS hits)</w:t>
      </w:r>
    </w:p>
    <w:p>
      <w:pPr>
        <w:pStyle w:val="ListParagraph"/>
        <w:numPr>
          <w:ilvl w:val="0"/>
          <w:numId w:val="2"/>
        </w:numPr>
        <w:spacing w:after="100"/>
      </w:pPr>
      <w:r>
        <w:t xml:space="preserve">Heatmaps and radar plots showing off-target binding selectivity profiles relative to safe reference compounds</w:t>
      </w:r>
    </w:p>
    <w:p>
      <w:pPr>
        <w:pStyle w:val="ListParagraph"/>
        <w:numPr>
          <w:ilvl w:val="0"/>
          <w:numId w:val="2"/>
        </w:numPr>
        <w:spacing w:after="100"/>
      </w:pPr>
      <w:r>
        <w:t xml:space="preserve">Mechanism-based flags for known psychiatric adverse event pathways</w:t>
      </w:r>
    </w:p>
    <w:p>
      <w:pPr>
        <w:spacing w:after="200" w:line="360"/>
      </w:pPr>
      <w:r>
        <w:rPr>
          <w:b/>
          <w:bCs/>
        </w:rPr>
        <w:t xml:space="preserve">Format: </w:t>
      </w:r>
      <w:r>
        <w:t xml:space="preserve">Off-target affinity matrices (CSV/Excel), mechanism prediction tables, and visualization heatmaps (PNG/PDF).</w:t>
      </w:r>
    </w:p>
    <w:p>
      <w:pPr>
        <w:pStyle w:val="Heading2"/>
      </w:pPr>
      <w:r>
        <w:t xml:space="preserve">Stage 4: Clinical Outcome Prediction &amp; Adverse Event Phenotyping</w:t>
      </w:r>
    </w:p>
    <w:p>
      <w:pPr>
        <w:spacing w:after="200" w:line="360"/>
      </w:pPr>
      <w:r>
        <w:rPr>
          <w:b/>
          <w:bCs/>
        </w:rPr>
        <w:t xml:space="preserve">Purpose: </w:t>
      </w:r>
      <w:r>
        <w:t xml:space="preserve">Predict clinical psychiatric adverse event likelihood (depression, anxiety, psychosis, mania, suicidality, cognitive impairment) based on target engagement profiles, off-target binding, historical clinical data, and machine learning models trained on psychiatric drug outcomes.</w:t>
      </w:r>
    </w:p>
    <w:p>
      <w:pPr>
        <w:spacing w:after="100"/>
      </w:pPr>
      <w:r>
        <w:rPr>
          <w:b/>
          <w:bCs/>
        </w:rPr>
        <w:t xml:space="preserve">Inputs:</w:t>
      </w:r>
    </w:p>
    <w:p>
      <w:pPr>
        <w:pStyle w:val="ListParagraph"/>
        <w:numPr>
          <w:ilvl w:val="0"/>
          <w:numId w:val="2"/>
        </w:numPr>
        <w:spacing w:after="100"/>
      </w:pPr>
      <w:r>
        <w:t xml:space="preserve">Target engagement predictions from Stage 2 (binding affinity, functional mechanism, target occupancy)</w:t>
      </w:r>
    </w:p>
    <w:p>
      <w:pPr>
        <w:pStyle w:val="ListParagraph"/>
        <w:numPr>
          <w:ilvl w:val="0"/>
          <w:numId w:val="2"/>
        </w:numPr>
        <w:spacing w:after="100"/>
      </w:pPr>
      <w:r>
        <w:t xml:space="preserve">Off-target binding and mechanism predictions from Stage 3</w:t>
      </w:r>
    </w:p>
    <w:p>
      <w:pPr>
        <w:pStyle w:val="ListParagraph"/>
        <w:numPr>
          <w:ilvl w:val="0"/>
          <w:numId w:val="2"/>
        </w:numPr>
        <w:spacing w:after="100"/>
      </w:pPr>
      <w:r>
        <w:t xml:space="preserve">Historical clinical data for compounds with similar target-off-target profiles (clinical trial outcomes, FDA MedWatch reports)</w:t>
      </w:r>
    </w:p>
    <w:p>
      <w:pPr>
        <w:pStyle w:val="ListParagraph"/>
        <w:numPr>
          <w:ilvl w:val="0"/>
          <w:numId w:val="2"/>
        </w:numPr>
        <w:spacing w:after="100"/>
      </w:pPr>
      <w:r>
        <w:t xml:space="preserve">Psychiatric adverse event outcome databases (spontaneous reports, trial data, meta-analyses)</w:t>
      </w:r>
    </w:p>
    <w:p>
      <w:pPr>
        <w:pStyle w:val="ListParagraph"/>
        <w:numPr>
          <w:ilvl w:val="0"/>
          <w:numId w:val="2"/>
        </w:numPr>
        <w:spacing w:after="100"/>
      </w:pPr>
      <w:r>
        <w:t xml:space="preserve">Machine learning training data linking pharmacological profiles to clinical psychiatric outcomes</w:t>
      </w:r>
    </w:p>
    <w:p>
      <w:pPr>
        <w:spacing w:after="100"/>
      </w:pPr>
      <w:r>
        <w:rPr>
          <w:b/>
          <w:bCs/>
        </w:rPr>
        <w:t xml:space="preserve">Tools &amp; Databases Called:</w:t>
      </w:r>
    </w:p>
    <w:p>
      <w:pPr>
        <w:pStyle w:val="ListParagraph"/>
        <w:numPr>
          <w:ilvl w:val="0"/>
          <w:numId w:val="2"/>
        </w:numPr>
        <w:spacing w:after="100"/>
      </w:pPr>
      <w:r>
        <w:rPr>
          <w:b/>
          <w:bCs/>
        </w:rPr>
        <w:t xml:space="preserve">FDA FAERS &amp; EudraVigilance: </w:t>
      </w:r>
      <w:r>
        <w:t xml:space="preserve">Pharmacovigilance databases with spontaneous psychiatric adverse event reports for marketed drugs</w:t>
      </w:r>
    </w:p>
    <w:p>
      <w:pPr>
        <w:pStyle w:val="ListParagraph"/>
        <w:numPr>
          <w:ilvl w:val="0"/>
          <w:numId w:val="2"/>
        </w:numPr>
        <w:spacing w:after="100"/>
      </w:pPr>
      <w:r>
        <w:rPr>
          <w:b/>
          <w:bCs/>
        </w:rPr>
        <w:t xml:space="preserve">Quiver Clinical Outcomes Database (Internal): </w:t>
      </w:r>
      <w:r>
        <w:t xml:space="preserve">Proprietary compilation of clinical trial psychiatric adverse event data</w:t>
      </w:r>
    </w:p>
    <w:p>
      <w:pPr>
        <w:pStyle w:val="ListParagraph"/>
        <w:numPr>
          <w:ilvl w:val="0"/>
          <w:numId w:val="2"/>
        </w:numPr>
        <w:spacing w:after="100"/>
      </w:pPr>
      <w:r>
        <w:rPr>
          <w:b/>
          <w:bCs/>
        </w:rPr>
        <w:t xml:space="preserve">Sapphire Psychiatric Outcome Predictor: </w:t>
      </w:r>
      <w:r>
        <w:t xml:space="preserve">Deep neural network trained on large clinical datasets predicting adverse event probability</w:t>
      </w:r>
    </w:p>
    <w:p>
      <w:pPr>
        <w:pStyle w:val="ListParagraph"/>
        <w:numPr>
          <w:ilvl w:val="0"/>
          <w:numId w:val="2"/>
        </w:numPr>
        <w:spacing w:after="100"/>
      </w:pPr>
      <w:r>
        <w:rPr>
          <w:b/>
          <w:bCs/>
        </w:rPr>
        <w:t xml:space="preserve">DrugBank/SIDER: </w:t>
      </w:r>
      <w:r>
        <w:t xml:space="preserve">Aggregated adverse event data linking drugs to psychiatric side effects</w:t>
      </w:r>
    </w:p>
    <w:p>
      <w:pPr>
        <w:pStyle w:val="ListParagraph"/>
        <w:numPr>
          <w:ilvl w:val="0"/>
          <w:numId w:val="2"/>
        </w:numPr>
        <w:spacing w:after="100"/>
      </w:pPr>
      <w:r>
        <w:rPr>
          <w:b/>
          <w:bCs/>
        </w:rPr>
        <w:t xml:space="preserve">OpenFDA API: </w:t>
      </w:r>
      <w:r>
        <w:t xml:space="preserve">Machine-readable access to FDA adverse event and labeling data</w:t>
      </w:r>
    </w:p>
    <w:p>
      <w:pPr>
        <w:pStyle w:val="ListParagraph"/>
        <w:numPr>
          <w:ilvl w:val="0"/>
          <w:numId w:val="2"/>
        </w:numPr>
        <w:spacing w:after="100"/>
      </w:pPr>
      <w:r>
        <w:rPr>
          <w:b/>
          <w:bCs/>
        </w:rPr>
        <w:t xml:space="preserve">PubMed Literature Mining (NLP): </w:t>
      </w:r>
      <w:r>
        <w:t xml:space="preserve">Natural language processing extracting psychiatric adverse events from clinical trial publications and case reports</w:t>
      </w:r>
    </w:p>
    <w:p>
      <w:pPr>
        <w:spacing w:after="100"/>
      </w:pPr>
      <w:r>
        <w:rPr>
          <w:b/>
          <w:bCs/>
        </w:rPr>
        <w:t xml:space="preserve">Exemplary Sub-Prompts:</w:t>
      </w:r>
    </w:p>
    <w:p>
      <w:pPr>
        <w:pStyle w:val="ListParagraph"/>
        <w:numPr>
          <w:ilvl w:val="0"/>
          <w:numId w:val="2"/>
        </w:numPr>
        <w:spacing w:after="100"/>
      </w:pPr>
      <w:r>
        <w:t xml:space="preserve">Predict probability of depression, anxiety, or mood destabilization based on monoaminergic target engagement and off-target profile.</w:t>
      </w:r>
    </w:p>
    <w:p>
      <w:pPr>
        <w:pStyle w:val="ListParagraph"/>
        <w:numPr>
          <w:ilvl w:val="0"/>
          <w:numId w:val="2"/>
        </w:numPr>
        <w:spacing w:after="100"/>
      </w:pPr>
      <w:r>
        <w:t xml:space="preserve">Estimate risk of psychosis or mania given dopaminergic and serotonergic off-target binding patterns.</w:t>
      </w:r>
    </w:p>
    <w:p>
      <w:pPr>
        <w:pStyle w:val="ListParagraph"/>
        <w:numPr>
          <w:ilvl w:val="0"/>
          <w:numId w:val="2"/>
        </w:numPr>
        <w:spacing w:after="100"/>
      </w:pPr>
      <w:r>
        <w:t xml:space="preserve">Forecast suicidality risk using machine learning model trained on psychiatric adverse event phenotypes.</w:t>
      </w:r>
    </w:p>
    <w:p>
      <w:pPr>
        <w:pStyle w:val="ListParagraph"/>
        <w:numPr>
          <w:ilvl w:val="0"/>
          <w:numId w:val="2"/>
        </w:numPr>
        <w:spacing w:after="100"/>
      </w:pPr>
      <w:r>
        <w:t xml:space="preserve">Assess cognitive impairment risk via antimuscarinic and histaminergic off-target binding predictions.</w:t>
      </w:r>
    </w:p>
    <w:p>
      <w:pPr>
        <w:pStyle w:val="ListParagraph"/>
        <w:numPr>
          <w:ilvl w:val="0"/>
          <w:numId w:val="2"/>
        </w:numPr>
        <w:spacing w:after="100"/>
      </w:pPr>
      <w:r>
        <w:t xml:space="preserve">Compare predicted adverse event profile to historical compounds with similar pharmacological signatures.</w:t>
      </w:r>
    </w:p>
    <w:p>
      <w:pPr>
        <w:spacing w:after="100"/>
      </w:pPr>
      <w:r>
        <w:rPr>
          <w:b/>
          <w:bCs/>
        </w:rPr>
        <w:t xml:space="preserve">Expected Outputs:</w:t>
      </w:r>
    </w:p>
    <w:p>
      <w:pPr>
        <w:pStyle w:val="ListParagraph"/>
        <w:numPr>
          <w:ilvl w:val="0"/>
          <w:numId w:val="2"/>
        </w:numPr>
        <w:spacing w:after="100"/>
      </w:pPr>
      <w:r>
        <w:t xml:space="preserve">Predicted psychiatric adverse event probability scores (depression, anxiety, psychosis, mania, suicidality, cognitive impairment)</w:t>
      </w:r>
    </w:p>
    <w:p>
      <w:pPr>
        <w:pStyle w:val="ListParagraph"/>
        <w:numPr>
          <w:ilvl w:val="0"/>
          <w:numId w:val="2"/>
        </w:numPr>
        <w:spacing w:after="100"/>
      </w:pPr>
      <w:r>
        <w:t xml:space="preserve">Confidence intervals and supporting evidence for each adverse event prediction</w:t>
      </w:r>
    </w:p>
    <w:p>
      <w:pPr>
        <w:pStyle w:val="ListParagraph"/>
        <w:numPr>
          <w:ilvl w:val="0"/>
          <w:numId w:val="2"/>
        </w:numPr>
        <w:spacing w:after="100"/>
      </w:pPr>
      <w:r>
        <w:t xml:space="preserve">Clinical outcome comparison table showing historical compounds with similar profiles and their adverse event rates</w:t>
      </w:r>
    </w:p>
    <w:p>
      <w:pPr>
        <w:pStyle w:val="ListParagraph"/>
        <w:numPr>
          <w:ilvl w:val="0"/>
          <w:numId w:val="2"/>
        </w:numPr>
        <w:spacing w:after="100"/>
      </w:pPr>
      <w:r>
        <w:t xml:space="preserve">Mechanism-to-adverse event linking analysis (e.g., H1 binding → sedation/weight gain; muscarinic → memory impairment)</w:t>
      </w:r>
    </w:p>
    <w:p>
      <w:pPr>
        <w:pStyle w:val="ListParagraph"/>
        <w:numPr>
          <w:ilvl w:val="0"/>
          <w:numId w:val="2"/>
        </w:numPr>
        <w:spacing w:after="100"/>
      </w:pPr>
      <w:r>
        <w:t xml:space="preserve">Risk stratification (high/medium/low) for each adverse event type</w:t>
      </w:r>
    </w:p>
    <w:p>
      <w:pPr>
        <w:pStyle w:val="ListParagraph"/>
        <w:numPr>
          <w:ilvl w:val="0"/>
          <w:numId w:val="2"/>
        </w:numPr>
        <w:spacing w:after="100"/>
      </w:pPr>
      <w:r>
        <w:t xml:space="preserve">Population-level adverse event rate estimates with subgroup analyses (age, gender, comorbidity-dependent predictions)</w:t>
      </w:r>
    </w:p>
    <w:p>
      <w:pPr>
        <w:spacing w:after="200" w:line="360"/>
      </w:pPr>
      <w:r>
        <w:rPr>
          <w:b/>
          <w:bCs/>
        </w:rPr>
        <w:t xml:space="preserve">Format: </w:t>
      </w:r>
      <w:r>
        <w:t xml:space="preserve">Clinical prediction reports (PDF) with probability tables, comparative analyses, and risk heatmaps.</w:t>
      </w:r>
    </w:p>
    <w:p>
      <w:pPr>
        <w:pStyle w:val="Heading2"/>
      </w:pPr>
      <w:r>
        <w:t xml:space="preserve">Stage 5: Human Genetics Integration &amp; Pharmacogenomics Stratification</w:t>
      </w:r>
    </w:p>
    <w:p>
      <w:pPr>
        <w:spacing w:after="200" w:line="360"/>
      </w:pPr>
      <w:r>
        <w:rPr>
          <w:b/>
          <w:bCs/>
        </w:rPr>
        <w:t xml:space="preserve">Purpose: </w:t>
      </w:r>
      <w:r>
        <w:t xml:space="preserve">Integrate human genetic data (GWAS hits, rare variants, expression QTLs) linking psychiatric disease and drug response to refine adverse event risk estimates and identify patient subpopulations at heightened risk.</w:t>
      </w:r>
    </w:p>
    <w:p>
      <w:pPr>
        <w:spacing w:after="100"/>
      </w:pPr>
      <w:r>
        <w:rPr>
          <w:b/>
          <w:bCs/>
        </w:rPr>
        <w:t xml:space="preserve">Inputs:</w:t>
      </w:r>
    </w:p>
    <w:p>
      <w:pPr>
        <w:pStyle w:val="ListParagraph"/>
        <w:numPr>
          <w:ilvl w:val="0"/>
          <w:numId w:val="2"/>
        </w:numPr>
        <w:spacing w:after="100"/>
      </w:pPr>
      <w:r>
        <w:t xml:space="preserve">Psychiatric GWAS catalog (PGC, major depression, bipolar, schizophrenia loci)</w:t>
      </w:r>
    </w:p>
    <w:p>
      <w:pPr>
        <w:pStyle w:val="ListParagraph"/>
        <w:numPr>
          <w:ilvl w:val="0"/>
          <w:numId w:val="2"/>
        </w:numPr>
        <w:spacing w:after="100"/>
      </w:pPr>
      <w:r>
        <w:t xml:space="preserve">Drug response and adverse event pharmacogenomics studies (PharmGKB, ClinVar)</w:t>
      </w:r>
    </w:p>
    <w:p>
      <w:pPr>
        <w:pStyle w:val="ListParagraph"/>
        <w:numPr>
          <w:ilvl w:val="0"/>
          <w:numId w:val="2"/>
        </w:numPr>
        <w:spacing w:after="100"/>
      </w:pPr>
      <w:r>
        <w:t xml:space="preserve">Expression quantitative trait loci (eQTLs) affecting target and off-target expression</w:t>
      </w:r>
    </w:p>
    <w:p>
      <w:pPr>
        <w:pStyle w:val="ListParagraph"/>
        <w:numPr>
          <w:ilvl w:val="0"/>
          <w:numId w:val="2"/>
        </w:numPr>
        <w:spacing w:after="100"/>
      </w:pPr>
      <w:r>
        <w:t xml:space="preserve">Rare variant data from exome/genome sequencing studies in psychiatric populations</w:t>
      </w:r>
    </w:p>
    <w:p>
      <w:pPr>
        <w:pStyle w:val="ListParagraph"/>
        <w:numPr>
          <w:ilvl w:val="0"/>
          <w:numId w:val="2"/>
        </w:numPr>
        <w:spacing w:after="100"/>
      </w:pPr>
      <w:r>
        <w:t xml:space="preserve">Demographic and clinical covariates (age, sex, diagnosis, medication history)</w:t>
      </w:r>
    </w:p>
    <w:p>
      <w:pPr>
        <w:spacing w:after="100"/>
      </w:pPr>
      <w:r>
        <w:rPr>
          <w:b/>
          <w:bCs/>
        </w:rPr>
        <w:t xml:space="preserve">Tools &amp; Databases Called:</w:t>
      </w:r>
    </w:p>
    <w:p>
      <w:pPr>
        <w:pStyle w:val="ListParagraph"/>
        <w:numPr>
          <w:ilvl w:val="0"/>
          <w:numId w:val="2"/>
        </w:numPr>
        <w:spacing w:after="100"/>
      </w:pPr>
      <w:r>
        <w:rPr>
          <w:b/>
          <w:bCs/>
        </w:rPr>
        <w:t xml:space="preserve">GWAS Catalog: </w:t>
      </w:r>
      <w:r>
        <w:t xml:space="preserve">Comprehensive catalog of genome-wide association study hits for psychiatric and behavioral traits</w:t>
      </w:r>
    </w:p>
    <w:p>
      <w:pPr>
        <w:pStyle w:val="ListParagraph"/>
        <w:numPr>
          <w:ilvl w:val="0"/>
          <w:numId w:val="2"/>
        </w:numPr>
        <w:spacing w:after="100"/>
      </w:pPr>
      <w:r>
        <w:rPr>
          <w:b/>
          <w:bCs/>
        </w:rPr>
        <w:t xml:space="preserve">PsychENCODE: </w:t>
      </w:r>
      <w:r>
        <w:t xml:space="preserve">Multi-omics consortium mapping psychiatric disease-associated genomic regulatory elements</w:t>
      </w:r>
    </w:p>
    <w:p>
      <w:pPr>
        <w:pStyle w:val="ListParagraph"/>
        <w:numPr>
          <w:ilvl w:val="0"/>
          <w:numId w:val="2"/>
        </w:numPr>
        <w:spacing w:after="100"/>
      </w:pPr>
      <w:r>
        <w:rPr>
          <w:b/>
          <w:bCs/>
        </w:rPr>
        <w:t xml:space="preserve">PharmGKB: </w:t>
      </w:r>
      <w:r>
        <w:t xml:space="preserve">Pharmacogenomics knowledge base with drug-response genetic variants and adverse event associations</w:t>
      </w:r>
    </w:p>
    <w:p>
      <w:pPr>
        <w:pStyle w:val="ListParagraph"/>
        <w:numPr>
          <w:ilvl w:val="0"/>
          <w:numId w:val="2"/>
        </w:numPr>
        <w:spacing w:after="100"/>
      </w:pPr>
      <w:r>
        <w:rPr>
          <w:b/>
          <w:bCs/>
        </w:rPr>
        <w:t xml:space="preserve">GTEx Portal: </w:t>
      </w:r>
      <w:r>
        <w:t xml:space="preserve">Expression quantitative trait loci (eQTL) database for predicting gene expression variation</w:t>
      </w:r>
    </w:p>
    <w:p>
      <w:pPr>
        <w:pStyle w:val="ListParagraph"/>
        <w:numPr>
          <w:ilvl w:val="0"/>
          <w:numId w:val="2"/>
        </w:numPr>
        <w:spacing w:after="100"/>
      </w:pPr>
      <w:r>
        <w:rPr>
          <w:b/>
          <w:bCs/>
        </w:rPr>
        <w:t xml:space="preserve">ClinVar: </w:t>
      </w:r>
      <w:r>
        <w:t xml:space="preserve">Clinical variant database with pharmacogenetic annotations and phenotype associations</w:t>
      </w:r>
    </w:p>
    <w:p>
      <w:pPr>
        <w:pStyle w:val="ListParagraph"/>
        <w:numPr>
          <w:ilvl w:val="0"/>
          <w:numId w:val="2"/>
        </w:numPr>
        <w:spacing w:after="100"/>
      </w:pPr>
      <w:r>
        <w:rPr>
          <w:b/>
          <w:bCs/>
        </w:rPr>
        <w:t xml:space="preserve">Sapphire Stratification Engine (Internal): </w:t>
      </w:r>
      <w:r>
        <w:t xml:space="preserve">Custom algorithm integrating GWAS, eQTL, and pharmacogenomics for risk stratification</w:t>
      </w:r>
    </w:p>
    <w:p>
      <w:pPr>
        <w:spacing w:after="100"/>
      </w:pPr>
      <w:r>
        <w:rPr>
          <w:b/>
          <w:bCs/>
        </w:rPr>
        <w:t xml:space="preserve">Exemplary Sub-Prompts:</w:t>
      </w:r>
    </w:p>
    <w:p>
      <w:pPr>
        <w:pStyle w:val="ListParagraph"/>
        <w:numPr>
          <w:ilvl w:val="0"/>
          <w:numId w:val="2"/>
        </w:numPr>
        <w:spacing w:after="100"/>
      </w:pPr>
      <w:r>
        <w:t xml:space="preserve">Cross-reference target and off-target genes with psychiatric GWAS catalog to identify genetic risk correlations.</w:t>
      </w:r>
    </w:p>
    <w:p>
      <w:pPr>
        <w:pStyle w:val="ListParagraph"/>
        <w:numPr>
          <w:ilvl w:val="0"/>
          <w:numId w:val="2"/>
        </w:numPr>
        <w:spacing w:after="100"/>
      </w:pPr>
      <w:r>
        <w:t xml:space="preserve">Retrieve eQTL data for target and off-targets to assess how common genetic variants affect tissue-specific expression.</w:t>
      </w:r>
    </w:p>
    <w:p>
      <w:pPr>
        <w:pStyle w:val="ListParagraph"/>
        <w:numPr>
          <w:ilvl w:val="0"/>
          <w:numId w:val="2"/>
        </w:numPr>
        <w:spacing w:after="100"/>
      </w:pPr>
      <w:r>
        <w:t xml:space="preserve">Identify pharmacogenomic variants affecting drug metabolism, target function, or adverse event susceptibility.</w:t>
      </w:r>
    </w:p>
    <w:p>
      <w:pPr>
        <w:pStyle w:val="ListParagraph"/>
        <w:numPr>
          <w:ilvl w:val="0"/>
          <w:numId w:val="2"/>
        </w:numPr>
        <w:spacing w:after="100"/>
      </w:pPr>
      <w:r>
        <w:t xml:space="preserve">Stratify risk scores by genetic background (high-risk alleles vs. protective variants).</w:t>
      </w:r>
    </w:p>
    <w:p>
      <w:pPr>
        <w:pStyle w:val="ListParagraph"/>
        <w:numPr>
          <w:ilvl w:val="0"/>
          <w:numId w:val="2"/>
        </w:numPr>
        <w:spacing w:after="100"/>
      </w:pPr>
      <w:r>
        <w:t xml:space="preserve">Assess polygenic risk score (PRS) interaction with compound pharmacology to refine patient-level risk estimates.</w:t>
      </w:r>
    </w:p>
    <w:p>
      <w:pPr>
        <w:spacing w:after="100"/>
      </w:pPr>
      <w:r>
        <w:rPr>
          <w:b/>
          <w:bCs/>
        </w:rPr>
        <w:t xml:space="preserve">Expected Outputs:</w:t>
      </w:r>
    </w:p>
    <w:p>
      <w:pPr>
        <w:pStyle w:val="ListParagraph"/>
        <w:numPr>
          <w:ilvl w:val="0"/>
          <w:numId w:val="2"/>
        </w:numPr>
        <w:spacing w:after="100"/>
      </w:pPr>
      <w:r>
        <w:t xml:space="preserve">Psychiatric GWAS hit summary (target/off-target genes intersecting psychiatric disease loci)</w:t>
      </w:r>
    </w:p>
    <w:p>
      <w:pPr>
        <w:pStyle w:val="ListParagraph"/>
        <w:numPr>
          <w:ilvl w:val="0"/>
          <w:numId w:val="2"/>
        </w:numPr>
        <w:spacing w:after="100"/>
      </w:pPr>
      <w:r>
        <w:t xml:space="preserve">eQTL predictions showing genetic variants affecting target and off-target expression in brain regions</w:t>
      </w:r>
    </w:p>
    <w:p>
      <w:pPr>
        <w:pStyle w:val="ListParagraph"/>
        <w:numPr>
          <w:ilvl w:val="0"/>
          <w:numId w:val="2"/>
        </w:numPr>
        <w:spacing w:after="100"/>
      </w:pPr>
      <w:r>
        <w:t xml:space="preserve">Pharmacogenomic variant summary (CYP450 polymorphisms, target gain/loss-of-function variants)</w:t>
      </w:r>
    </w:p>
    <w:p>
      <w:pPr>
        <w:pStyle w:val="ListParagraph"/>
        <w:numPr>
          <w:ilvl w:val="0"/>
          <w:numId w:val="2"/>
        </w:numPr>
        <w:spacing w:after="100"/>
      </w:pPr>
      <w:r>
        <w:t xml:space="preserve">Risk stratification by genetic background (percentile-rank psychiatric risk score for diverse populations)</w:t>
      </w:r>
    </w:p>
    <w:p>
      <w:pPr>
        <w:pStyle w:val="ListParagraph"/>
        <w:numPr>
          <w:ilvl w:val="0"/>
          <w:numId w:val="2"/>
        </w:numPr>
        <w:spacing w:after="100"/>
      </w:pPr>
      <w:r>
        <w:t xml:space="preserve">Subpopulation-specific adverse event risk estimates (differential risk by ancestry, genotype)</w:t>
      </w:r>
    </w:p>
    <w:p>
      <w:pPr>
        <w:pStyle w:val="ListParagraph"/>
        <w:numPr>
          <w:ilvl w:val="0"/>
          <w:numId w:val="2"/>
        </w:numPr>
        <w:spacing w:after="100"/>
      </w:pPr>
      <w:r>
        <w:t xml:space="preserve">Clinical recommendations for genetic-informed patient selection or monitoring strategies</w:t>
      </w:r>
    </w:p>
    <w:p>
      <w:pPr>
        <w:spacing w:after="200" w:line="360"/>
      </w:pPr>
      <w:r>
        <w:rPr>
          <w:b/>
          <w:bCs/>
        </w:rPr>
        <w:t xml:space="preserve">Format: </w:t>
      </w:r>
      <w:r>
        <w:t xml:space="preserve">Genetic risk summary tables, stratification heatmaps, and subgroup adverse event prediction tables.</w:t>
      </w:r>
    </w:p>
    <w:p>
      <w:pPr>
        <w:pStyle w:val="Heading2"/>
      </w:pPr>
      <w:r>
        <w:t xml:space="preserve">Stage 6: Integrated Risk Assessment &amp; Regulatory Reporting</w:t>
      </w:r>
    </w:p>
    <w:p>
      <w:pPr>
        <w:spacing w:after="200" w:line="360"/>
      </w:pPr>
      <w:r>
        <w:rPr>
          <w:b/>
          <w:bCs/>
        </w:rPr>
        <w:t xml:space="preserve">Purpose: </w:t>
      </w:r>
      <w:r>
        <w:t xml:space="preserve">Synthesize all pipeline stages into a comprehensive psychiatric adverse event risk assessment with confidence-weighted recommendations for program advancement, clinical trial design, risk mitigation strategies, and regulatory submission documentation.</w:t>
      </w:r>
    </w:p>
    <w:p>
      <w:pPr>
        <w:spacing w:after="100"/>
      </w:pPr>
      <w:r>
        <w:rPr>
          <w:b/>
          <w:bCs/>
        </w:rPr>
        <w:t xml:space="preserve">Inputs:</w:t>
      </w:r>
    </w:p>
    <w:p>
      <w:pPr>
        <w:pStyle w:val="ListParagraph"/>
        <w:numPr>
          <w:ilvl w:val="0"/>
          <w:numId w:val="2"/>
        </w:numPr>
        <w:spacing w:after="100"/>
      </w:pPr>
      <w:r>
        <w:t xml:space="preserve">Target engagement predictions from Stage 2</w:t>
      </w:r>
    </w:p>
    <w:p>
      <w:pPr>
        <w:pStyle w:val="ListParagraph"/>
        <w:numPr>
          <w:ilvl w:val="0"/>
          <w:numId w:val="2"/>
        </w:numPr>
        <w:spacing w:after="100"/>
      </w:pPr>
      <w:r>
        <w:t xml:space="preserve">Off-target and psychiatric mechanism predictions from Stage 3</w:t>
      </w:r>
    </w:p>
    <w:p>
      <w:pPr>
        <w:pStyle w:val="ListParagraph"/>
        <w:numPr>
          <w:ilvl w:val="0"/>
          <w:numId w:val="2"/>
        </w:numPr>
        <w:spacing w:after="100"/>
      </w:pPr>
      <w:r>
        <w:t xml:space="preserve">Clinical outcome predictions from Stage 4</w:t>
      </w:r>
    </w:p>
    <w:p>
      <w:pPr>
        <w:pStyle w:val="ListParagraph"/>
        <w:numPr>
          <w:ilvl w:val="0"/>
          <w:numId w:val="2"/>
        </w:numPr>
        <w:spacing w:after="100"/>
      </w:pPr>
      <w:r>
        <w:t xml:space="preserve">Genetic risk stratification from Stage 5</w:t>
      </w:r>
    </w:p>
    <w:p>
      <w:pPr>
        <w:pStyle w:val="ListParagraph"/>
        <w:numPr>
          <w:ilvl w:val="0"/>
          <w:numId w:val="2"/>
        </w:numPr>
        <w:spacing w:after="100"/>
      </w:pPr>
      <w:r>
        <w:t xml:space="preserve">Regulatory guidance (FDA, EMA psychiatric risk assessment standards)</w:t>
      </w:r>
    </w:p>
    <w:p>
      <w:pPr>
        <w:spacing w:after="100"/>
      </w:pPr>
      <w:r>
        <w:rPr>
          <w:b/>
          <w:bCs/>
        </w:rPr>
        <w:t xml:space="preserve">Tools &amp; Databases Called:</w:t>
      </w:r>
    </w:p>
    <w:p>
      <w:pPr>
        <w:pStyle w:val="ListParagraph"/>
        <w:numPr>
          <w:ilvl w:val="0"/>
          <w:numId w:val="2"/>
        </w:numPr>
        <w:spacing w:after="100"/>
      </w:pPr>
      <w:r>
        <w:rPr>
          <w:b/>
          <w:bCs/>
        </w:rPr>
        <w:t xml:space="preserve">Sapphire Risk Integrator (Internal): </w:t>
      </w:r>
      <w:r>
        <w:t xml:space="preserve">Custom algorithm weighting multi-stage predictions into unified psychiatric adverse event hazard score</w:t>
      </w:r>
    </w:p>
    <w:p>
      <w:pPr>
        <w:pStyle w:val="ListParagraph"/>
        <w:numPr>
          <w:ilvl w:val="0"/>
          <w:numId w:val="2"/>
        </w:numPr>
        <w:spacing w:after="100"/>
      </w:pPr>
      <w:r>
        <w:rPr>
          <w:b/>
          <w:bCs/>
        </w:rPr>
        <w:t xml:space="preserve">JMP/SAS Statistical Software: </w:t>
      </w:r>
      <w:r>
        <w:t xml:space="preserve">Statistical analysis and confidence interval estimation for risk stratification</w:t>
      </w:r>
    </w:p>
    <w:p>
      <w:pPr>
        <w:pStyle w:val="ListParagraph"/>
        <w:numPr>
          <w:ilvl w:val="0"/>
          <w:numId w:val="2"/>
        </w:numPr>
        <w:spacing w:after="100"/>
      </w:pPr>
      <w:r>
        <w:rPr>
          <w:b/>
          <w:bCs/>
        </w:rPr>
        <w:t xml:space="preserve">Tableau/Spotfire: </w:t>
      </w:r>
      <w:r>
        <w:t xml:space="preserve">Business intelligence and interactive risk dashboard creation</w:t>
      </w:r>
    </w:p>
    <w:p>
      <w:pPr>
        <w:pStyle w:val="ListParagraph"/>
        <w:numPr>
          <w:ilvl w:val="0"/>
          <w:numId w:val="2"/>
        </w:numPr>
        <w:spacing w:after="100"/>
      </w:pPr>
      <w:r>
        <w:rPr>
          <w:b/>
          <w:bCs/>
        </w:rPr>
        <w:t xml:space="preserve">Regulatory Knowledge Base (Sapphire): </w:t>
      </w:r>
      <w:r>
        <w:t xml:space="preserve">FDA/EMA guideline mapping and compliance checking for psychiatric safety documentation</w:t>
      </w:r>
    </w:p>
    <w:p>
      <w:pPr>
        <w:pStyle w:val="ListParagraph"/>
        <w:numPr>
          <w:ilvl w:val="0"/>
          <w:numId w:val="2"/>
        </w:numPr>
        <w:spacing w:after="100"/>
      </w:pPr>
      <w:r>
        <w:rPr>
          <w:b/>
          <w:bCs/>
        </w:rPr>
        <w:t xml:space="preserve">Sapphire Report Generator: </w:t>
      </w:r>
      <w:r>
        <w:t xml:space="preserve">Automated PDF and interactive HTML report creation with executive summaries and detailed technical annexes</w:t>
      </w:r>
    </w:p>
    <w:p>
      <w:pPr>
        <w:pStyle w:val="ListParagraph"/>
        <w:numPr>
          <w:ilvl w:val="0"/>
          <w:numId w:val="2"/>
        </w:numPr>
        <w:spacing w:after="100"/>
      </w:pPr>
      <w:r>
        <w:rPr>
          <w:b/>
          <w:bCs/>
        </w:rPr>
        <w:t xml:space="preserve">Expert Review Portal (Internal): </w:t>
      </w:r>
      <w:r>
        <w:t xml:space="preserve">Web interface for clinical and psychiatric safety experts to annotate predictions and provide medical judgment</w:t>
      </w:r>
    </w:p>
    <w:p>
      <w:pPr>
        <w:spacing w:after="100"/>
      </w:pPr>
      <w:r>
        <w:rPr>
          <w:b/>
          <w:bCs/>
        </w:rPr>
        <w:t xml:space="preserve">Exemplary Sub-Prompts:</w:t>
      </w:r>
    </w:p>
    <w:p>
      <w:pPr>
        <w:pStyle w:val="ListParagraph"/>
        <w:numPr>
          <w:ilvl w:val="0"/>
          <w:numId w:val="2"/>
        </w:numPr>
        <w:spacing w:after="100"/>
      </w:pPr>
      <w:r>
        <w:t xml:space="preserve">Weight target engagement (25%), off-target mechanisms (30%), clinical outcomes (25%), and genetic risk (20%) to generate unified psychiatric adverse event hazard score.</w:t>
      </w:r>
    </w:p>
    <w:p>
      <w:pPr>
        <w:pStyle w:val="ListParagraph"/>
        <w:numPr>
          <w:ilvl w:val="0"/>
          <w:numId w:val="2"/>
        </w:numPr>
        <w:spacing w:after="100"/>
      </w:pPr>
      <w:r>
        <w:t xml:space="preserve">Classify compounds into psychiatric safety tiers: high-risk (score &gt; 0.70), medium-risk (0.40-0.70), low-risk (&lt; 0.40).</w:t>
      </w:r>
    </w:p>
    <w:p>
      <w:pPr>
        <w:pStyle w:val="ListParagraph"/>
        <w:numPr>
          <w:ilvl w:val="0"/>
          <w:numId w:val="2"/>
        </w:numPr>
        <w:spacing w:after="100"/>
      </w:pPr>
      <w:r>
        <w:t xml:space="preserve">Generate go/no-go recommendations for program advancement with justification based on multi-stage evidence.</w:t>
      </w:r>
    </w:p>
    <w:p>
      <w:pPr>
        <w:pStyle w:val="ListParagraph"/>
        <w:numPr>
          <w:ilvl w:val="0"/>
          <w:numId w:val="2"/>
        </w:numPr>
        <w:spacing w:after="100"/>
      </w:pPr>
      <w:r>
        <w:t xml:space="preserve">Propose clinical trial design mitigations (enhanced psychiatric monitoring, exclusion criteria, pharmacogenomic stratification).</w:t>
      </w:r>
    </w:p>
    <w:p>
      <w:pPr>
        <w:pStyle w:val="ListParagraph"/>
        <w:numPr>
          <w:ilvl w:val="0"/>
          <w:numId w:val="2"/>
        </w:numPr>
        <w:spacing w:after="100"/>
      </w:pPr>
      <w:r>
        <w:t xml:space="preserve">Draft regulatory submission sections (psychiatric safety summary for IND, CTD, NDA) aligned with FDA guidance.</w:t>
      </w:r>
    </w:p>
    <w:p>
      <w:pPr>
        <w:spacing w:after="100"/>
      </w:pPr>
      <w:r>
        <w:rPr>
          <w:b/>
          <w:bCs/>
        </w:rPr>
        <w:t xml:space="preserve">Expected Outputs:</w:t>
      </w:r>
    </w:p>
    <w:p>
      <w:pPr>
        <w:pStyle w:val="ListParagraph"/>
        <w:numPr>
          <w:ilvl w:val="0"/>
          <w:numId w:val="2"/>
        </w:numPr>
        <w:spacing w:after="100"/>
      </w:pPr>
      <w:r>
        <w:t xml:space="preserve">Integrated psychiatric adverse event risk score (0-100 scale) with confidence intervals and evidence summary</w:t>
      </w:r>
    </w:p>
    <w:p>
      <w:pPr>
        <w:pStyle w:val="ListParagraph"/>
        <w:numPr>
          <w:ilvl w:val="0"/>
          <w:numId w:val="2"/>
        </w:numPr>
        <w:spacing w:after="100"/>
      </w:pPr>
      <w:r>
        <w:t xml:space="preserve">Risk stratification report ranking adverse event types (depression, anxiety, psychosis, mania, suicidality) by likelihood</w:t>
      </w:r>
    </w:p>
    <w:p>
      <w:pPr>
        <w:pStyle w:val="ListParagraph"/>
        <w:numPr>
          <w:ilvl w:val="0"/>
          <w:numId w:val="2"/>
        </w:numPr>
        <w:spacing w:after="100"/>
      </w:pPr>
      <w:r>
        <w:t xml:space="preserve">Go/no-go recommendation with supporting evidence and risk mitigation strategies</w:t>
      </w:r>
    </w:p>
    <w:p>
      <w:pPr>
        <w:pStyle w:val="ListParagraph"/>
        <w:numPr>
          <w:ilvl w:val="0"/>
          <w:numId w:val="2"/>
        </w:numPr>
        <w:spacing w:after="100"/>
      </w:pPr>
      <w:r>
        <w:t xml:space="preserve">Clinical trial design recommendations (enrollment criteria, psychiatric monitoring protocols, pharmacogenomic stratification)</w:t>
      </w:r>
    </w:p>
    <w:p>
      <w:pPr>
        <w:pStyle w:val="ListParagraph"/>
        <w:numPr>
          <w:ilvl w:val="0"/>
          <w:numId w:val="2"/>
        </w:numPr>
        <w:spacing w:after="100"/>
      </w:pPr>
      <w:r>
        <w:t xml:space="preserve">Regulatory submission documentation (psychiatric safety summary, non-clinical and clinical justification)</w:t>
      </w:r>
    </w:p>
    <w:p>
      <w:pPr>
        <w:pStyle w:val="ListParagraph"/>
        <w:numPr>
          <w:ilvl w:val="0"/>
          <w:numId w:val="2"/>
        </w:numPr>
        <w:spacing w:after="100"/>
      </w:pPr>
      <w:r>
        <w:t xml:space="preserve">Interactive risk dashboard and executive summary for project teams and stakeholders</w:t>
      </w:r>
    </w:p>
    <w:p>
      <w:pPr>
        <w:spacing w:after="200" w:line="360"/>
      </w:pPr>
      <w:r>
        <w:rPr>
          <w:b/>
          <w:bCs/>
        </w:rPr>
        <w:t xml:space="preserve">Format: </w:t>
      </w:r>
      <w:r>
        <w:t xml:space="preserve">Comprehensive psychiatric safety assessment reports (PDF), interactive Excel workbooks with decision-support dashboards, and web-based collaboration portals.</w:t>
      </w:r>
    </w:p>
    <w:p>
      <w:pPr>
        <w:pStyle w:val="Heading2"/>
      </w:pPr>
      <w:r>
        <w:t xml:space="preserve">Tools &amp; Databases Summary</w:t>
      </w:r>
    </w:p>
    <w:p>
      <w:pPr>
        <w:pStyle w:val="ListParagraph"/>
        <w:numPr>
          <w:ilvl w:val="0"/>
          <w:numId w:val="2"/>
        </w:numPr>
        <w:spacing w:after="100"/>
      </w:pPr>
      <w:r>
        <w:t xml:space="preserve">UniProt/SwissProt - Comprehensive protein sequence and functional annotation database for target protein characterization</w:t>
      </w:r>
    </w:p>
    <w:p>
      <w:pPr>
        <w:pStyle w:val="ListParagraph"/>
        <w:numPr>
          <w:ilvl w:val="0"/>
          <w:numId w:val="2"/>
        </w:numPr>
        <w:spacing w:after="100"/>
      </w:pPr>
      <w:r>
        <w:t xml:space="preserve">NCBI Gene &amp; GEO - Gene nomenclature, genomic information, and tissue expression profiles across healthy and disease states</w:t>
      </w:r>
    </w:p>
    <w:p>
      <w:pPr>
        <w:pStyle w:val="ListParagraph"/>
        <w:numPr>
          <w:ilvl w:val="0"/>
          <w:numId w:val="2"/>
        </w:numPr>
        <w:spacing w:after="100"/>
      </w:pPr>
      <w:r>
        <w:t xml:space="preserve">Human Protein Atlas - CNS tissue expression patterns and cellular localization for psychiatric-relevant proteins</w:t>
      </w:r>
    </w:p>
    <w:p>
      <w:pPr>
        <w:pStyle w:val="ListParagraph"/>
        <w:numPr>
          <w:ilvl w:val="0"/>
          <w:numId w:val="2"/>
        </w:numPr>
        <w:spacing w:after="100"/>
      </w:pPr>
      <w:r>
        <w:t xml:space="preserve">IUPHAR/BPS Guide to Pharmacology - Authoritative pharmacological target and ligand reference database</w:t>
      </w:r>
    </w:p>
    <w:p>
      <w:pPr>
        <w:pStyle w:val="ListParagraph"/>
        <w:numPr>
          <w:ilvl w:val="0"/>
          <w:numId w:val="2"/>
        </w:numPr>
        <w:spacing w:after="100"/>
      </w:pPr>
      <w:r>
        <w:t xml:space="preserve">FDA FAERS - Pharmacovigilance database of spontaneous adverse event reports for marketed psychiatric drugs</w:t>
      </w:r>
    </w:p>
    <w:p>
      <w:pPr>
        <w:pStyle w:val="ListParagraph"/>
        <w:numPr>
          <w:ilvl w:val="0"/>
          <w:numId w:val="2"/>
        </w:numPr>
        <w:spacing w:after="100"/>
      </w:pPr>
      <w:r>
        <w:t xml:space="preserve">Schrödinger Glide - Molecular docking platform for predicting target binding affinity and pose prediction</w:t>
      </w:r>
    </w:p>
    <w:p>
      <w:pPr>
        <w:pStyle w:val="ListParagraph"/>
        <w:numPr>
          <w:ilvl w:val="0"/>
          <w:numId w:val="2"/>
        </w:numPr>
        <w:spacing w:after="100"/>
      </w:pPr>
      <w:r>
        <w:t xml:space="preserve">RCSB PDB - Protein structure database with resolved target-ligand complexes for structure-based design</w:t>
      </w:r>
    </w:p>
    <w:p>
      <w:pPr>
        <w:pStyle w:val="ListParagraph"/>
        <w:numPr>
          <w:ilvl w:val="0"/>
          <w:numId w:val="2"/>
        </w:numPr>
        <w:spacing w:after="100"/>
      </w:pPr>
      <w:r>
        <w:t xml:space="preserve">ChEMBL - Large bioactivity database with psychiatric target binding affinities and functional assay endpoints</w:t>
      </w:r>
    </w:p>
    <w:p>
      <w:pPr>
        <w:pStyle w:val="ListParagraph"/>
        <w:numPr>
          <w:ilvl w:val="0"/>
          <w:numId w:val="2"/>
        </w:numPr>
        <w:spacing w:after="100"/>
      </w:pPr>
      <w:r>
        <w:t xml:space="preserve">SwissTargetPrediction - Web-based off-target prediction tool for proteome-wide pharmacology assessment</w:t>
      </w:r>
    </w:p>
    <w:p>
      <w:pPr>
        <w:pStyle w:val="ListParagraph"/>
        <w:numPr>
          <w:ilvl w:val="0"/>
          <w:numId w:val="2"/>
        </w:numPr>
        <w:spacing w:after="100"/>
      </w:pPr>
      <w:r>
        <w:t xml:space="preserve">PharmGKB - Pharmacogenomics knowledge base linking genetic variants to drug response and adverse events</w:t>
      </w:r>
    </w:p>
    <w:p>
      <w:pPr>
        <w:pStyle w:val="ListParagraph"/>
        <w:numPr>
          <w:ilvl w:val="0"/>
          <w:numId w:val="2"/>
        </w:numPr>
        <w:spacing w:after="100"/>
      </w:pPr>
      <w:r>
        <w:t xml:space="preserve">SIDER - Side effect database with psychiatric adverse events linked to marketed drugs and targets</w:t>
      </w:r>
    </w:p>
    <w:p>
      <w:pPr>
        <w:pStyle w:val="ListParagraph"/>
        <w:numPr>
          <w:ilvl w:val="0"/>
          <w:numId w:val="2"/>
        </w:numPr>
        <w:spacing w:after="100"/>
      </w:pPr>
      <w:r>
        <w:t xml:space="preserve">GWAS Catalog - Comprehensive genome-wide association study results for psychiatric and behavioral traits</w:t>
      </w:r>
    </w:p>
    <w:p>
      <w:pPr>
        <w:pStyle w:val="ListParagraph"/>
        <w:numPr>
          <w:ilvl w:val="0"/>
          <w:numId w:val="2"/>
        </w:numPr>
        <w:spacing w:after="100"/>
      </w:pPr>
      <w:r>
        <w:t xml:space="preserve">PsychENCODE - Multi-omics consortium mapping regulatory elements and genes affecting psychiatric disease</w:t>
      </w:r>
    </w:p>
    <w:p>
      <w:pPr>
        <w:pStyle w:val="ListParagraph"/>
        <w:numPr>
          <w:ilvl w:val="0"/>
          <w:numId w:val="2"/>
        </w:numPr>
        <w:spacing w:after="100"/>
      </w:pPr>
      <w:r>
        <w:t xml:space="preserve">GTEx Portal - Expression quantitative trait loci (eQTLs) predicting genetic effects on target and off-target expression</w:t>
      </w:r>
    </w:p>
    <w:p>
      <w:pPr>
        <w:pStyle w:val="ListParagraph"/>
        <w:numPr>
          <w:ilvl w:val="0"/>
          <w:numId w:val="2"/>
        </w:numPr>
        <w:spacing w:after="100"/>
      </w:pPr>
      <w:r>
        <w:t xml:space="preserve">Sapphire Psychiatric Outcome Predictor - Deep neural network trained on clinical datasets for adverse event probability estimation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2026-03-01T19:16:56.425Z</dcterms:created>
  <dcterms:modified xsi:type="dcterms:W3CDTF">2026-03-01T19:16:56.425Z</dcterms:modified>
</cp:coreProperties>
</file>

<file path=docProps/custom.xml><?xml version="1.0" encoding="utf-8"?>
<Properties xmlns="http://schemas.openxmlformats.org/officeDocument/2006/custom-properties" xmlns:vt="http://schemas.openxmlformats.org/officeDocument/2006/docPropsVTypes"/>
</file>