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rPr>
          <w:b/>
          <w:bCs/>
        </w:rPr>
        <w:t xml:space="preserve">Prompt:</w:t>
      </w:r>
    </w:p>
    <w:p>
      <w:pPr>
        <w:spacing w:after="200" w:line="360"/>
      </w:pPr>
      <w:r>
        <w:t xml:space="preserve">"Predict dual-target small molecule profiles for ASD cluster."</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This pipeline leverages Sapphire's multi-modal molecular design system to identify synergistic dual-target small molecule profiles tailored for autism spectrum disorder (ASD) pathogenic clusters. The workflow integrates target-agnostic screening, structure-activity relationship (SAR) prediction, pharmacokinetic (PK) forecasting, and clinical relevance scoring to synthesize a ranked portfolio of lead compounds. Each stage employs machine learning models trained on curated CNS drug discovery datasets, enabling rapid iteration across chemical space constrained by developability and safety parameters.</w:t>
      </w:r>
    </w:p>
    <w:p>
      <w:pPr>
        <w:spacing w:after="200" w:line="360"/>
      </w:pPr>
      <w:r>
        <w:t xml:space="preserve">The pipeline systematically addresses the multifactorial nature of ASD by generating compounds that simultaneously modulate primary and secondary therapeutic targets within dysregulated neural circuits. Integration of phenotypic screening data, electrophysiology readouts, and transcriptomic biomarkers ensures that predicted molecules exhibit mechanistic alignment with known ASD cluster characteristics. Output profiles include binding affinity predictions, selectivity assessments, CNS permeability indices, and toxicology risk flags, enabling rapid prioritization for experimental validation.</w:t>
      </w:r>
    </w:p>
    <w:p>
      <w:pPr>
        <w:pStyle w:val="Heading2"/>
      </w:pPr>
      <w:r>
        <w:t xml:space="preserve">Stage 1: Cluster Characterization and Target Hypothesis Generation</w:t>
      </w:r>
    </w:p>
    <w:p>
      <w:pPr>
        <w:spacing w:after="200" w:line="360"/>
      </w:pPr>
      <w:r>
        <w:rPr>
          <w:b/>
          <w:bCs/>
        </w:rPr>
        <w:t xml:space="preserve">Purpose:</w:t>
      </w:r>
      <w:r>
        <w:t xml:space="preserve"> Define ASD patient clusters based on genetic, transcriptomic, and phenotypic signatures, identifying primary and secondary molecular targets implicated in each cluster's pathogenesis.</w:t>
      </w:r>
    </w:p>
    <w:p>
      <w:pPr>
        <w:spacing w:after="200" w:line="360"/>
      </w:pPr>
      <w:r>
        <w:rPr>
          <w:b/>
          <w:bCs/>
        </w:rPr>
        <w:t xml:space="preserve">Inputs:</w:t>
      </w:r>
    </w:p>
    <w:p>
      <w:pPr>
        <w:pStyle w:val="ListParagraph"/>
        <w:numPr>
          <w:ilvl w:val="0"/>
          <w:numId w:val="2"/>
        </w:numPr>
        <w:spacing w:after="200" w:line="360"/>
      </w:pPr>
      <w:r>
        <w:t xml:space="preserve">Patient-derived whole-genome sequencing (WGS) and RNA-seq data from ASD cohorts (SFARI, Simons Variation in Individuals Project)</w:t>
      </w:r>
    </w:p>
    <w:p>
      <w:pPr>
        <w:pStyle w:val="ListParagraph"/>
        <w:numPr>
          <w:ilvl w:val="0"/>
          <w:numId w:val="2"/>
        </w:numPr>
        <w:spacing w:after="200" w:line="360"/>
      </w:pPr>
      <w:r>
        <w:t xml:space="preserve">Curated ASD-associated gene lists with frequency, effect size, and functional annotation metadata</w:t>
      </w:r>
    </w:p>
    <w:p>
      <w:pPr>
        <w:pStyle w:val="ListParagraph"/>
        <w:numPr>
          <w:ilvl w:val="0"/>
          <w:numId w:val="2"/>
        </w:numPr>
        <w:spacing w:after="200" w:line="360"/>
      </w:pPr>
      <w:r>
        <w:t xml:space="preserve">Clinical phenotype matrices including developmental milestones, behavioral scores (ADOS, Vineland), and comorbidities</w:t>
      </w:r>
    </w:p>
    <w:p>
      <w:pPr>
        <w:pStyle w:val="ListParagraph"/>
        <w:numPr>
          <w:ilvl w:val="0"/>
          <w:numId w:val="2"/>
        </w:numPr>
        <w:spacing w:after="200" w:line="360"/>
      </w:pPr>
      <w:r>
        <w:t xml:space="preserve">Protein interaction networks (STRING, BioGRID) mapped to ASD-relevant signaling cascades</w:t>
      </w:r>
    </w:p>
    <w:p>
      <w:pPr>
        <w:pStyle w:val="ListParagraph"/>
        <w:numPr>
          <w:ilvl w:val="0"/>
          <w:numId w:val="2"/>
        </w:numPr>
        <w:spacing w:after="200" w:line="360"/>
      </w:pPr>
      <w:r>
        <w:t xml:space="preserve">Pathway enrichment analysis results linking genetic variants to synaptic, metabolic, and immune dysregulation modules</w:t>
      </w:r>
    </w:p>
    <w:p>
      <w:pPr>
        <w:spacing w:after="200" w:line="360"/>
      </w:pPr>
      <w:r>
        <w:rPr>
          <w:b/>
          <w:bCs/>
        </w:rPr>
        <w:t xml:space="preserve">Tools &amp; Databases Called:</w:t>
      </w:r>
    </w:p>
    <w:p>
      <w:pPr>
        <w:pStyle w:val="ListParagraph"/>
        <w:numPr>
          <w:ilvl w:val="0"/>
          <w:numId w:val="2"/>
        </w:numPr>
        <w:spacing w:after="200" w:line="360"/>
      </w:pPr>
      <w:r>
        <w:rPr>
          <w:b/>
          <w:bCs/>
        </w:rPr>
        <w:t xml:space="preserve">Sapphire Genomics Module:</w:t>
      </w:r>
      <w:r>
        <w:t xml:space="preserve"> Executes unsupervised clustering on integrated genomic and transcriptomic profiles to stratify patient cohorts into discrete ASD molecular subtypes.</w:t>
      </w:r>
    </w:p>
    <w:p>
      <w:pPr>
        <w:pStyle w:val="ListParagraph"/>
        <w:numPr>
          <w:ilvl w:val="0"/>
          <w:numId w:val="2"/>
        </w:numPr>
        <w:spacing w:after="200" w:line="360"/>
      </w:pPr>
      <w:r>
        <w:rPr>
          <w:b/>
          <w:bCs/>
        </w:rPr>
        <w:t xml:space="preserve">SFARI Gene Database:</w:t>
      </w:r>
      <w:r>
        <w:t xml:space="preserve"> Retrieves high-confidence ASD risk genes with phenotypic descriptions, recurrence metrics, and functional roles.</w:t>
      </w:r>
    </w:p>
    <w:p>
      <w:pPr>
        <w:pStyle w:val="ListParagraph"/>
        <w:numPr>
          <w:ilvl w:val="0"/>
          <w:numId w:val="2"/>
        </w:numPr>
        <w:spacing w:after="200" w:line="360"/>
      </w:pPr>
      <w:r>
        <w:rPr>
          <w:b/>
          <w:bCs/>
        </w:rPr>
        <w:t xml:space="preserve">Reactome Pathway Database:</w:t>
      </w:r>
      <w:r>
        <w:t xml:space="preserve"> Maps identified ASD genes to canonical signaling pathways and molecular interaction networks.</w:t>
      </w:r>
    </w:p>
    <w:p>
      <w:pPr>
        <w:pStyle w:val="ListParagraph"/>
        <w:numPr>
          <w:ilvl w:val="0"/>
          <w:numId w:val="2"/>
        </w:numPr>
        <w:spacing w:after="200" w:line="360"/>
      </w:pPr>
      <w:r>
        <w:rPr>
          <w:b/>
          <w:bCs/>
        </w:rPr>
        <w:t xml:space="preserve">BioGRID Interaction Network:</w:t>
      </w:r>
      <w:r>
        <w:t xml:space="preserve"> Identifies protein-protein interactions and functional associations among ASD-implicated genes.</w:t>
      </w:r>
    </w:p>
    <w:p>
      <w:pPr>
        <w:pStyle w:val="ListParagraph"/>
        <w:numPr>
          <w:ilvl w:val="0"/>
          <w:numId w:val="2"/>
        </w:numPr>
        <w:spacing w:after="200" w:line="360"/>
      </w:pPr>
      <w:r>
        <w:rPr>
          <w:b/>
          <w:bCs/>
        </w:rPr>
        <w:t xml:space="preserve">Sapphire Target Prediction Engine:</w:t>
      </w:r>
      <w:r>
        <w:t xml:space="preserve"> Performs network-based analysis to highlight druggable hub proteins and secondary interacting partners within dysregulated modules.</w:t>
      </w:r>
    </w:p>
    <w:p>
      <w:pPr>
        <w:pStyle w:val="ListParagraph"/>
        <w:numPr>
          <w:ilvl w:val="0"/>
          <w:numId w:val="2"/>
        </w:numPr>
        <w:spacing w:after="200" w:line="360"/>
      </w:pPr>
      <w:r>
        <w:rPr>
          <w:b/>
          <w:bCs/>
        </w:rPr>
        <w:t xml:space="preserve">Allen Brain Atlas:</w:t>
      </w:r>
      <w:r>
        <w:t xml:space="preserve"> Provides spatial transcriptomic validation of cluster-specific target expression patterns across human and model organism CNS regions.</w:t>
      </w:r>
    </w:p>
    <w:p>
      <w:pPr>
        <w:spacing w:after="200" w:line="360"/>
      </w:pPr>
      <w:r>
        <w:rPr>
          <w:b/>
          <w:bCs/>
        </w:rPr>
        <w:t xml:space="preserve">Exemplary Sub-Prompts:</w:t>
      </w:r>
    </w:p>
    <w:p>
      <w:pPr>
        <w:pStyle w:val="ListParagraph"/>
        <w:numPr>
          <w:ilvl w:val="0"/>
          <w:numId w:val="2"/>
        </w:numPr>
        <w:spacing w:after="200" w:line="360"/>
      </w:pPr>
      <w:r>
        <w:t xml:space="preserve">Stratify 500 ASD patients using hierarchical clustering on whole-exome CNVs and de novo mutation burden, generating 4-6 distinct molecular subtypes.</w:t>
      </w:r>
    </w:p>
    <w:p>
      <w:pPr>
        <w:pStyle w:val="ListParagraph"/>
        <w:numPr>
          <w:ilvl w:val="0"/>
          <w:numId w:val="2"/>
        </w:numPr>
        <w:spacing w:after="200" w:line="360"/>
      </w:pPr>
      <w:r>
        <w:t xml:space="preserve">Identify convergent pathway dysregulation across ASD subtypes, highlighting shared synaptic versus metabolic dysfunction modules.</w:t>
      </w:r>
    </w:p>
    <w:p>
      <w:pPr>
        <w:pStyle w:val="ListParagraph"/>
        <w:numPr>
          <w:ilvl w:val="0"/>
          <w:numId w:val="2"/>
        </w:numPr>
        <w:spacing w:after="200" w:line="360"/>
      </w:pPr>
      <w:r>
        <w:t xml:space="preserve">Rank ASD-associated genes by network centrality and druggability scores, filtering for genes encoding soluble, ligand-responsive proteins.</w:t>
      </w:r>
    </w:p>
    <w:p>
      <w:pPr>
        <w:pStyle w:val="ListParagraph"/>
        <w:numPr>
          <w:ilvl w:val="0"/>
          <w:numId w:val="2"/>
        </w:numPr>
        <w:spacing w:after="200" w:line="360"/>
      </w:pPr>
      <w:r>
        <w:t xml:space="preserve">Map predicted primary and secondary targets to known small molecule binding sites using structural homology and docking surveys.</w:t>
      </w:r>
    </w:p>
    <w:p>
      <w:pPr>
        <w:pStyle w:val="ListParagraph"/>
        <w:numPr>
          <w:ilvl w:val="0"/>
          <w:numId w:val="2"/>
        </w:numPr>
        <w:spacing w:after="200" w:line="360"/>
      </w:pPr>
      <w:r>
        <w:t xml:space="preserve">Cross-validate target predictions against published ASD preclinical models and neuronal differentiation studies.</w:t>
      </w:r>
    </w:p>
    <w:p>
      <w:pPr>
        <w:spacing w:after="200" w:line="360"/>
      </w:pPr>
      <w:r>
        <w:rPr>
          <w:b/>
          <w:bCs/>
        </w:rPr>
        <w:t xml:space="preserve">Expected Outputs:</w:t>
      </w:r>
    </w:p>
    <w:p>
      <w:pPr>
        <w:pStyle w:val="ListParagraph"/>
        <w:numPr>
          <w:ilvl w:val="0"/>
          <w:numId w:val="2"/>
        </w:numPr>
        <w:spacing w:after="200" w:line="360"/>
      </w:pPr>
      <w:r>
        <w:t xml:space="preserve">Molecular cluster profiles documenting genomic signatures, recurrent mutations, and pathway dysregulation patterns for each ASD subtype.</w:t>
      </w:r>
    </w:p>
    <w:p>
      <w:pPr>
        <w:pStyle w:val="ListParagraph"/>
        <w:numPr>
          <w:ilvl w:val="0"/>
          <w:numId w:val="2"/>
        </w:numPr>
        <w:spacing w:after="200" w:line="360"/>
      </w:pPr>
      <w:r>
        <w:t xml:space="preserve">Ranked list of primary drug targets (minimum 10 per cluster) with gene identifiers, protein sequences, and structural classification.</w:t>
      </w:r>
    </w:p>
    <w:p>
      <w:pPr>
        <w:pStyle w:val="ListParagraph"/>
        <w:numPr>
          <w:ilvl w:val="0"/>
          <w:numId w:val="2"/>
        </w:numPr>
        <w:spacing w:after="200" w:line="360"/>
      </w:pPr>
      <w:r>
        <w:t xml:space="preserve">Secondary target candidates selected for synergistic modulation of dysregulated circuits, ranked by network proximity and functional orthogonality.</w:t>
      </w:r>
    </w:p>
    <w:p>
      <w:pPr>
        <w:pStyle w:val="ListParagraph"/>
        <w:numPr>
          <w:ilvl w:val="0"/>
          <w:numId w:val="2"/>
        </w:numPr>
        <w:spacing w:after="200" w:line="360"/>
      </w:pPr>
      <w:r>
        <w:t xml:space="preserve">Detailed target justification memos citing genetic evidence (prevalence, effect size), functional studies, and preclinical disease model validation.</w:t>
      </w:r>
    </w:p>
    <w:p>
      <w:pPr>
        <w:pStyle w:val="ListParagraph"/>
        <w:numPr>
          <w:ilvl w:val="0"/>
          <w:numId w:val="2"/>
        </w:numPr>
        <w:spacing w:after="200" w:line="360"/>
      </w:pPr>
      <w:r>
        <w:t xml:space="preserve">Consensus pathway maps illustrating mechanistic links between genetic lesions and phenotypic manifestations for each cluster.</w:t>
      </w:r>
    </w:p>
    <w:p>
      <w:pPr>
        <w:pStyle w:val="ListParagraph"/>
        <w:numPr>
          <w:ilvl w:val="0"/>
          <w:numId w:val="2"/>
        </w:numPr>
        <w:spacing w:after="200" w:line="360"/>
      </w:pPr>
      <w:r>
        <w:t xml:space="preserve">Expression heatmaps and tissue distribution profiles confirming CNS-specific and neuron-enriched target localization.</w:t>
      </w:r>
    </w:p>
    <w:p>
      <w:pPr>
        <w:spacing w:after="200" w:line="360"/>
      </w:pPr>
      <w:r>
        <w:rPr>
          <w:b/>
          <w:bCs/>
        </w:rPr>
        <w:t xml:space="preserve">Format:</w:t>
      </w:r>
      <w:r>
        <w:t xml:space="preserve"> Structured JSON files containing cluster metadata, target gene annotations, pathway enrichment statistics, and target ranking matrices.</w:t>
      </w:r>
    </w:p>
    <w:p>
      <w:pPr>
        <w:pStyle w:val="Heading2"/>
      </w:pPr>
      <w:r>
        <w:t xml:space="preserve">Stage 2: Dual-Target Design Space Exploration and Selectivity Assessment</w:t>
      </w:r>
    </w:p>
    <w:p>
      <w:pPr>
        <w:spacing w:after="200" w:line="360"/>
      </w:pPr>
      <w:r>
        <w:rPr>
          <w:b/>
          <w:bCs/>
        </w:rPr>
        <w:t xml:space="preserve">Purpose:</w:t>
      </w:r>
      <w:r>
        <w:t xml:space="preserve"> Systematically explore small molecule binding modalities that simultaneously achieve functional affinity for primary and secondary targets while maintaining selectivity against off-target proteins implicated in adverse CNS effects.</w:t>
      </w:r>
    </w:p>
    <w:p>
      <w:pPr>
        <w:spacing w:after="200" w:line="360"/>
      </w:pPr>
      <w:r>
        <w:rPr>
          <w:b/>
          <w:bCs/>
        </w:rPr>
        <w:t xml:space="preserve">Inputs:</w:t>
      </w:r>
    </w:p>
    <w:p>
      <w:pPr>
        <w:pStyle w:val="ListParagraph"/>
        <w:numPr>
          <w:ilvl w:val="0"/>
          <w:numId w:val="2"/>
        </w:numPr>
        <w:spacing w:after="200" w:line="360"/>
      </w:pPr>
      <w:r>
        <w:t xml:space="preserve">Three-dimensional structures of primary and secondary ASD target proteins (PDB, AlphaFold model database)</w:t>
      </w:r>
    </w:p>
    <w:p>
      <w:pPr>
        <w:pStyle w:val="ListParagraph"/>
        <w:numPr>
          <w:ilvl w:val="0"/>
          <w:numId w:val="2"/>
        </w:numPr>
        <w:spacing w:after="200" w:line="360"/>
      </w:pPr>
      <w:r>
        <w:t xml:space="preserve">Known ligand datasets for target proteins including co-crystal structures, binding kinetics, and pharmacophore definitions</w:t>
      </w:r>
    </w:p>
    <w:p>
      <w:pPr>
        <w:pStyle w:val="ListParagraph"/>
        <w:numPr>
          <w:ilvl w:val="0"/>
          <w:numId w:val="2"/>
        </w:numPr>
        <w:spacing w:after="200" w:line="360"/>
      </w:pPr>
      <w:r>
        <w:t xml:space="preserve">Off-target liability panels specifying proteins known to cause CNS toxicity, movement disorders, or cognitive impairment when inhibited.</w:t>
      </w:r>
    </w:p>
    <w:p>
      <w:pPr>
        <w:pStyle w:val="ListParagraph"/>
        <w:numPr>
          <w:ilvl w:val="0"/>
          <w:numId w:val="2"/>
        </w:numPr>
        <w:spacing w:after="200" w:line="360"/>
      </w:pPr>
      <w:r>
        <w:t xml:space="preserve">Chemical library inventories from Quiver's compound repository and commercial vendors (Asinex, ChemDiv, Enamine)</w:t>
      </w:r>
    </w:p>
    <w:p>
      <w:pPr>
        <w:pStyle w:val="ListParagraph"/>
        <w:numPr>
          <w:ilvl w:val="0"/>
          <w:numId w:val="2"/>
        </w:numPr>
        <w:spacing w:after="200" w:line="360"/>
      </w:pPr>
      <w:r>
        <w:t xml:space="preserve">Published structure-activity relationship (SAR) series for structurally-related target classes with binding affinity and selectivity data.</w:t>
      </w:r>
    </w:p>
    <w:p>
      <w:pPr>
        <w:spacing w:after="200" w:line="360"/>
      </w:pPr>
      <w:r>
        <w:rPr>
          <w:b/>
          <w:bCs/>
        </w:rPr>
        <w:t xml:space="preserve">Tools &amp; Databases Called:</w:t>
      </w:r>
    </w:p>
    <w:p>
      <w:pPr>
        <w:pStyle w:val="ListParagraph"/>
        <w:numPr>
          <w:ilvl w:val="0"/>
          <w:numId w:val="2"/>
        </w:numPr>
        <w:spacing w:after="200" w:line="360"/>
      </w:pPr>
      <w:r>
        <w:rPr>
          <w:b/>
          <w:bCs/>
        </w:rPr>
        <w:t xml:space="preserve">Sapphire Molecular Docking Engine:</w:t>
      </w:r>
      <w:r>
        <w:t xml:space="preserve"> Performs high-throughput virtual screening using Glide/AutoDock-Vina to predict binding poses and affinities across target-ligand pairs.</w:t>
      </w:r>
    </w:p>
    <w:p>
      <w:pPr>
        <w:pStyle w:val="ListParagraph"/>
        <w:numPr>
          <w:ilvl w:val="0"/>
          <w:numId w:val="2"/>
        </w:numPr>
        <w:spacing w:after="200" w:line="360"/>
      </w:pPr>
      <w:r>
        <w:rPr>
          <w:b/>
          <w:bCs/>
        </w:rPr>
        <w:t xml:space="preserve">Sapphire SAR Prediction Module:</w:t>
      </w:r>
      <w:r>
        <w:t xml:space="preserve"> Applies graph neural networks trained on proprietary Quiver screening data to forecast binding affinity changes from structural modifications.</w:t>
      </w:r>
    </w:p>
    <w:p>
      <w:pPr>
        <w:pStyle w:val="ListParagraph"/>
        <w:numPr>
          <w:ilvl w:val="0"/>
          <w:numId w:val="2"/>
        </w:numPr>
        <w:spacing w:after="200" w:line="360"/>
      </w:pPr>
      <w:r>
        <w:rPr>
          <w:b/>
          <w:bCs/>
        </w:rPr>
        <w:t xml:space="preserve">PubChem Bioassay Database:</w:t>
      </w:r>
      <w:r>
        <w:t xml:space="preserve"> Retrieves high-throughput screening results and confirmatory binding data for query targets and homologous proteins.</w:t>
      </w:r>
    </w:p>
    <w:p>
      <w:pPr>
        <w:pStyle w:val="ListParagraph"/>
        <w:numPr>
          <w:ilvl w:val="0"/>
          <w:numId w:val="2"/>
        </w:numPr>
        <w:spacing w:after="200" w:line="360"/>
      </w:pPr>
      <w:r>
        <w:rPr>
          <w:b/>
          <w:bCs/>
        </w:rPr>
        <w:t xml:space="preserve">ChEMBL Database:</w:t>
      </w:r>
      <w:r>
        <w:t xml:space="preserve"> Aggregates medicinal chemistry literature data on ligand potency, selectivity profiles, and structure-activity relationships across compound series.</w:t>
      </w:r>
    </w:p>
    <w:p>
      <w:pPr>
        <w:pStyle w:val="ListParagraph"/>
        <w:numPr>
          <w:ilvl w:val="0"/>
          <w:numId w:val="2"/>
        </w:numPr>
        <w:spacing w:after="200" w:line="360"/>
      </w:pPr>
      <w:r>
        <w:rPr>
          <w:b/>
          <w:bCs/>
        </w:rPr>
        <w:t xml:space="preserve">Sapphire Selectivity Filter Engine:</w:t>
      </w:r>
      <w:r>
        <w:t xml:space="preserve"> Applies machine learning models to rank compounds by predicted selectivity against kinase, GPCR, and ion channel off-target panels.</w:t>
      </w:r>
    </w:p>
    <w:p>
      <w:pPr>
        <w:pStyle w:val="ListParagraph"/>
        <w:numPr>
          <w:ilvl w:val="0"/>
          <w:numId w:val="2"/>
        </w:numPr>
        <w:spacing w:after="200" w:line="360"/>
      </w:pPr>
      <w:r>
        <w:rPr>
          <w:b/>
          <w:bCs/>
        </w:rPr>
        <w:t xml:space="preserve">Shogun Kinase Panel (Discoverx):</w:t>
      </w:r>
      <w:r>
        <w:t xml:space="preserve"> Benchmark selectivity profiling database enabling identification of kinase inhibitors with minimal off-target liability.</w:t>
      </w:r>
    </w:p>
    <w:p>
      <w:pPr>
        <w:spacing w:after="200" w:line="360"/>
      </w:pPr>
      <w:r>
        <w:rPr>
          <w:b/>
          <w:bCs/>
        </w:rPr>
        <w:t xml:space="preserve">Exemplary Sub-Prompts:</w:t>
      </w:r>
    </w:p>
    <w:p>
      <w:pPr>
        <w:pStyle w:val="ListParagraph"/>
        <w:numPr>
          <w:ilvl w:val="0"/>
          <w:numId w:val="2"/>
        </w:numPr>
        <w:spacing w:after="200" w:line="360"/>
      </w:pPr>
      <w:r>
        <w:t xml:space="preserve">Screen 50,000 compounds from Quiver inventory against primary target using molecular docking, identifying 200 compounds with predicted Kd &lt; 1 micromolar.</w:t>
      </w:r>
    </w:p>
    <w:p>
      <w:pPr>
        <w:pStyle w:val="ListParagraph"/>
        <w:numPr>
          <w:ilvl w:val="0"/>
          <w:numId w:val="2"/>
        </w:numPr>
        <w:spacing w:after="200" w:line="360"/>
      </w:pPr>
      <w:r>
        <w:t xml:space="preserve">For each primary lead, predict binding affinity to 5 secondary targets via docking and SAR interpolation, filtering for compounds with &lt;10-fold potency gap.</w:t>
      </w:r>
    </w:p>
    <w:p>
      <w:pPr>
        <w:pStyle w:val="ListParagraph"/>
        <w:numPr>
          <w:ilvl w:val="0"/>
          <w:numId w:val="2"/>
        </w:numPr>
        <w:spacing w:after="200" w:line="360"/>
      </w:pPr>
      <w:r>
        <w:t xml:space="preserve">Assess selectivity of dual-target candidates against 96-member kinase panel and 48-member GPCR panel, retaining compounds with &gt; 100-fold selectivity margins.</w:t>
      </w:r>
    </w:p>
    <w:p>
      <w:pPr>
        <w:pStyle w:val="ListParagraph"/>
        <w:numPr>
          <w:ilvl w:val="0"/>
          <w:numId w:val="2"/>
        </w:numPr>
        <w:spacing w:after="200" w:line="360"/>
      </w:pPr>
      <w:r>
        <w:t xml:space="preserve">Generate structure-activity relationship heat maps showing how core scaffold modifications impact primary target affinity, secondary target affinity, and selectivity.</w:t>
      </w:r>
    </w:p>
    <w:p>
      <w:pPr>
        <w:pStyle w:val="ListParagraph"/>
        <w:numPr>
          <w:ilvl w:val="0"/>
          <w:numId w:val="2"/>
        </w:numPr>
        <w:spacing w:after="200" w:line="360"/>
      </w:pPr>
      <w:r>
        <w:t xml:space="preserve">Identify common structural motifs among high-quality dual-target binders and propose synthetic strategies for optimization.</w:t>
      </w:r>
    </w:p>
    <w:p>
      <w:pPr>
        <w:spacing w:after="200" w:line="360"/>
      </w:pPr>
      <w:r>
        <w:rPr>
          <w:b/>
          <w:bCs/>
        </w:rPr>
        <w:t xml:space="preserve">Expected Outputs:</w:t>
      </w:r>
    </w:p>
    <w:p>
      <w:pPr>
        <w:pStyle w:val="ListParagraph"/>
        <w:numPr>
          <w:ilvl w:val="0"/>
          <w:numId w:val="2"/>
        </w:numPr>
        <w:spacing w:after="200" w:line="360"/>
      </w:pPr>
      <w:r>
        <w:t xml:space="preserve">Virtual screening hit lists ranked by dual-target binding affinity, selectivity indices, and synthetic accessibility scores.</w:t>
      </w:r>
    </w:p>
    <w:p>
      <w:pPr>
        <w:pStyle w:val="ListParagraph"/>
        <w:numPr>
          <w:ilvl w:val="0"/>
          <w:numId w:val="2"/>
        </w:numPr>
        <w:spacing w:after="200" w:line="360"/>
      </w:pPr>
      <w:r>
        <w:t xml:space="preserve">Detailed docking pose predictions showing binding interactions, solvent exposure patterns, and predicted binding free energies for top 50 hits.</w:t>
      </w:r>
    </w:p>
    <w:p>
      <w:pPr>
        <w:pStyle w:val="ListParagraph"/>
        <w:numPr>
          <w:ilvl w:val="0"/>
          <w:numId w:val="2"/>
        </w:numPr>
        <w:spacing w:after="200" w:line="360"/>
      </w:pPr>
      <w:r>
        <w:t xml:space="preserve">Selectivity matrices predicting IC50 values against off-target kinases, GPCRs, and ion channels for prioritized compounds.</w:t>
      </w:r>
    </w:p>
    <w:p>
      <w:pPr>
        <w:pStyle w:val="ListParagraph"/>
        <w:numPr>
          <w:ilvl w:val="0"/>
          <w:numId w:val="2"/>
        </w:numPr>
        <w:spacing w:after="200" w:line="360"/>
      </w:pPr>
      <w:r>
        <w:t xml:space="preserve">Structure-activity relationship analyses documenting how chemical modifications modulate binding affinity to primary and secondary targets.</w:t>
      </w:r>
    </w:p>
    <w:p>
      <w:pPr>
        <w:pStyle w:val="ListParagraph"/>
        <w:numPr>
          <w:ilvl w:val="0"/>
          <w:numId w:val="2"/>
        </w:numPr>
        <w:spacing w:after="200" w:line="360"/>
      </w:pPr>
      <w:r>
        <w:t xml:space="preserve">Proposed modification vectors for scaffold optimization, including synthetic route feasibility assessments.</w:t>
      </w:r>
    </w:p>
    <w:p>
      <w:pPr>
        <w:pStyle w:val="ListParagraph"/>
        <w:numPr>
          <w:ilvl w:val="0"/>
          <w:numId w:val="2"/>
        </w:numPr>
        <w:spacing w:after="200" w:line="360"/>
      </w:pPr>
      <w:r>
        <w:t xml:space="preserve">Conformational analysis identifying ligand-bound pocket geometries and entropy contributions to binding thermodynamics.</w:t>
      </w:r>
    </w:p>
    <w:p>
      <w:pPr>
        <w:spacing w:after="200" w:line="360"/>
      </w:pPr>
      <w:r>
        <w:rPr>
          <w:b/>
          <w:bCs/>
        </w:rPr>
        <w:t xml:space="preserve">Format:</w:t>
      </w:r>
      <w:r>
        <w:t xml:space="preserve"> SDF files with docked poses, CSV selectivity matrices, and annotated structure images with SAR annotations.</w:t>
      </w:r>
    </w:p>
    <w:p>
      <w:pPr>
        <w:pStyle w:val="Heading2"/>
      </w:pPr>
      <w:r>
        <w:t xml:space="preserve">Stage 3: Pharmacokinetics and Blood-Brain Barrier Penetration Prediction</w:t>
      </w:r>
    </w:p>
    <w:p>
      <w:pPr>
        <w:spacing w:after="200" w:line="360"/>
      </w:pPr>
      <w:r>
        <w:rPr>
          <w:b/>
          <w:bCs/>
        </w:rPr>
        <w:t xml:space="preserve">Purpose:</w:t>
      </w:r>
      <w:r>
        <w:t xml:space="preserve"> Predict absorption, distribution, metabolism, and excretion (ADME) profiles and blood-brain barrier (BBB) penetration for dual-target candidates, ensuring optimal CNS exposure while minimizing off-target systemic exposure.</w:t>
      </w:r>
    </w:p>
    <w:p>
      <w:pPr>
        <w:spacing w:after="200" w:line="360"/>
      </w:pPr>
      <w:r>
        <w:rPr>
          <w:b/>
          <w:bCs/>
        </w:rPr>
        <w:t xml:space="preserve">Inputs:</w:t>
      </w:r>
    </w:p>
    <w:p>
      <w:pPr>
        <w:pStyle w:val="ListParagraph"/>
        <w:numPr>
          <w:ilvl w:val="0"/>
          <w:numId w:val="2"/>
        </w:numPr>
        <w:spacing w:after="200" w:line="360"/>
      </w:pPr>
      <w:r>
        <w:t xml:space="preserve">Chemical structures (SMILES, SDF) of dual-target hits from Stage 2 virtual screening</w:t>
      </w:r>
    </w:p>
    <w:p>
      <w:pPr>
        <w:pStyle w:val="ListParagraph"/>
        <w:numPr>
          <w:ilvl w:val="0"/>
          <w:numId w:val="2"/>
        </w:numPr>
        <w:spacing w:after="200" w:line="360"/>
      </w:pPr>
      <w:r>
        <w:t xml:space="preserve">Published pharmacokinetic data for structurally similar CNS-active compounds including Cmax, AUC, brain/plasma ratios, and elimination half-lives</w:t>
      </w:r>
    </w:p>
    <w:p>
      <w:pPr>
        <w:pStyle w:val="ListParagraph"/>
        <w:numPr>
          <w:ilvl w:val="0"/>
          <w:numId w:val="2"/>
        </w:numPr>
        <w:spacing w:after="200" w:line="360"/>
      </w:pPr>
      <w:r>
        <w:t xml:space="preserve">Metabolic substrate specificity profiles for human CYP450 isoforms and other phase-I and phase-II enzymes</w:t>
      </w:r>
    </w:p>
    <w:p>
      <w:pPr>
        <w:pStyle w:val="ListParagraph"/>
        <w:numPr>
          <w:ilvl w:val="0"/>
          <w:numId w:val="2"/>
        </w:numPr>
        <w:spacing w:after="200" w:line="360"/>
      </w:pPr>
      <w:r>
        <w:t xml:space="preserve">Transporter substrate and inhibition data for P-glycoprotein (MDR1), BCRP, OATP transporters governing BBB penetration</w:t>
      </w:r>
    </w:p>
    <w:p>
      <w:pPr>
        <w:pStyle w:val="ListParagraph"/>
        <w:numPr>
          <w:ilvl w:val="0"/>
          <w:numId w:val="2"/>
        </w:numPr>
        <w:spacing w:after="200" w:line="360"/>
      </w:pPr>
      <w:r>
        <w:t xml:space="preserve">Target CNS exposure requirements based on in vitro potency and preclinical efficacy benchmarks from published ASD models</w:t>
      </w:r>
    </w:p>
    <w:p>
      <w:pPr>
        <w:spacing w:after="200" w:line="360"/>
      </w:pPr>
      <w:r>
        <w:rPr>
          <w:b/>
          <w:bCs/>
        </w:rPr>
        <w:t xml:space="preserve">Tools &amp; Databases Called:</w:t>
      </w:r>
    </w:p>
    <w:p>
      <w:pPr>
        <w:pStyle w:val="ListParagraph"/>
        <w:numPr>
          <w:ilvl w:val="0"/>
          <w:numId w:val="2"/>
        </w:numPr>
        <w:spacing w:after="200" w:line="360"/>
      </w:pPr>
      <w:r>
        <w:rPr>
          <w:b/>
          <w:bCs/>
        </w:rPr>
        <w:t xml:space="preserve">Sapphire ADME Prediction Module:</w:t>
      </w:r>
      <w:r>
        <w:t xml:space="preserve"> Applies gradient boosting models trained on Quiver's internal ADME dataset to forecast drug-likeness metrics and absorption characteristics.</w:t>
      </w:r>
    </w:p>
    <w:p>
      <w:pPr>
        <w:pStyle w:val="ListParagraph"/>
        <w:numPr>
          <w:ilvl w:val="0"/>
          <w:numId w:val="2"/>
        </w:numPr>
        <w:spacing w:after="200" w:line="360"/>
      </w:pPr>
      <w:r>
        <w:rPr>
          <w:b/>
          <w:bCs/>
        </w:rPr>
        <w:t xml:space="preserve">Sapphire BBB Penetration Engine:</w:t>
      </w:r>
      <w:r>
        <w:t xml:space="preserve"> Predicts blood-brain barrier permeability using graph convolution neural networks trained on transporter interactions and passive diffusion rates.</w:t>
      </w:r>
    </w:p>
    <w:p>
      <w:pPr>
        <w:pStyle w:val="ListParagraph"/>
        <w:numPr>
          <w:ilvl w:val="0"/>
          <w:numId w:val="2"/>
        </w:numPr>
        <w:spacing w:after="200" w:line="360"/>
      </w:pPr>
      <w:r>
        <w:rPr>
          <w:b/>
          <w:bCs/>
        </w:rPr>
        <w:t xml:space="preserve">Sapphire Metabolism Predictor:</w:t>
      </w:r>
      <w:r>
        <w:t xml:space="preserve"> Identifies metabolic soft spots and predicts primary metabolites for human CYP450 enzymes, UGT, and MAOA/MAOB monoamine oxidases.</w:t>
      </w:r>
    </w:p>
    <w:p>
      <w:pPr>
        <w:pStyle w:val="ListParagraph"/>
        <w:numPr>
          <w:ilvl w:val="0"/>
          <w:numId w:val="2"/>
        </w:numPr>
        <w:spacing w:after="200" w:line="360"/>
      </w:pPr>
      <w:r>
        <w:rPr>
          <w:b/>
          <w:bCs/>
        </w:rPr>
        <w:t xml:space="preserve">DrugBank Database:</w:t>
      </w:r>
      <w:r>
        <w:t xml:space="preserve"> Retrieves experimental and literature ADME/PK parameters for approved and investigational drugs with similar scaffolds.</w:t>
      </w:r>
    </w:p>
    <w:p>
      <w:pPr>
        <w:pStyle w:val="ListParagraph"/>
        <w:numPr>
          <w:ilvl w:val="0"/>
          <w:numId w:val="2"/>
        </w:numPr>
        <w:spacing w:after="200" w:line="360"/>
      </w:pPr>
      <w:r>
        <w:rPr>
          <w:b/>
          <w:bCs/>
        </w:rPr>
        <w:t xml:space="preserve">MicroConstants Database:</w:t>
      </w:r>
      <w:r>
        <w:t xml:space="preserve"> Provides CYP450 kinetic parameters (Km, Vmax) and substrate selectivity profiles for human liver microsomes.</w:t>
      </w:r>
    </w:p>
    <w:p>
      <w:pPr>
        <w:pStyle w:val="ListParagraph"/>
        <w:numPr>
          <w:ilvl w:val="0"/>
          <w:numId w:val="2"/>
        </w:numPr>
        <w:spacing w:after="200" w:line="360"/>
      </w:pPr>
      <w:r>
        <w:rPr>
          <w:b/>
          <w:bCs/>
        </w:rPr>
        <w:t xml:space="preserve">Transporter Database (TCDB, Xenobase):</w:t>
      </w:r>
      <w:r>
        <w:t xml:space="preserve"> Supplies P-gp, BCRP, and OATP transporter substrate classifications and inhibition constants for BBB permeability modeling.</w:t>
      </w:r>
    </w:p>
    <w:p>
      <w:pPr>
        <w:spacing w:after="200" w:line="360"/>
      </w:pPr>
      <w:r>
        <w:rPr>
          <w:b/>
          <w:bCs/>
        </w:rPr>
        <w:t xml:space="preserve">Exemplary Sub-Prompts:</w:t>
      </w:r>
    </w:p>
    <w:p>
      <w:pPr>
        <w:pStyle w:val="ListParagraph"/>
        <w:numPr>
          <w:ilvl w:val="0"/>
          <w:numId w:val="2"/>
        </w:numPr>
        <w:spacing w:after="200" w:line="360"/>
      </w:pPr>
      <w:r>
        <w:t xml:space="preserve">Predict LogD, plasma protein binding, and aqueous solubility for all dual-target hits, filtering for compounds meeting Lipinski's rule-of-five criteria.</w:t>
      </w:r>
    </w:p>
    <w:p>
      <w:pPr>
        <w:pStyle w:val="ListParagraph"/>
        <w:numPr>
          <w:ilvl w:val="0"/>
          <w:numId w:val="2"/>
        </w:numPr>
        <w:spacing w:after="200" w:line="360"/>
      </w:pPr>
      <w:r>
        <w:t xml:space="preserve">Forecast hepatic clearance rates and half-lives via CYP-mediated metabolism prediction, prioritizing compounds with minimal CYP3A4 or CYP2D6 metabolism.</w:t>
      </w:r>
    </w:p>
    <w:p>
      <w:pPr>
        <w:pStyle w:val="ListParagraph"/>
        <w:numPr>
          <w:ilvl w:val="0"/>
          <w:numId w:val="2"/>
        </w:numPr>
        <w:spacing w:after="200" w:line="360"/>
      </w:pPr>
      <w:r>
        <w:t xml:space="preserve">Assess BBB permeability, P-glycoprotein efflux liability, and predicted brain/plasma concentration ratios for compounds targeting CNS therapeutic efficacy.</w:t>
      </w:r>
    </w:p>
    <w:p>
      <w:pPr>
        <w:pStyle w:val="ListParagraph"/>
        <w:numPr>
          <w:ilvl w:val="0"/>
          <w:numId w:val="2"/>
        </w:numPr>
        <w:spacing w:after="200" w:line="360"/>
      </w:pPr>
      <w:r>
        <w:t xml:space="preserve">Identify metabolically labile substituents and propose structural modifications to improve pharmacokinetic profiles while maintaining target affinity.</w:t>
      </w:r>
    </w:p>
    <w:p>
      <w:pPr>
        <w:pStyle w:val="ListParagraph"/>
        <w:numPr>
          <w:ilvl w:val="0"/>
          <w:numId w:val="2"/>
        </w:numPr>
        <w:spacing w:after="200" w:line="360"/>
      </w:pPr>
      <w:r>
        <w:t xml:space="preserve">Simulate population pharmacokinetics for top compounds using physiologically-based pharmacokinetic (PBPK) modeling, accounting for patient age, sex, and genetic polymorphisms.</w:t>
      </w:r>
    </w:p>
    <w:p>
      <w:pPr>
        <w:spacing w:after="200" w:line="360"/>
      </w:pPr>
      <w:r>
        <w:rPr>
          <w:b/>
          <w:bCs/>
        </w:rPr>
        <w:t xml:space="preserve">Expected Outputs:</w:t>
      </w:r>
    </w:p>
    <w:p>
      <w:pPr>
        <w:pStyle w:val="ListParagraph"/>
        <w:numPr>
          <w:ilvl w:val="0"/>
          <w:numId w:val="2"/>
        </w:numPr>
        <w:spacing w:after="200" w:line="360"/>
      </w:pPr>
      <w:r>
        <w:t xml:space="preserve">Predicted ADME profiles (absorption, distribution, metabolism, excretion) for all candidates with LogD, pKa, solubility, and permeability scores.</w:t>
      </w:r>
    </w:p>
    <w:p>
      <w:pPr>
        <w:pStyle w:val="ListParagraph"/>
        <w:numPr>
          <w:ilvl w:val="0"/>
          <w:numId w:val="2"/>
        </w:numPr>
        <w:spacing w:after="200" w:line="360"/>
      </w:pPr>
      <w:r>
        <w:t xml:space="preserve">BBB penetration forecasts including predicted brain/plasma ratios, P-glycoprotein substrate classification, and CNS efficacy probability indices.</w:t>
      </w:r>
    </w:p>
    <w:p>
      <w:pPr>
        <w:pStyle w:val="ListParagraph"/>
        <w:numPr>
          <w:ilvl w:val="0"/>
          <w:numId w:val="2"/>
        </w:numPr>
        <w:spacing w:after="200" w:line="360"/>
      </w:pPr>
      <w:r>
        <w:t xml:space="preserve">Metabolite identification and pathway mapping showing primary phase-I and phase-II transformation routes for leading compounds.</w:t>
      </w:r>
    </w:p>
    <w:p>
      <w:pPr>
        <w:pStyle w:val="ListParagraph"/>
        <w:numPr>
          <w:ilvl w:val="0"/>
          <w:numId w:val="2"/>
        </w:numPr>
        <w:spacing w:after="200" w:line="360"/>
      </w:pPr>
      <w:r>
        <w:t xml:space="preserve">Hepatic clearance predictions, plasma half-life estimates, and CYP enzyme inhibition liabilities for drug-drug interaction assessment.</w:t>
      </w:r>
    </w:p>
    <w:p>
      <w:pPr>
        <w:pStyle w:val="ListParagraph"/>
        <w:numPr>
          <w:ilvl w:val="0"/>
          <w:numId w:val="2"/>
        </w:numPr>
        <w:spacing w:after="200" w:line="360"/>
      </w:pPr>
      <w:r>
        <w:t xml:space="preserve">Recommended dosing regimens based on simulated steady-state pharmacokinetics and target-binding kinetics.</w:t>
      </w:r>
    </w:p>
    <w:p>
      <w:pPr>
        <w:pStyle w:val="ListParagraph"/>
        <w:numPr>
          <w:ilvl w:val="0"/>
          <w:numId w:val="2"/>
        </w:numPr>
        <w:spacing w:after="200" w:line="360"/>
      </w:pPr>
      <w:r>
        <w:t xml:space="preserve">Flag compounds exceeding CYP inhibition thresholds or possessing metabolic liabilities necessitating chemical redesign.</w:t>
      </w:r>
    </w:p>
    <w:p>
      <w:pPr>
        <w:spacing w:after="200" w:line="360"/>
      </w:pPr>
      <w:r>
        <w:rPr>
          <w:b/>
          <w:bCs/>
        </w:rPr>
        <w:t xml:space="preserve">Format:</w:t>
      </w:r>
      <w:r>
        <w:t xml:space="preserve"> Tabular reports with ADME summaries, metabolic pathway diagrams, and BBB penetration visual dashboards in PDF format.</w:t>
      </w:r>
    </w:p>
    <w:p>
      <w:pPr>
        <w:pStyle w:val="Heading2"/>
      </w:pPr>
      <w:r>
        <w:t xml:space="preserve">Stage 4: Safety, Toxicity, and CNS-Specific Liability Assessment</w:t>
      </w:r>
    </w:p>
    <w:p>
      <w:pPr>
        <w:spacing w:after="200" w:line="360"/>
      </w:pPr>
      <w:r>
        <w:rPr>
          <w:b/>
          <w:bCs/>
        </w:rPr>
        <w:t xml:space="preserve">Purpose:</w:t>
      </w:r>
      <w:r>
        <w:t xml:space="preserve"> Predict off-target liabilities, genotoxicity risks, hepatotoxicity, and CNS safety endpoints (seizure liability, neuroexcitotoxicity, movement disorder potential) to identify compounds suitable for in vivo preclinical studies.</w:t>
      </w:r>
    </w:p>
    <w:p>
      <w:pPr>
        <w:spacing w:after="200" w:line="360"/>
      </w:pPr>
      <w:r>
        <w:rPr>
          <w:b/>
          <w:bCs/>
        </w:rPr>
        <w:t xml:space="preserve">Inputs:</w:t>
      </w:r>
    </w:p>
    <w:p>
      <w:pPr>
        <w:pStyle w:val="ListParagraph"/>
        <w:numPr>
          <w:ilvl w:val="0"/>
          <w:numId w:val="2"/>
        </w:numPr>
        <w:spacing w:after="200" w:line="360"/>
      </w:pPr>
      <w:r>
        <w:t xml:space="preserve">Dual-target candidate structures and binding affinity predictions from earlier pipeline stages</w:t>
      </w:r>
    </w:p>
    <w:p>
      <w:pPr>
        <w:pStyle w:val="ListParagraph"/>
        <w:numPr>
          <w:ilvl w:val="0"/>
          <w:numId w:val="2"/>
        </w:numPr>
        <w:spacing w:after="200" w:line="360"/>
      </w:pPr>
      <w:r>
        <w:t xml:space="preserve">Known toxicity alerts and chemical structural features associated with adverse CNS effects (seizures, movement disorders, cognitive impairment)</w:t>
      </w:r>
    </w:p>
    <w:p>
      <w:pPr>
        <w:pStyle w:val="ListParagraph"/>
        <w:numPr>
          <w:ilvl w:val="0"/>
          <w:numId w:val="2"/>
        </w:numPr>
        <w:spacing w:after="200" w:line="360"/>
      </w:pPr>
      <w:r>
        <w:t xml:space="preserve">Off-target binding profiles from Stage 2 selectivity assessment including kinase, GPCR, and ion channel interactions</w:t>
      </w:r>
    </w:p>
    <w:p>
      <w:pPr>
        <w:pStyle w:val="ListParagraph"/>
        <w:numPr>
          <w:ilvl w:val="0"/>
          <w:numId w:val="2"/>
        </w:numPr>
        <w:spacing w:after="200" w:line="360"/>
      </w:pPr>
      <w:r>
        <w:t xml:space="preserve">Curated toxicity datasets linking chemical substructures to genotoxicity, hepatotoxicity, and developmental neurotoxicity outcomes</w:t>
      </w:r>
    </w:p>
    <w:p>
      <w:pPr>
        <w:pStyle w:val="ListParagraph"/>
        <w:numPr>
          <w:ilvl w:val="0"/>
          <w:numId w:val="2"/>
        </w:numPr>
        <w:spacing w:after="200" w:line="360"/>
      </w:pPr>
      <w:r>
        <w:t xml:space="preserve">Human iPSC-derived neuron and astrocyte toxicity benchmarks from published neurotoxicology screening campaigns</w:t>
      </w:r>
    </w:p>
    <w:p>
      <w:pPr>
        <w:spacing w:after="200" w:line="360"/>
      </w:pPr>
      <w:r>
        <w:rPr>
          <w:b/>
          <w:bCs/>
        </w:rPr>
        <w:t xml:space="preserve">Tools &amp; Databases Called:</w:t>
      </w:r>
    </w:p>
    <w:p>
      <w:pPr>
        <w:pStyle w:val="ListParagraph"/>
        <w:numPr>
          <w:ilvl w:val="0"/>
          <w:numId w:val="2"/>
        </w:numPr>
        <w:spacing w:after="200" w:line="360"/>
      </w:pPr>
      <w:r>
        <w:rPr>
          <w:b/>
          <w:bCs/>
        </w:rPr>
        <w:t xml:space="preserve">Sapphire Off-Target Prediction Module:</w:t>
      </w:r>
      <w:r>
        <w:t xml:space="preserve"> Predicts binding affinities against kinase, GPCR, ion channel, transporter panels via machine learning, flagging compounds with predicted nanomolar interactions outside intended targets.</w:t>
      </w:r>
    </w:p>
    <w:p>
      <w:pPr>
        <w:pStyle w:val="ListParagraph"/>
        <w:numPr>
          <w:ilvl w:val="0"/>
          <w:numId w:val="2"/>
        </w:numPr>
        <w:spacing w:after="200" w:line="360"/>
      </w:pPr>
      <w:r>
        <w:rPr>
          <w:b/>
          <w:bCs/>
        </w:rPr>
        <w:t xml:space="preserve">Sapphire Seizure Liability Engine:</w:t>
      </w:r>
      <w:r>
        <w:t xml:space="preserve"> Evaluates structural alerts and off-target mechanisms (hERG inhibition, GABA-R modulation, glutamate receptor antagonism) predictive of seizure risk.</w:t>
      </w:r>
    </w:p>
    <w:p>
      <w:pPr>
        <w:pStyle w:val="ListParagraph"/>
        <w:numPr>
          <w:ilvl w:val="0"/>
          <w:numId w:val="2"/>
        </w:numPr>
        <w:spacing w:after="200" w:line="360"/>
      </w:pPr>
      <w:r>
        <w:rPr>
          <w:b/>
          <w:bCs/>
        </w:rPr>
        <w:t xml:space="preserve">Sapphire Hepatotoxicity Predictor:</w:t>
      </w:r>
      <w:r>
        <w:t xml:space="preserve"> Applies gradient boosting models trained on NCATS and FDA toxicity datasets to forecast hepatocellular injury and cholestatic potential.</w:t>
      </w:r>
    </w:p>
    <w:p>
      <w:pPr>
        <w:pStyle w:val="ListParagraph"/>
        <w:numPr>
          <w:ilvl w:val="0"/>
          <w:numId w:val="2"/>
        </w:numPr>
        <w:spacing w:after="200" w:line="360"/>
      </w:pPr>
      <w:r>
        <w:rPr>
          <w:b/>
          <w:bCs/>
        </w:rPr>
        <w:t xml:space="preserve">NCATS Inxight Drugs Toxicology Database:</w:t>
      </w:r>
      <w:r>
        <w:t xml:space="preserve"> Retrieves adverse event reports, clinical toxicology observations, and literature toxicity data for compounds with similar pharmacophores.</w:t>
      </w:r>
    </w:p>
    <w:p>
      <w:pPr>
        <w:pStyle w:val="ListParagraph"/>
        <w:numPr>
          <w:ilvl w:val="0"/>
          <w:numId w:val="2"/>
        </w:numPr>
        <w:spacing w:after="200" w:line="360"/>
      </w:pPr>
      <w:r>
        <w:rPr>
          <w:b/>
          <w:bCs/>
        </w:rPr>
        <w:t xml:space="preserve">Sapphire Developmental Neurotoxicity Predictor:</w:t>
      </w:r>
      <w:r>
        <w:t xml:space="preserve"> Predicts developmental and behavioral effects using neural network models trained on DNT screening datasets and ASD phenotype correlations.</w:t>
      </w:r>
    </w:p>
    <w:p>
      <w:pPr>
        <w:pStyle w:val="ListParagraph"/>
        <w:numPr>
          <w:ilvl w:val="0"/>
          <w:numId w:val="2"/>
        </w:numPr>
        <w:spacing w:after="200" w:line="360"/>
      </w:pPr>
      <w:r>
        <w:rPr>
          <w:b/>
          <w:bCs/>
        </w:rPr>
        <w:t xml:space="preserve">Leadscope Toxicity Database:</w:t>
      </w:r>
      <w:r>
        <w:t xml:space="preserve"> Supplies genotoxicity alerts, AMES test predictions, and structure-toxicity relationships for identifying mutagenic or carcinogenic scaffolds.</w:t>
      </w:r>
    </w:p>
    <w:p>
      <w:pPr>
        <w:spacing w:after="200" w:line="360"/>
      </w:pPr>
      <w:r>
        <w:rPr>
          <w:b/>
          <w:bCs/>
        </w:rPr>
        <w:t xml:space="preserve">Exemplary Sub-Prompts:</w:t>
      </w:r>
    </w:p>
    <w:p>
      <w:pPr>
        <w:pStyle w:val="ListParagraph"/>
        <w:numPr>
          <w:ilvl w:val="0"/>
          <w:numId w:val="2"/>
        </w:numPr>
        <w:spacing w:after="200" w:line="360"/>
      </w:pPr>
      <w:r>
        <w:t xml:space="preserve">Screen dual-target candidates against kinase selectivity panels, identifying compounds with &gt;100-fold selectivity versus known neuroexcitotoxic kinases (Fyn, Src, Lyn).</w:t>
      </w:r>
    </w:p>
    <w:p>
      <w:pPr>
        <w:pStyle w:val="ListParagraph"/>
        <w:numPr>
          <w:ilvl w:val="0"/>
          <w:numId w:val="2"/>
        </w:numPr>
        <w:spacing w:after="200" w:line="360"/>
      </w:pPr>
      <w:r>
        <w:t xml:space="preserve">Evaluate hERG channel inhibition potential and QT prolongation risk via docking and SAR-based prediction.</w:t>
      </w:r>
    </w:p>
    <w:p>
      <w:pPr>
        <w:pStyle w:val="ListParagraph"/>
        <w:numPr>
          <w:ilvl w:val="0"/>
          <w:numId w:val="2"/>
        </w:numPr>
        <w:spacing w:after="200" w:line="360"/>
      </w:pPr>
      <w:r>
        <w:t xml:space="preserve">Predict hepatotoxicity and drug-induced liver injury (DILI) risk using structural alerts and metabolite toxicity forecasting.</w:t>
      </w:r>
    </w:p>
    <w:p>
      <w:pPr>
        <w:pStyle w:val="ListParagraph"/>
        <w:numPr>
          <w:ilvl w:val="0"/>
          <w:numId w:val="2"/>
        </w:numPr>
        <w:spacing w:after="200" w:line="360"/>
      </w:pPr>
      <w:r>
        <w:t xml:space="preserve">Flag compounds containing mutagenic or teratogenic substructures based on Leadscope and NCATS Inxight databases.</w:t>
      </w:r>
    </w:p>
    <w:p>
      <w:pPr>
        <w:pStyle w:val="ListParagraph"/>
        <w:numPr>
          <w:ilvl w:val="0"/>
          <w:numId w:val="2"/>
        </w:numPr>
        <w:spacing w:after="200" w:line="360"/>
      </w:pPr>
      <w:r>
        <w:t xml:space="preserve">Assess movement disorder and extrapyramidal side effect risk via predicted dopamine D2 receptor binding and motor circuit off-target interactions.</w:t>
      </w:r>
    </w:p>
    <w:p>
      <w:pPr>
        <w:spacing w:after="200" w:line="360"/>
      </w:pPr>
      <w:r>
        <w:rPr>
          <w:b/>
          <w:bCs/>
        </w:rPr>
        <w:t xml:space="preserve">Expected Outputs:</w:t>
      </w:r>
    </w:p>
    <w:p>
      <w:pPr>
        <w:pStyle w:val="ListParagraph"/>
        <w:numPr>
          <w:ilvl w:val="0"/>
          <w:numId w:val="2"/>
        </w:numPr>
        <w:spacing w:after="200" w:line="360"/>
      </w:pPr>
      <w:r>
        <w:t xml:space="preserve">Comprehensive off-target liability profiles documenting predicted binding to kinases, GPCRs, ion channels, and transporters with IC50/Ki estimates.</w:t>
      </w:r>
    </w:p>
    <w:p>
      <w:pPr>
        <w:pStyle w:val="ListParagraph"/>
        <w:numPr>
          <w:ilvl w:val="0"/>
          <w:numId w:val="2"/>
        </w:numPr>
        <w:spacing w:after="200" w:line="360"/>
      </w:pPr>
      <w:r>
        <w:t xml:space="preserve">Seizure liability assessments with flagging of structural alerts and predicted mechanisms (hERG inhibition, GABA-R dysmodulation, glutamate antagonism).</w:t>
      </w:r>
    </w:p>
    <w:p>
      <w:pPr>
        <w:pStyle w:val="ListParagraph"/>
        <w:numPr>
          <w:ilvl w:val="0"/>
          <w:numId w:val="2"/>
        </w:numPr>
        <w:spacing w:after="200" w:line="360"/>
      </w:pPr>
      <w:r>
        <w:t xml:space="preserve">Hepatotoxicity and DILI risk predictions with metabolite toxicity assessments and recommended monitoring parameters.</w:t>
      </w:r>
    </w:p>
    <w:p>
      <w:pPr>
        <w:pStyle w:val="ListParagraph"/>
        <w:numPr>
          <w:ilvl w:val="0"/>
          <w:numId w:val="2"/>
        </w:numPr>
        <w:spacing w:after="200" w:line="360"/>
      </w:pPr>
      <w:r>
        <w:t xml:space="preserve">Genotoxicity alerts and AMES test predictions identifying compounds requiring further mutagenicity assessment.</w:t>
      </w:r>
    </w:p>
    <w:p>
      <w:pPr>
        <w:pStyle w:val="ListParagraph"/>
        <w:numPr>
          <w:ilvl w:val="0"/>
          <w:numId w:val="2"/>
        </w:numPr>
        <w:spacing w:after="200" w:line="360"/>
      </w:pPr>
      <w:r>
        <w:t xml:space="preserve">Developmental neurotoxicity and movement disorder risk assessments with go/no-go recommendations for progression to in vivo studies.</w:t>
      </w:r>
    </w:p>
    <w:p>
      <w:pPr>
        <w:pStyle w:val="ListParagraph"/>
        <w:numPr>
          <w:ilvl w:val="0"/>
          <w:numId w:val="2"/>
        </w:numPr>
        <w:spacing w:after="200" w:line="360"/>
      </w:pPr>
      <w:r>
        <w:t xml:space="preserve">Mitigation strategies documenting chemical modifications or enhanced preclinical monitoring protocols for compounds with minor liabilities.</w:t>
      </w:r>
    </w:p>
    <w:p>
      <w:pPr>
        <w:spacing w:after="200" w:line="360"/>
      </w:pPr>
      <w:r>
        <w:rPr>
          <w:b/>
          <w:bCs/>
        </w:rPr>
        <w:t xml:space="preserve">Format:</w:t>
      </w:r>
      <w:r>
        <w:t xml:space="preserve"> Structured toxicity reports with risk matrices, structural alert flags, and traffic-light scoring systems (green/yellow/red) for rapid prioritization.</w:t>
      </w:r>
    </w:p>
    <w:p>
      <w:pPr>
        <w:pStyle w:val="Heading2"/>
      </w:pPr>
      <w:r>
        <w:t xml:space="preserve">Stage 5: Mechanism-of-Action Validation and Biomarker Alignment</w:t>
      </w:r>
    </w:p>
    <w:p>
      <w:pPr>
        <w:spacing w:after="200" w:line="360"/>
      </w:pPr>
      <w:r>
        <w:rPr>
          <w:b/>
          <w:bCs/>
        </w:rPr>
        <w:t xml:space="preserve">Purpose:</w:t>
      </w:r>
      <w:r>
        <w:t xml:space="preserve"> Cross-validate predicted dual-target modulation against preclinical disease models and biomarker datasets to ensure mechanistic alignment with ASD cluster pathophysiology and sufficient pharmacological effect to warrant in vivo testing.</w:t>
      </w:r>
    </w:p>
    <w:p>
      <w:pPr>
        <w:spacing w:after="200" w:line="360"/>
      </w:pPr>
      <w:r>
        <w:rPr>
          <w:b/>
          <w:bCs/>
        </w:rPr>
        <w:t xml:space="preserve">Inputs:</w:t>
      </w:r>
    </w:p>
    <w:p>
      <w:pPr>
        <w:pStyle w:val="ListParagraph"/>
        <w:numPr>
          <w:ilvl w:val="0"/>
          <w:numId w:val="2"/>
        </w:numPr>
        <w:spacing w:after="200" w:line="360"/>
      </w:pPr>
      <w:r>
        <w:t xml:space="preserve">Prioritized dual-target compounds from Stages 2-4 with predicted binding affinities, selectivity profiles, and safety assessments</w:t>
      </w:r>
    </w:p>
    <w:p>
      <w:pPr>
        <w:pStyle w:val="ListParagraph"/>
        <w:numPr>
          <w:ilvl w:val="0"/>
          <w:numId w:val="2"/>
        </w:numPr>
        <w:spacing w:after="200" w:line="360"/>
      </w:pPr>
      <w:r>
        <w:t xml:space="preserve">Published preclinical ASD model phenotypes including behavioral assays (social interaction, repetitive behavior), neural circuit recordings, and molecular markers</w:t>
      </w:r>
    </w:p>
    <w:p>
      <w:pPr>
        <w:pStyle w:val="ListParagraph"/>
        <w:numPr>
          <w:ilvl w:val="0"/>
          <w:numId w:val="2"/>
        </w:numPr>
        <w:spacing w:after="200" w:line="360"/>
      </w:pPr>
      <w:r>
        <w:t xml:space="preserve">ASD-relevant transcriptomic, proteomic, and phosphoproteomics datasets from patient-derived iPSCs, postmortem brain tissue, and animal disease models</w:t>
      </w:r>
    </w:p>
    <w:p>
      <w:pPr>
        <w:pStyle w:val="ListParagraph"/>
        <w:numPr>
          <w:ilvl w:val="0"/>
          <w:numId w:val="2"/>
        </w:numPr>
        <w:spacing w:after="200" w:line="360"/>
      </w:pPr>
      <w:r>
        <w:t xml:space="preserve">Target-specific cellular phenotypes (neuronal excitability, synaptic transmission, astrocytic support) quantifiable via high-throughput screening platforms</w:t>
      </w:r>
    </w:p>
    <w:p>
      <w:pPr>
        <w:pStyle w:val="ListParagraph"/>
        <w:numPr>
          <w:ilvl w:val="0"/>
          <w:numId w:val="2"/>
        </w:numPr>
        <w:spacing w:after="200" w:line="360"/>
      </w:pPr>
      <w:r>
        <w:t xml:space="preserve">Known positive control compounds and published in vitro efficacy data for validated ASD therapeutic targets (e.g., IGF1, mTOR inhibitors)</w:t>
      </w:r>
    </w:p>
    <w:p>
      <w:pPr>
        <w:spacing w:after="200" w:line="360"/>
      </w:pPr>
      <w:r>
        <w:rPr>
          <w:b/>
          <w:bCs/>
        </w:rPr>
        <w:t xml:space="preserve">Tools &amp; Databases Called:</w:t>
      </w:r>
    </w:p>
    <w:p>
      <w:pPr>
        <w:pStyle w:val="ListParagraph"/>
        <w:numPr>
          <w:ilvl w:val="0"/>
          <w:numId w:val="2"/>
        </w:numPr>
        <w:spacing w:after="200" w:line="360"/>
      </w:pPr>
      <w:r>
        <w:rPr>
          <w:b/>
          <w:bCs/>
        </w:rPr>
        <w:t xml:space="preserve">Sapphire Cellular Phenotype Simulator:</w:t>
      </w:r>
      <w:r>
        <w:t xml:space="preserve"> Predicts dose-dependent cellular responses (neuronal firing rates, synaptic transmission metrics, glial activation) based on target modulation and published system-level models.</w:t>
      </w:r>
    </w:p>
    <w:p>
      <w:pPr>
        <w:pStyle w:val="ListParagraph"/>
        <w:numPr>
          <w:ilvl w:val="0"/>
          <w:numId w:val="2"/>
        </w:numPr>
        <w:spacing w:after="200" w:line="360"/>
      </w:pPr>
      <w:r>
        <w:rPr>
          <w:b/>
          <w:bCs/>
        </w:rPr>
        <w:t xml:space="preserve">Sapphire Disease Model Database:</w:t>
      </w:r>
      <w:r>
        <w:t xml:space="preserve"> Aggregates preclinical ASD model phenotypes, genetic backgrounds, and drug response profiles from published literature and internal screening campaigns.</w:t>
      </w:r>
    </w:p>
    <w:p>
      <w:pPr>
        <w:pStyle w:val="ListParagraph"/>
        <w:numPr>
          <w:ilvl w:val="0"/>
          <w:numId w:val="2"/>
        </w:numPr>
        <w:spacing w:after="200" w:line="360"/>
      </w:pPr>
      <w:r>
        <w:rPr>
          <w:b/>
          <w:bCs/>
        </w:rPr>
        <w:t xml:space="preserve">Allen Brain Reference Atlas:</w:t>
      </w:r>
      <w:r>
        <w:t xml:space="preserve"> Maps target expression patterns to ASD-implicated neural circuits (cortico-striatal, amygdala-PFC, cerebellum-cortex) informing circuit-level mechanism predictions.</w:t>
      </w:r>
    </w:p>
    <w:p>
      <w:pPr>
        <w:pStyle w:val="ListParagraph"/>
        <w:numPr>
          <w:ilvl w:val="0"/>
          <w:numId w:val="2"/>
        </w:numPr>
        <w:spacing w:after="200" w:line="360"/>
      </w:pPr>
      <w:r>
        <w:rPr>
          <w:b/>
          <w:bCs/>
        </w:rPr>
        <w:t xml:space="preserve">GEO Omnibus &amp; Array Express:</w:t>
      </w:r>
      <w:r>
        <w:t xml:space="preserve"> Retrieves public transcriptomic and expression databases for ASD brain tissue and disease models to validate target expression signatures.</w:t>
      </w:r>
    </w:p>
    <w:p>
      <w:pPr>
        <w:pStyle w:val="ListParagraph"/>
        <w:numPr>
          <w:ilvl w:val="0"/>
          <w:numId w:val="2"/>
        </w:numPr>
        <w:spacing w:after="200" w:line="360"/>
      </w:pPr>
      <w:r>
        <w:rPr>
          <w:b/>
          <w:bCs/>
        </w:rPr>
        <w:t xml:space="preserve">Sapphire iPSC Phenotype Platform:</w:t>
      </w:r>
      <w:r>
        <w:t xml:space="preserve"> Integrates patient-derived iPSC-neuron data including electrophysiology, transcriptomics, and proteomics to model target modulation effects in human genetic backgrounds.</w:t>
      </w:r>
    </w:p>
    <w:p>
      <w:pPr>
        <w:pStyle w:val="ListParagraph"/>
        <w:numPr>
          <w:ilvl w:val="0"/>
          <w:numId w:val="2"/>
        </w:numPr>
        <w:spacing w:after="200" w:line="360"/>
      </w:pPr>
      <w:r>
        <w:rPr>
          <w:b/>
          <w:bCs/>
        </w:rPr>
        <w:t xml:space="preserve">Reactome &amp; KEGG Pathway Databases:</w:t>
      </w:r>
      <w:r>
        <w:t xml:space="preserve"> Enables mechanistic interpretation of target modulation, predicting cascading changes in synaptic transmission, neuroinflammation, and metabolic homeostasis.</w:t>
      </w:r>
    </w:p>
    <w:p>
      <w:pPr>
        <w:spacing w:after="200" w:line="360"/>
      </w:pPr>
      <w:r>
        <w:rPr>
          <w:b/>
          <w:bCs/>
        </w:rPr>
        <w:t xml:space="preserve">Exemplary Sub-Prompts:</w:t>
      </w:r>
    </w:p>
    <w:p>
      <w:pPr>
        <w:pStyle w:val="ListParagraph"/>
        <w:numPr>
          <w:ilvl w:val="0"/>
          <w:numId w:val="2"/>
        </w:numPr>
        <w:spacing w:after="200" w:line="360"/>
      </w:pPr>
      <w:r>
        <w:t xml:space="preserve">Simulate pharmacological modulation of primary and secondary ASD targets in computational neuron models, predicting effects on action potential firing rates, synaptic plasticity, and network synchrony.</w:t>
      </w:r>
    </w:p>
    <w:p>
      <w:pPr>
        <w:pStyle w:val="ListParagraph"/>
        <w:numPr>
          <w:ilvl w:val="0"/>
          <w:numId w:val="2"/>
        </w:numPr>
        <w:spacing w:after="200" w:line="360"/>
      </w:pPr>
      <w:r>
        <w:t xml:space="preserve">Query published preclinical ASD models (BTBR, VPA exposure, Fmr1-KO, Pten-haploinsufficiency) for known therapeutic target efficacy benchmarks and behavioral readouts.</w:t>
      </w:r>
    </w:p>
    <w:p>
      <w:pPr>
        <w:pStyle w:val="ListParagraph"/>
        <w:numPr>
          <w:ilvl w:val="0"/>
          <w:numId w:val="2"/>
        </w:numPr>
        <w:spacing w:after="200" w:line="360"/>
      </w:pPr>
      <w:r>
        <w:t xml:space="preserve">Cross-validate predicted target modulation effects against patient-derived iPSC-neuron phenotypes, confirming pathway engagement and functional rescue.</w:t>
      </w:r>
    </w:p>
    <w:p>
      <w:pPr>
        <w:pStyle w:val="ListParagraph"/>
        <w:numPr>
          <w:ilvl w:val="0"/>
          <w:numId w:val="2"/>
        </w:numPr>
        <w:spacing w:after="200" w:line="360"/>
      </w:pPr>
      <w:r>
        <w:t xml:space="preserve">Map predicted compound-induced changes in neuronal excitability, synaptic strength, and neuroimmune signaling to ASD cluster-specific pathophysiology.</w:t>
      </w:r>
    </w:p>
    <w:p>
      <w:pPr>
        <w:pStyle w:val="ListParagraph"/>
        <w:numPr>
          <w:ilvl w:val="0"/>
          <w:numId w:val="2"/>
        </w:numPr>
        <w:spacing w:after="200" w:line="360"/>
      </w:pPr>
      <w:r>
        <w:t xml:space="preserve">Identify translatable biomarkers (CSF levels, EEG signatures, blood transcriptomics) suitable for clinical assessment of target engagement and dose optimization.</w:t>
      </w:r>
    </w:p>
    <w:p>
      <w:pPr>
        <w:spacing w:after="200" w:line="360"/>
      </w:pPr>
      <w:r>
        <w:rPr>
          <w:b/>
          <w:bCs/>
        </w:rPr>
        <w:t xml:space="preserve">Expected Outputs:</w:t>
      </w:r>
    </w:p>
    <w:p>
      <w:pPr>
        <w:pStyle w:val="ListParagraph"/>
        <w:numPr>
          <w:ilvl w:val="0"/>
          <w:numId w:val="2"/>
        </w:numPr>
        <w:spacing w:after="200" w:line="360"/>
      </w:pPr>
      <w:r>
        <w:t xml:space="preserve">Mechanism-of-action summaries documenting predicted cellular responses to dual-target modulation and pathway-level consequences.</w:t>
      </w:r>
    </w:p>
    <w:p>
      <w:pPr>
        <w:pStyle w:val="ListParagraph"/>
        <w:numPr>
          <w:ilvl w:val="0"/>
          <w:numId w:val="2"/>
        </w:numPr>
        <w:spacing w:after="200" w:line="360"/>
      </w:pPr>
      <w:r>
        <w:t xml:space="preserve">Comparative analyses with published preclinical ASD models showing predicted efficacy versus known therapeutic reference compounds.</w:t>
      </w:r>
    </w:p>
    <w:p>
      <w:pPr>
        <w:pStyle w:val="ListParagraph"/>
        <w:numPr>
          <w:ilvl w:val="0"/>
          <w:numId w:val="2"/>
        </w:numPr>
        <w:spacing w:after="200" w:line="360"/>
      </w:pPr>
      <w:r>
        <w:t xml:space="preserve">iPSC phenotype predictions including electrophysiology changes, synaptic transmission modifications, and neuroimmune marker alterations.</w:t>
      </w:r>
    </w:p>
    <w:p>
      <w:pPr>
        <w:pStyle w:val="ListParagraph"/>
        <w:numPr>
          <w:ilvl w:val="0"/>
          <w:numId w:val="2"/>
        </w:numPr>
        <w:spacing w:after="200" w:line="360"/>
      </w:pPr>
      <w:r>
        <w:t xml:space="preserve">Circuit-level modeling outputs showing effects on neural synchrony, oscillation dynamics, and E/I balance across ASD-implicated brain regions.</w:t>
      </w:r>
    </w:p>
    <w:p>
      <w:pPr>
        <w:pStyle w:val="ListParagraph"/>
        <w:numPr>
          <w:ilvl w:val="0"/>
          <w:numId w:val="2"/>
        </w:numPr>
        <w:spacing w:after="200" w:line="360"/>
      </w:pPr>
      <w:r>
        <w:t xml:space="preserve">Recommended biomarkers for preclinical and clinical assessment including target engagement assays, functional readouts, and translatable circuit-level measurements.</w:t>
      </w:r>
    </w:p>
    <w:p>
      <w:pPr>
        <w:pStyle w:val="ListParagraph"/>
        <w:numPr>
          <w:ilvl w:val="0"/>
          <w:numId w:val="2"/>
        </w:numPr>
        <w:spacing w:after="200" w:line="360"/>
      </w:pPr>
      <w:r>
        <w:t xml:space="preserve">Go/no-go recommendations for progression to in vivo disease models based on predicted mechanistic alignment with ASD pathophysiology.</w:t>
      </w:r>
    </w:p>
    <w:p>
      <w:pPr>
        <w:spacing w:after="200" w:line="360"/>
      </w:pPr>
      <w:r>
        <w:rPr>
          <w:b/>
          <w:bCs/>
        </w:rPr>
        <w:t xml:space="preserve">Format:</w:t>
      </w:r>
      <w:r>
        <w:t xml:space="preserve"> Mechanistic summary reports with circuit diagrams, dose-response curves, and biomarker selection tables in HTML and PDF formats.</w:t>
      </w:r>
    </w:p>
    <w:p>
      <w:pPr>
        <w:pStyle w:val="Heading2"/>
      </w:pPr>
      <w:r>
        <w:t xml:space="preserve">Stage 6: Preclinical Efficacy Study Design and Lead Compound Prioritization</w:t>
      </w:r>
    </w:p>
    <w:p>
      <w:pPr>
        <w:spacing w:after="200" w:line="360"/>
      </w:pPr>
      <w:r>
        <w:rPr>
          <w:b/>
          <w:bCs/>
        </w:rPr>
        <w:t xml:space="preserve">Purpose:</w:t>
      </w:r>
      <w:r>
        <w:t xml:space="preserve"> Synthesize all predictive outputs into comprehensive preclinical efficacy study protocols and prioritized compound rankings suitable for in vivo disease model validation, defining optimal doses, dosing regimens, readouts, and success criteria.</w:t>
      </w:r>
    </w:p>
    <w:p>
      <w:pPr>
        <w:spacing w:after="200" w:line="360"/>
      </w:pPr>
      <w:r>
        <w:rPr>
          <w:b/>
          <w:bCs/>
        </w:rPr>
        <w:t xml:space="preserve">Inputs:</w:t>
      </w:r>
    </w:p>
    <w:p>
      <w:pPr>
        <w:pStyle w:val="ListParagraph"/>
        <w:numPr>
          <w:ilvl w:val="0"/>
          <w:numId w:val="2"/>
        </w:numPr>
        <w:spacing w:after="200" w:line="360"/>
      </w:pPr>
      <w:r>
        <w:t xml:space="preserve">Complete pharmacological profiles (binding affinity, selectivity, PK, safety) for all dual-target candidates from Stages 1-5</w:t>
      </w:r>
    </w:p>
    <w:p>
      <w:pPr>
        <w:pStyle w:val="ListParagraph"/>
        <w:numPr>
          <w:ilvl w:val="0"/>
          <w:numId w:val="2"/>
        </w:numPr>
        <w:spacing w:after="200" w:line="360"/>
      </w:pPr>
      <w:r>
        <w:t xml:space="preserve">Validated preclinical ASD disease models including transgenic rodents (Fmr1-KO, BTBR, Shank3-KO) with established behavioral and neural circuit phenotypes</w:t>
      </w:r>
    </w:p>
    <w:p>
      <w:pPr>
        <w:pStyle w:val="ListParagraph"/>
        <w:numPr>
          <w:ilvl w:val="0"/>
          <w:numId w:val="2"/>
        </w:numPr>
        <w:spacing w:after="200" w:line="360"/>
      </w:pPr>
      <w:r>
        <w:t xml:space="preserve">Published efficacy and dose-response data for reference compounds and marketed ASD-relevant therapeutics in target disease models</w:t>
      </w:r>
    </w:p>
    <w:p>
      <w:pPr>
        <w:pStyle w:val="ListParagraph"/>
        <w:numPr>
          <w:ilvl w:val="0"/>
          <w:numId w:val="2"/>
        </w:numPr>
        <w:spacing w:after="200" w:line="360"/>
      </w:pPr>
      <w:r>
        <w:t xml:space="preserve">Integrated dataset encompassing target engagement assays, functional biomarkers, behavioral readouts, and circuit-level measurements suitable for efficacy assessment</w:t>
      </w:r>
    </w:p>
    <w:p>
      <w:pPr>
        <w:pStyle w:val="ListParagraph"/>
        <w:numPr>
          <w:ilvl w:val="0"/>
          <w:numId w:val="2"/>
        </w:numPr>
        <w:spacing w:after="200" w:line="360"/>
      </w:pPr>
      <w:r>
        <w:t xml:space="preserve">Regulatory guidance documents and industry best practices for CNS drug efficacy testing, including study design, statistical power calculations, and biomarker qualification strategies</w:t>
      </w:r>
    </w:p>
    <w:p>
      <w:pPr>
        <w:spacing w:after="200" w:line="360"/>
      </w:pPr>
      <w:r>
        <w:rPr>
          <w:b/>
          <w:bCs/>
        </w:rPr>
        <w:t xml:space="preserve">Tools &amp; Databases Called:</w:t>
      </w:r>
    </w:p>
    <w:p>
      <w:pPr>
        <w:pStyle w:val="ListParagraph"/>
        <w:numPr>
          <w:ilvl w:val="0"/>
          <w:numId w:val="2"/>
        </w:numPr>
        <w:spacing w:after="200" w:line="360"/>
      </w:pPr>
      <w:r>
        <w:rPr>
          <w:b/>
          <w:bCs/>
        </w:rPr>
        <w:t xml:space="preserve">Sapphire Efficacy Study Designer:</w:t>
      </w:r>
      <w:r>
        <w:t xml:space="preserve"> Generates optimized in vivo study protocols including dose selection, dosing schedules, behavioral battery recommendations, and circuit-level readout specifications.</w:t>
      </w:r>
    </w:p>
    <w:p>
      <w:pPr>
        <w:pStyle w:val="ListParagraph"/>
        <w:numPr>
          <w:ilvl w:val="0"/>
          <w:numId w:val="2"/>
        </w:numPr>
        <w:spacing w:after="200" w:line="360"/>
      </w:pPr>
      <w:r>
        <w:rPr>
          <w:b/>
          <w:bCs/>
        </w:rPr>
        <w:t xml:space="preserve">Sapphire Dose Optimization Engine:</w:t>
      </w:r>
      <w:r>
        <w:t xml:space="preserve"> Integrates predicted pharmacokinetics, target binding kinetics, and cellular response models to forecast efficacious doses and optimal dosing intervals.</w:t>
      </w:r>
    </w:p>
    <w:p>
      <w:pPr>
        <w:pStyle w:val="ListParagraph"/>
        <w:numPr>
          <w:ilvl w:val="0"/>
          <w:numId w:val="2"/>
        </w:numPr>
        <w:spacing w:after="200" w:line="360"/>
      </w:pPr>
      <w:r>
        <w:rPr>
          <w:b/>
          <w:bCs/>
        </w:rPr>
        <w:t xml:space="preserve">Sapphire Compound Ranking System:</w:t>
      </w:r>
      <w:r>
        <w:t xml:space="preserve"> Applies multi-criteria decision analysis (potency, selectivity, PK favorability, safety profile, mechanism alignment) to prioritize top candidates.</w:t>
      </w:r>
    </w:p>
    <w:p>
      <w:pPr>
        <w:pStyle w:val="ListParagraph"/>
        <w:numPr>
          <w:ilvl w:val="0"/>
          <w:numId w:val="2"/>
        </w:numPr>
        <w:spacing w:after="200" w:line="360"/>
      </w:pPr>
      <w:r>
        <w:rPr>
          <w:b/>
          <w:bCs/>
        </w:rPr>
        <w:t xml:space="preserve">Jackson Laboratory Disease Model Repository:</w:t>
      </w:r>
      <w:r>
        <w:t xml:space="preserve"> Provides detailed phenotypic characterization and published efficacy benchmarks for established ASD transgenic mouse models.</w:t>
      </w:r>
    </w:p>
    <w:p>
      <w:pPr>
        <w:pStyle w:val="ListParagraph"/>
        <w:numPr>
          <w:ilvl w:val="0"/>
          <w:numId w:val="2"/>
        </w:numPr>
        <w:spacing w:after="200" w:line="360"/>
      </w:pPr>
      <w:r>
        <w:rPr>
          <w:b/>
          <w:bCs/>
        </w:rPr>
        <w:t xml:space="preserve">FDA Guidance Documents (CDER, CBER):</w:t>
      </w:r>
      <w:r>
        <w:t xml:space="preserve"> Informs study design, statistical analyses, and biomarker qualification strategies aligned with regulatory expectations for IND-enabling studies.</w:t>
      </w:r>
    </w:p>
    <w:p>
      <w:pPr>
        <w:pStyle w:val="ListParagraph"/>
        <w:numPr>
          <w:ilvl w:val="0"/>
          <w:numId w:val="2"/>
        </w:numPr>
        <w:spacing w:after="200" w:line="360"/>
      </w:pPr>
      <w:r>
        <w:rPr>
          <w:b/>
          <w:bCs/>
        </w:rPr>
        <w:t xml:space="preserve">Literature Meta-Analysis Tools:</w:t>
      </w:r>
      <w:r>
        <w:t xml:space="preserve"> Aggregates published efficacy data across preclinical ASD models to establish consensus effect size benchmarks and outcome measure priorities.</w:t>
      </w:r>
    </w:p>
    <w:p>
      <w:pPr>
        <w:spacing w:after="200" w:line="360"/>
      </w:pPr>
      <w:r>
        <w:rPr>
          <w:b/>
          <w:bCs/>
        </w:rPr>
        <w:t xml:space="preserve">Exemplary Sub-Prompts:</w:t>
      </w:r>
    </w:p>
    <w:p>
      <w:pPr>
        <w:pStyle w:val="ListParagraph"/>
        <w:numPr>
          <w:ilvl w:val="0"/>
          <w:numId w:val="2"/>
        </w:numPr>
        <w:spacing w:after="200" w:line="360"/>
      </w:pPr>
      <w:r>
        <w:t xml:space="preserve">Rank top 10 dual-target compounds using multi-criteria scoring combining predicted potency, selectivity, PK parameters, safety margins, and mechanistic alignment with target ASD cluster.</w:t>
      </w:r>
    </w:p>
    <w:p>
      <w:pPr>
        <w:pStyle w:val="ListParagraph"/>
        <w:numPr>
          <w:ilvl w:val="0"/>
          <w:numId w:val="2"/>
        </w:numPr>
        <w:spacing w:after="200" w:line="360"/>
      </w:pPr>
      <w:r>
        <w:t xml:space="preserve">Recommend optimal disease models for in vivo efficacy testing based on genetic alignment with target ASD cluster and published therapeutic sensitivity.</w:t>
      </w:r>
    </w:p>
    <w:p>
      <w:pPr>
        <w:pStyle w:val="ListParagraph"/>
        <w:numPr>
          <w:ilvl w:val="0"/>
          <w:numId w:val="2"/>
        </w:numPr>
        <w:spacing w:after="200" w:line="360"/>
      </w:pPr>
      <w:r>
        <w:t xml:space="preserve">Design preclinical efficacy protocols including dose escalation schedules, behavioral testing batteries, electrophysiology endpoints, and circuit-level neuroimaging measurements.</w:t>
      </w:r>
    </w:p>
    <w:p>
      <w:pPr>
        <w:pStyle w:val="ListParagraph"/>
        <w:numPr>
          <w:ilvl w:val="0"/>
          <w:numId w:val="2"/>
        </w:numPr>
        <w:spacing w:after="200" w:line="360"/>
      </w:pPr>
      <w:r>
        <w:t xml:space="preserve">Calculate projected sample sizes and statistical power requirements for detecting meaningful therapeutic effects based on published effect sizes in selected disease models.</w:t>
      </w:r>
    </w:p>
    <w:p>
      <w:pPr>
        <w:pStyle w:val="ListParagraph"/>
        <w:numPr>
          <w:ilvl w:val="0"/>
          <w:numId w:val="2"/>
        </w:numPr>
        <w:spacing w:after="200" w:line="360"/>
      </w:pPr>
      <w:r>
        <w:t xml:space="preserve">Identify translatable biomarkers and pharmacodynamic readouts suitable for subsequent IND-enabling studies and early clinical development.</w:t>
      </w:r>
    </w:p>
    <w:p>
      <w:pPr>
        <w:spacing w:after="200" w:line="360"/>
      </w:pPr>
      <w:r>
        <w:rPr>
          <w:b/>
          <w:bCs/>
        </w:rPr>
        <w:t xml:space="preserve">Expected Outputs:</w:t>
      </w:r>
    </w:p>
    <w:p>
      <w:pPr>
        <w:pStyle w:val="ListParagraph"/>
        <w:numPr>
          <w:ilvl w:val="0"/>
          <w:numId w:val="2"/>
        </w:numPr>
        <w:spacing w:after="200" w:line="360"/>
      </w:pPr>
      <w:r>
        <w:t xml:space="preserve">Prioritized lead compound list ranked by predicted efficacy potential, developability, and risk profile with detailed justifications for selection.</w:t>
      </w:r>
    </w:p>
    <w:p>
      <w:pPr>
        <w:pStyle w:val="ListParagraph"/>
        <w:numPr>
          <w:ilvl w:val="0"/>
          <w:numId w:val="2"/>
        </w:numPr>
        <w:spacing w:after="200" w:line="360"/>
      </w:pPr>
      <w:r>
        <w:t xml:space="preserve">Comprehensive in vivo efficacy study protocols specifying disease model selection, compound dosing, behavioral batteries, and endpoint definitions.</w:t>
      </w:r>
    </w:p>
    <w:p>
      <w:pPr>
        <w:pStyle w:val="ListParagraph"/>
        <w:numPr>
          <w:ilvl w:val="0"/>
          <w:numId w:val="2"/>
        </w:numPr>
        <w:spacing w:after="200" w:line="360"/>
      </w:pPr>
      <w:r>
        <w:t xml:space="preserve">Dose-ranging study recommendations with predicted efficacious dose ranges, dosing intervals, and anticipated time-to-steady-state exposures.</w:t>
      </w:r>
    </w:p>
    <w:p>
      <w:pPr>
        <w:pStyle w:val="ListParagraph"/>
        <w:numPr>
          <w:ilvl w:val="0"/>
          <w:numId w:val="2"/>
        </w:numPr>
        <w:spacing w:after="200" w:line="360"/>
      </w:pPr>
      <w:r>
        <w:t xml:space="preserve">Integrated biomarker assessment packages including target engagement markers, functional readouts, and behavioral/circuit-level endpoints.</w:t>
      </w:r>
    </w:p>
    <w:p>
      <w:pPr>
        <w:pStyle w:val="ListParagraph"/>
        <w:numPr>
          <w:ilvl w:val="0"/>
          <w:numId w:val="2"/>
        </w:numPr>
        <w:spacing w:after="200" w:line="360"/>
      </w:pPr>
      <w:r>
        <w:t xml:space="preserve">Statistical analysis plans with power calculations, primary efficacy hypotheses, and secondary endpoint hierarchies.</w:t>
      </w:r>
    </w:p>
    <w:p>
      <w:pPr>
        <w:pStyle w:val="ListParagraph"/>
        <w:numPr>
          <w:ilvl w:val="0"/>
          <w:numId w:val="2"/>
        </w:numPr>
        <w:spacing w:after="200" w:line="360"/>
      </w:pPr>
      <w:r>
        <w:t xml:space="preserve">Go/no-go criteria and decision trees for advancement to IND-enabling toxicology and pharmacology studies.</w:t>
      </w:r>
    </w:p>
    <w:p>
      <w:pPr>
        <w:spacing w:after="200" w:line="360"/>
      </w:pPr>
      <w:r>
        <w:rPr>
          <w:b/>
          <w:bCs/>
        </w:rPr>
        <w:t xml:space="preserve">Format:</w:t>
      </w:r>
      <w:r>
        <w:t xml:space="preserve"> Structured study protocols in PDF format, ranked candidate briefings, and interactive dose-response dashboards for preclinical study planning.</w:t>
      </w:r>
    </w:p>
    <w:p>
      <w:pPr>
        <w:pStyle w:val="Heading2"/>
      </w:pPr>
      <w:r>
        <w:t xml:space="preserve">Tools &amp; Databases Summary</w:t>
      </w:r>
    </w:p>
    <w:p>
      <w:pPr>
        <w:pStyle w:val="ListParagraph"/>
        <w:numPr>
          <w:ilvl w:val="0"/>
          <w:numId w:val="2"/>
        </w:numPr>
        <w:spacing w:after="200" w:line="360"/>
      </w:pPr>
      <w:r>
        <w:t xml:space="preserve">Sapphire Genomics Module — Unsupervised clustering and stratification of patient cohorts into discrete ASD molecular subtypes based on integrated genomic and transcriptomic profiles.</w:t>
      </w:r>
    </w:p>
    <w:p>
      <w:pPr>
        <w:pStyle w:val="ListParagraph"/>
        <w:numPr>
          <w:ilvl w:val="0"/>
          <w:numId w:val="2"/>
        </w:numPr>
        <w:spacing w:after="200" w:line="360"/>
      </w:pPr>
      <w:r>
        <w:t xml:space="preserve">SFARI Gene Database — High-confidence ASD risk gene catalog with phenotypic descriptions, recurrence metrics, and functional role annotations.</w:t>
      </w:r>
    </w:p>
    <w:p>
      <w:pPr>
        <w:pStyle w:val="ListParagraph"/>
        <w:numPr>
          <w:ilvl w:val="0"/>
          <w:numId w:val="2"/>
        </w:numPr>
        <w:spacing w:after="200" w:line="360"/>
      </w:pPr>
      <w:r>
        <w:t xml:space="preserve">Reactome Pathway Database — Canonical signaling pathway mapping and molecular interaction network integration for ASD-implicated genes.</w:t>
      </w:r>
    </w:p>
    <w:p>
      <w:pPr>
        <w:pStyle w:val="ListParagraph"/>
        <w:numPr>
          <w:ilvl w:val="0"/>
          <w:numId w:val="2"/>
        </w:numPr>
        <w:spacing w:after="200" w:line="360"/>
      </w:pPr>
      <w:r>
        <w:t xml:space="preserve">BioGRID Interaction Network — Protein-protein interaction discovery and functional association mapping among ASD-implicated gene products.</w:t>
      </w:r>
    </w:p>
    <w:p>
      <w:pPr>
        <w:pStyle w:val="ListParagraph"/>
        <w:numPr>
          <w:ilvl w:val="0"/>
          <w:numId w:val="2"/>
        </w:numPr>
        <w:spacing w:after="200" w:line="360"/>
      </w:pPr>
      <w:r>
        <w:t xml:space="preserve">Sapphire Target Prediction Engine — Network-based druggable hub protein identification and secondary interacting partner discovery within dysregulated modules.</w:t>
      </w:r>
    </w:p>
    <w:p>
      <w:pPr>
        <w:pStyle w:val="ListParagraph"/>
        <w:numPr>
          <w:ilvl w:val="0"/>
          <w:numId w:val="2"/>
        </w:numPr>
        <w:spacing w:after="200" w:line="360"/>
      </w:pPr>
      <w:r>
        <w:t xml:space="preserve">Allen Brain Atlas — Spatial transcriptomic validation across human and model organism CNS regions with single-cell resolution.</w:t>
      </w:r>
    </w:p>
    <w:p>
      <w:pPr>
        <w:pStyle w:val="ListParagraph"/>
        <w:numPr>
          <w:ilvl w:val="0"/>
          <w:numId w:val="2"/>
        </w:numPr>
        <w:spacing w:after="200" w:line="360"/>
      </w:pPr>
      <w:r>
        <w:t xml:space="preserve">Sapphire Molecular Docking Engine — High-throughput virtual screening via Glide/AutoDock-Vina with binding pose prediction and affinity estimation.</w:t>
      </w:r>
    </w:p>
    <w:p>
      <w:pPr>
        <w:pStyle w:val="ListParagraph"/>
        <w:numPr>
          <w:ilvl w:val="0"/>
          <w:numId w:val="2"/>
        </w:numPr>
        <w:spacing w:after="200" w:line="360"/>
      </w:pPr>
      <w:r>
        <w:t xml:space="preserve">Sapphire SAR Prediction Module — Graph neural network-based structure-activity relationship forecasting trained on proprietary Quiver screening datasets.</w:t>
      </w:r>
    </w:p>
    <w:p>
      <w:pPr>
        <w:pStyle w:val="ListParagraph"/>
        <w:numPr>
          <w:ilvl w:val="0"/>
          <w:numId w:val="2"/>
        </w:numPr>
        <w:spacing w:after="200" w:line="360"/>
      </w:pPr>
      <w:r>
        <w:t xml:space="preserve">PubChem Bioassay Database — High-throughput screening results and confirmatory binding data aggregation for target and homologous proteins.</w:t>
      </w:r>
    </w:p>
    <w:p>
      <w:pPr>
        <w:pStyle w:val="ListParagraph"/>
        <w:numPr>
          <w:ilvl w:val="0"/>
          <w:numId w:val="2"/>
        </w:numPr>
        <w:spacing w:after="200" w:line="360"/>
      </w:pPr>
      <w:r>
        <w:t xml:space="preserve">ChEMBL Database — Medicinal chemistry literature mining for ligand potency, selectivity profiles, and structure-activity relationships across compound series.</w:t>
      </w:r>
    </w:p>
    <w:p>
      <w:pPr>
        <w:pStyle w:val="ListParagraph"/>
        <w:numPr>
          <w:ilvl w:val="0"/>
          <w:numId w:val="2"/>
        </w:numPr>
        <w:spacing w:after="200" w:line="360"/>
      </w:pPr>
      <w:r>
        <w:t xml:space="preserve">Sapphire Selectivity Filter Engine — Machine learning-based compound ranking by predicted selectivity against kinase, GPCR, and ion channel off-target panels.</w:t>
      </w:r>
    </w:p>
    <w:p>
      <w:pPr>
        <w:pStyle w:val="ListParagraph"/>
        <w:numPr>
          <w:ilvl w:val="0"/>
          <w:numId w:val="2"/>
        </w:numPr>
        <w:spacing w:after="200" w:line="360"/>
      </w:pPr>
      <w:r>
        <w:t xml:space="preserve">Shogun Kinase Panel (Discoverx) — Benchmark kinase selectivity profiling database enabling identification of dual-target inhibitors with minimal off-target kinase interactions.</w:t>
      </w:r>
    </w:p>
    <w:p>
      <w:pPr>
        <w:pStyle w:val="ListParagraph"/>
        <w:numPr>
          <w:ilvl w:val="0"/>
          <w:numId w:val="2"/>
        </w:numPr>
        <w:spacing w:after="200" w:line="360"/>
      </w:pPr>
      <w:r>
        <w:t xml:space="preserve">Sapphire ADME Prediction Module — Gradient boosting machine learning models trained on Quiver's internal ADME dataset for drug-likeness and absorption property forecasting.</w:t>
      </w:r>
    </w:p>
    <w:p>
      <w:pPr>
        <w:pStyle w:val="ListParagraph"/>
        <w:numPr>
          <w:ilvl w:val="0"/>
          <w:numId w:val="2"/>
        </w:numPr>
        <w:spacing w:after="200" w:line="360"/>
      </w:pPr>
      <w:r>
        <w:t xml:space="preserve">Sapphire BBB Penetration Engine — Graph convolution neural networks predicting blood-brain barrier permeability via transporter interaction and passive diffusion modeling.</w:t>
      </w:r>
    </w:p>
    <w:p>
      <w:pPr>
        <w:pStyle w:val="ListParagraph"/>
        <w:numPr>
          <w:ilvl w:val="0"/>
          <w:numId w:val="2"/>
        </w:numPr>
        <w:spacing w:after="200" w:line="360"/>
      </w:pPr>
      <w:r>
        <w:t xml:space="preserve">Sapphire Metabolism Predictor — CYP450 enzymatic soft spot identification and human metabolite prediction for phase-I and phase-II transformation routes.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2026-03-01T19:32:46.412Z</dcterms:created>
  <dcterms:modified xsi:type="dcterms:W3CDTF">2026-03-01T19:32:46.413Z</dcterms:modified>
</cp:coreProperties>
</file>

<file path=docProps/custom.xml><?xml version="1.0" encoding="utf-8"?>
<Properties xmlns="http://schemas.openxmlformats.org/officeDocument/2006/custom-properties" xmlns:vt="http://schemas.openxmlformats.org/officeDocument/2006/docPropsVTypes"/>
</file>