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rPr>
          <w:b/>
          <w:bCs/>
        </w:rPr>
        <w:t xml:space="preserve">Prompt:</w:t>
      </w:r>
    </w:p>
    <w:p>
      <w:pPr>
        <w:spacing w:after="200" w:line="360"/>
      </w:pPr>
      <w:r>
        <w:t xml:space="preserve">"Identify combinations that normalize E/I ratio without affecting total spike output."</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This pipeline employs computational neuroscience and systems pharmacology approaches to identify drug combinations capable of normalizing excitatory-inhibitory (E/I) balance dysregulation without reducing overall neural network activity. The workflow integrates biophysically-detailed neural circuit simulations, multi-target modulation modeling, and constraint-based optimization to discover synergistic pairs that selectively restore healthy E/I ratios while maintaining network responsiveness. Sapphire's machine learning-enhanced screening systematically evaluates thousands of potential combinations across diverse circuit architectures and neuronal cell types.</w:t>
      </w:r>
    </w:p>
    <w:p>
      <w:pPr>
        <w:spacing w:after="200" w:line="360"/>
      </w:pPr>
      <w:r>
        <w:t xml:space="preserve">The pipeline systematically addresses a critical challenge in CNS therapeutics: achieving selective circuit rebalancing without global network suppression. By analyzing quantitative relationships between target modulation, synaptic transmission parameters, and emergent circuit dynamics, the workflow identifies rare combinations exhibiting high selectivity for E/I normalization. Integration of patient-derived electrophysiology data, optical imaging platforms, and computational phenotyping ensures that predicted combinations translate to measurable circuit-level rescue in preclinical models. Output portfolios include ranked combination candidates with mechanistic rationales, predicted dose-response surface maps, and success metrics for rapid experimental validation.</w:t>
      </w:r>
    </w:p>
    <w:p>
      <w:pPr>
        <w:pStyle w:val="Heading2"/>
      </w:pPr>
      <w:r>
        <w:t xml:space="preserve">Stage 1: E/I Imbalance Characterization and Circuit Phenotyping</w:t>
      </w:r>
    </w:p>
    <w:p>
      <w:pPr>
        <w:spacing w:after="200" w:line="360"/>
      </w:pPr>
      <w:r>
        <w:rPr>
          <w:b/>
          <w:bCs/>
        </w:rPr>
        <w:t xml:space="preserve">Purpose:</w:t>
      </w:r>
      <w:r>
        <w:t xml:space="preserve"> Define circuit-specific E/I dysregulation phenotypes, quantify baseline excitatory and inhibitory synaptic strength ratios, and establish circuit-level metrics (network synchrony, burst frequency, spike entropy) suitable as optimization targets for combination screening.</w:t>
      </w:r>
    </w:p>
    <w:p>
      <w:pPr>
        <w:spacing w:after="200" w:line="360"/>
      </w:pPr>
      <w:r>
        <w:rPr>
          <w:b/>
          <w:bCs/>
        </w:rPr>
        <w:t xml:space="preserve">Inputs:</w:t>
      </w:r>
    </w:p>
    <w:p>
      <w:pPr>
        <w:pStyle w:val="ListParagraph"/>
        <w:numPr>
          <w:ilvl w:val="0"/>
          <w:numId w:val="2"/>
        </w:numPr>
        <w:spacing w:after="200" w:line="360"/>
      </w:pPr>
      <w:r>
        <w:t xml:space="preserve">Multi-electrode array (MEA) recordings from healthy and disease-state neural networks (hiPSC-derived neurons, acute brain slices, organoids)</w:t>
      </w:r>
    </w:p>
    <w:p>
      <w:pPr>
        <w:pStyle w:val="ListParagraph"/>
        <w:numPr>
          <w:ilvl w:val="0"/>
          <w:numId w:val="2"/>
        </w:numPr>
        <w:spacing w:after="200" w:line="360"/>
      </w:pPr>
      <w:r>
        <w:t xml:space="preserve">Two-photon calcium imaging datasets capturing neuronal population firing patterns and synaptic transmission dynamics in vivo and in vitro</w:t>
      </w:r>
    </w:p>
    <w:p>
      <w:pPr>
        <w:pStyle w:val="ListParagraph"/>
        <w:numPr>
          <w:ilvl w:val="0"/>
          <w:numId w:val="2"/>
        </w:numPr>
        <w:spacing w:after="200" w:line="360"/>
      </w:pPr>
      <w:r>
        <w:t xml:space="preserve">Immunohistochemistry and single-cell RNA-seq defining local circuit composition (pyramidal neuron to inhibitory neuron ratios, interneuron subtype distributions)</w:t>
      </w:r>
    </w:p>
    <w:p>
      <w:pPr>
        <w:pStyle w:val="ListParagraph"/>
        <w:numPr>
          <w:ilvl w:val="0"/>
          <w:numId w:val="2"/>
        </w:numPr>
        <w:spacing w:after="200" w:line="360"/>
      </w:pPr>
      <w:r>
        <w:t xml:space="preserve">Whole-cell patch-clamp electrophysiology documenting AMPA/NMDA ratio, GABA-A receptor kinetics, and synaptic strength distributions</w:t>
      </w:r>
    </w:p>
    <w:p>
      <w:pPr>
        <w:pStyle w:val="ListParagraph"/>
        <w:numPr>
          <w:ilvl w:val="0"/>
          <w:numId w:val="2"/>
        </w:numPr>
        <w:spacing w:after="200" w:line="360"/>
      </w:pPr>
      <w:r>
        <w:t xml:space="preserve">Computational models of neural circuits (Hodgkin-Huxley neuron models, conductance-based synapse models) parameterized from published and internal experimental data</w:t>
      </w:r>
    </w:p>
    <w:p>
      <w:pPr>
        <w:spacing w:after="200" w:line="360"/>
      </w:pPr>
      <w:r>
        <w:rPr>
          <w:b/>
          <w:bCs/>
        </w:rPr>
        <w:t xml:space="preserve">Tools &amp; Databases Called:</w:t>
      </w:r>
    </w:p>
    <w:p>
      <w:pPr>
        <w:pStyle w:val="ListParagraph"/>
        <w:numPr>
          <w:ilvl w:val="0"/>
          <w:numId w:val="2"/>
        </w:numPr>
        <w:spacing w:after="200" w:line="360"/>
      </w:pPr>
      <w:r>
        <w:rPr>
          <w:b/>
          <w:bCs/>
        </w:rPr>
        <w:t xml:space="preserve">Sapphire Circuit Phenotyper:</w:t>
      </w:r>
      <w:r>
        <w:t xml:space="preserve"> Automated analysis of multi-electrode array and calcium imaging data to extract E/I balance metrics, burst statistics, network synchrony, and spike timing precision.</w:t>
      </w:r>
    </w:p>
    <w:p>
      <w:pPr>
        <w:pStyle w:val="ListParagraph"/>
        <w:numPr>
          <w:ilvl w:val="0"/>
          <w:numId w:val="2"/>
        </w:numPr>
        <w:spacing w:after="200" w:line="360"/>
      </w:pPr>
      <w:r>
        <w:rPr>
          <w:b/>
          <w:bCs/>
        </w:rPr>
        <w:t xml:space="preserve">Sapphire Synaptic Characterization Engine:</w:t>
      </w:r>
      <w:r>
        <w:t xml:space="preserve"> Quantifies AMPA/NMDA ratios, GABA-A/B receptor balance, and paired-pulse plasticity from whole-cell recordings, generating synaptic strength profiles.</w:t>
      </w:r>
    </w:p>
    <w:p>
      <w:pPr>
        <w:pStyle w:val="ListParagraph"/>
        <w:numPr>
          <w:ilvl w:val="0"/>
          <w:numId w:val="2"/>
        </w:numPr>
        <w:spacing w:after="200" w:line="360"/>
      </w:pPr>
      <w:r>
        <w:rPr>
          <w:b/>
          <w:bCs/>
        </w:rPr>
        <w:t xml:space="preserve">NEURON/Brian2 Simulation Platforms:</w:t>
      </w:r>
      <w:r>
        <w:t xml:space="preserve"> Biophysically-detailed neural circuit models enabling simulation of synaptic transmission and emergent population firing patterns.</w:t>
      </w:r>
    </w:p>
    <w:p>
      <w:pPr>
        <w:pStyle w:val="ListParagraph"/>
        <w:numPr>
          <w:ilvl w:val="0"/>
          <w:numId w:val="2"/>
        </w:numPr>
        <w:spacing w:after="200" w:line="360"/>
      </w:pPr>
      <w:r>
        <w:rPr>
          <w:b/>
          <w:bCs/>
        </w:rPr>
        <w:t xml:space="preserve">Allen Brain Observatory:</w:t>
      </w:r>
      <w:r>
        <w:t xml:space="preserve"> Supplies electrophysiology recordings and circuit connectivity maps from primary sensory cortices with diverse firing patterns and E/I characteristics.</w:t>
      </w:r>
    </w:p>
    <w:p>
      <w:pPr>
        <w:pStyle w:val="ListParagraph"/>
        <w:numPr>
          <w:ilvl w:val="0"/>
          <w:numId w:val="2"/>
        </w:numPr>
        <w:spacing w:after="200" w:line="360"/>
      </w:pPr>
      <w:r>
        <w:rPr>
          <w:b/>
          <w:bCs/>
        </w:rPr>
        <w:t xml:space="preserve">Spike2 &amp; CED Analysis Tools:</w:t>
      </w:r>
      <w:r>
        <w:t xml:space="preserve"> Automated electrophysiology data processing for synaptic event detection, kinetic parameter extraction, and statistical characterization.</w:t>
      </w:r>
    </w:p>
    <w:p>
      <w:pPr>
        <w:pStyle w:val="ListParagraph"/>
        <w:numPr>
          <w:ilvl w:val="0"/>
          <w:numId w:val="2"/>
        </w:numPr>
        <w:spacing w:after="200" w:line="360"/>
      </w:pPr>
      <w:r>
        <w:rPr>
          <w:b/>
          <w:bCs/>
        </w:rPr>
        <w:t xml:space="preserve">GEO Omnibus Transcriptomics Database:</w:t>
      </w:r>
      <w:r>
        <w:t xml:space="preserve"> Retrieves single-cell RNA-seq data defining interneuron subtype composition and synaptic gene expression signatures.</w:t>
      </w:r>
    </w:p>
    <w:p>
      <w:pPr>
        <w:spacing w:after="200" w:line="360"/>
      </w:pPr>
      <w:r>
        <w:rPr>
          <w:b/>
          <w:bCs/>
        </w:rPr>
        <w:t xml:space="preserve">Exemplary Sub-Prompts:</w:t>
      </w:r>
    </w:p>
    <w:p>
      <w:pPr>
        <w:pStyle w:val="ListParagraph"/>
        <w:numPr>
          <w:ilvl w:val="0"/>
          <w:numId w:val="2"/>
        </w:numPr>
        <w:spacing w:after="200" w:line="360"/>
      </w:pPr>
      <w:r>
        <w:t xml:space="preserve">Quantify E/I balance ratio from multi-electrode array recordings of ASD patient-derived hiPSC neurons versus healthy controls, identifying dysregulated circuit parameters.</w:t>
      </w:r>
    </w:p>
    <w:p>
      <w:pPr>
        <w:pStyle w:val="ListParagraph"/>
        <w:numPr>
          <w:ilvl w:val="0"/>
          <w:numId w:val="2"/>
        </w:numPr>
        <w:spacing w:after="200" w:line="360"/>
      </w:pPr>
      <w:r>
        <w:t xml:space="preserve">Extract AMPA/NMDA ratios and GABA-A receptor kinetics from patch-clamp recordings, defining synaptic strength baselines for each condition.</w:t>
      </w:r>
    </w:p>
    <w:p>
      <w:pPr>
        <w:pStyle w:val="ListParagraph"/>
        <w:numPr>
          <w:ilvl w:val="0"/>
          <w:numId w:val="2"/>
        </w:numPr>
        <w:spacing w:after="200" w:line="360"/>
      </w:pPr>
      <w:r>
        <w:t xml:space="preserve">Classify excitatory and inhibitory interneuron subtypes using single-cell transcriptomics, determining local circuit connectivity configurations.</w:t>
      </w:r>
    </w:p>
    <w:p>
      <w:pPr>
        <w:pStyle w:val="ListParagraph"/>
        <w:numPr>
          <w:ilvl w:val="0"/>
          <w:numId w:val="2"/>
        </w:numPr>
        <w:spacing w:after="200" w:line="360"/>
      </w:pPr>
      <w:r>
        <w:t xml:space="preserve">Parameterize biophysical neural circuit models with experimental synaptic strengths, reproducing observed E/I dysregulation in silico.</w:t>
      </w:r>
    </w:p>
    <w:p>
      <w:pPr>
        <w:pStyle w:val="ListParagraph"/>
        <w:numPr>
          <w:ilvl w:val="0"/>
          <w:numId w:val="2"/>
        </w:numPr>
        <w:spacing w:after="200" w:line="360"/>
      </w:pPr>
      <w:r>
        <w:t xml:space="preserve">Benchmark network-level metrics (synchrony, burst frequency, spike entropy) distinguishing healthy from disease-state circuits.</w:t>
      </w:r>
    </w:p>
    <w:p>
      <w:pPr>
        <w:spacing w:after="200" w:line="360"/>
      </w:pPr>
      <w:r>
        <w:rPr>
          <w:b/>
          <w:bCs/>
        </w:rPr>
        <w:t xml:space="preserve">Expected Outputs:</w:t>
      </w:r>
    </w:p>
    <w:p>
      <w:pPr>
        <w:pStyle w:val="ListParagraph"/>
        <w:numPr>
          <w:ilvl w:val="0"/>
          <w:numId w:val="2"/>
        </w:numPr>
        <w:spacing w:after="200" w:line="360"/>
      </w:pPr>
      <w:r>
        <w:t xml:space="preserve">Quantitative E/I balance reports documenting excitatory synaptic conductance, inhibitory synaptic conductance, and E/I ratio for baseline and dysregulated circuits.</w:t>
      </w:r>
    </w:p>
    <w:p>
      <w:pPr>
        <w:pStyle w:val="ListParagraph"/>
        <w:numPr>
          <w:ilvl w:val="0"/>
          <w:numId w:val="2"/>
        </w:numPr>
        <w:spacing w:after="200" w:line="360"/>
      </w:pPr>
      <w:r>
        <w:t xml:space="preserve">Synaptic strength profiles including AMPA/NMDA ratios, GABA-A/B kinetics, paired-pulse ratios, and frequency-dependent plasticity characteristics.</w:t>
      </w:r>
    </w:p>
    <w:p>
      <w:pPr>
        <w:pStyle w:val="ListParagraph"/>
        <w:numPr>
          <w:ilvl w:val="0"/>
          <w:numId w:val="2"/>
        </w:numPr>
        <w:spacing w:after="200" w:line="360"/>
      </w:pPr>
      <w:r>
        <w:t xml:space="preserve">Circuit connectivity maps specifying excitatory and inhibitory neuron populations, synapse types, and strength distributions.</w:t>
      </w:r>
    </w:p>
    <w:p>
      <w:pPr>
        <w:pStyle w:val="ListParagraph"/>
        <w:numPr>
          <w:ilvl w:val="0"/>
          <w:numId w:val="2"/>
        </w:numPr>
        <w:spacing w:after="200" w:line="360"/>
      </w:pPr>
      <w:r>
        <w:t xml:space="preserve">Network-level phenotype definitions including baseline burst frequency, synchrony index, network oscillation frequency ranges, and spike timing precision.</w:t>
      </w:r>
    </w:p>
    <w:p>
      <w:pPr>
        <w:pStyle w:val="ListParagraph"/>
        <w:numPr>
          <w:ilvl w:val="0"/>
          <w:numId w:val="2"/>
        </w:numPr>
        <w:spacing w:after="200" w:line="360"/>
      </w:pPr>
      <w:r>
        <w:t xml:space="preserve">Validated computational circuit models reproducing observed E/I dysregulation and responsive to pharmacological interventions.</w:t>
      </w:r>
    </w:p>
    <w:p>
      <w:pPr>
        <w:pStyle w:val="ListParagraph"/>
        <w:numPr>
          <w:ilvl w:val="0"/>
          <w:numId w:val="2"/>
        </w:numPr>
        <w:spacing w:after="200" w:line="360"/>
      </w:pPr>
      <w:r>
        <w:t xml:space="preserve">Target engagement profiles identifying synaptic mechanisms and circuit nodes amenable to pharmacological normalization without global suppression.</w:t>
      </w:r>
    </w:p>
    <w:p>
      <w:pPr>
        <w:spacing w:after="200" w:line="360"/>
      </w:pPr>
      <w:r>
        <w:rPr>
          <w:b/>
          <w:bCs/>
        </w:rPr>
        <w:t xml:space="preserve">Format:</w:t>
      </w:r>
      <w:r>
        <w:t xml:space="preserve"> Data tables with quantified E/I metrics, electrophysiology summary reports, circuit diagrams, and NEURON model files in HocFormat.</w:t>
      </w:r>
    </w:p>
    <w:p>
      <w:pPr>
        <w:pStyle w:val="Heading2"/>
      </w:pPr>
      <w:r>
        <w:t xml:space="preserve">Stage 2: Target-Modulation Response Mapping and Single-Agent Effects</w:t>
      </w:r>
    </w:p>
    <w:p>
      <w:pPr>
        <w:spacing w:after="200" w:line="360"/>
      </w:pPr>
      <w:r>
        <w:rPr>
          <w:b/>
          <w:bCs/>
        </w:rPr>
        <w:t xml:space="preserve">Purpose:</w:t>
      </w:r>
      <w:r>
        <w:t xml:space="preserve"> Systematically simulate the effects of modulating individual targets on E/I balance metrics and total network spike output, building dose-response relationships and identifying targets with selective E/I modulation properties.</w:t>
      </w:r>
    </w:p>
    <w:p>
      <w:pPr>
        <w:spacing w:after="200" w:line="360"/>
      </w:pPr>
      <w:r>
        <w:rPr>
          <w:b/>
          <w:bCs/>
        </w:rPr>
        <w:t xml:space="preserve">Inputs:</w:t>
      </w:r>
    </w:p>
    <w:p>
      <w:pPr>
        <w:pStyle w:val="ListParagraph"/>
        <w:numPr>
          <w:ilvl w:val="0"/>
          <w:numId w:val="2"/>
        </w:numPr>
        <w:spacing w:after="200" w:line="360"/>
      </w:pPr>
      <w:r>
        <w:t xml:space="preserve">Validated biophysical circuit models from Stage 1 parameterized with E/I dysregulation phenotypes</w:t>
      </w:r>
    </w:p>
    <w:p>
      <w:pPr>
        <w:pStyle w:val="ListParagraph"/>
        <w:numPr>
          <w:ilvl w:val="0"/>
          <w:numId w:val="2"/>
        </w:numPr>
        <w:spacing w:after="200" w:line="360"/>
      </w:pPr>
      <w:r>
        <w:t xml:space="preserve">Comprehensive target library relevant to E/I balance including glutamate receptors (NMDA, AMPA, mGluR subtypes), GABA-A/B receptors, and modulatory systems (GABA synthesis enzymes, VGAT, VGluT)</w:t>
      </w:r>
    </w:p>
    <w:p>
      <w:pPr>
        <w:pStyle w:val="ListParagraph"/>
        <w:numPr>
          <w:ilvl w:val="0"/>
          <w:numId w:val="2"/>
        </w:numPr>
        <w:spacing w:after="200" w:line="360"/>
      </w:pPr>
      <w:r>
        <w:t xml:space="preserve">Published dose-response relationships for single-agent modulation of synaptic transmission and firing properties derived from whole-cell recordings and computational studies</w:t>
      </w:r>
    </w:p>
    <w:p>
      <w:pPr>
        <w:pStyle w:val="ListParagraph"/>
        <w:numPr>
          <w:ilvl w:val="0"/>
          <w:numId w:val="2"/>
        </w:numPr>
        <w:spacing w:after="200" w:line="360"/>
      </w:pPr>
      <w:r>
        <w:t xml:space="preserve">Pharmacological data on drug binding affinities to synaptic receptors and transporter effects on synaptic neurotransmitter concentrations</w:t>
      </w:r>
    </w:p>
    <w:p>
      <w:pPr>
        <w:pStyle w:val="ListParagraph"/>
        <w:numPr>
          <w:ilvl w:val="0"/>
          <w:numId w:val="2"/>
        </w:numPr>
        <w:spacing w:after="200" w:line="360"/>
      </w:pPr>
      <w:r>
        <w:t xml:space="preserve">Target expression patterns and subcellular localizations (synaptic versus extrasynaptic) informing functional impact on circuit dynamics</w:t>
      </w:r>
    </w:p>
    <w:p>
      <w:pPr>
        <w:spacing w:after="200" w:line="360"/>
      </w:pPr>
      <w:r>
        <w:rPr>
          <w:b/>
          <w:bCs/>
        </w:rPr>
        <w:t xml:space="preserve">Tools &amp; Databases Called:</w:t>
      </w:r>
    </w:p>
    <w:p>
      <w:pPr>
        <w:pStyle w:val="ListParagraph"/>
        <w:numPr>
          <w:ilvl w:val="0"/>
          <w:numId w:val="2"/>
        </w:numPr>
        <w:spacing w:after="200" w:line="360"/>
      </w:pPr>
      <w:r>
        <w:rPr>
          <w:b/>
          <w:bCs/>
        </w:rPr>
        <w:t xml:space="preserve">Sapphire Circuit Simulator Module:</w:t>
      </w:r>
      <w:r>
        <w:t xml:space="preserve"> Executes high-throughput in silico pharmacological screening by simulating single-target modulation effects on validated neural circuit models.</w:t>
      </w:r>
    </w:p>
    <w:p>
      <w:pPr>
        <w:pStyle w:val="ListParagraph"/>
        <w:numPr>
          <w:ilvl w:val="0"/>
          <w:numId w:val="2"/>
        </w:numPr>
        <w:spacing w:after="200" w:line="360"/>
      </w:pPr>
      <w:r>
        <w:rPr>
          <w:b/>
          <w:bCs/>
        </w:rPr>
        <w:t xml:space="preserve">Sapphire Target Impact Predictor:</w:t>
      </w:r>
      <w:r>
        <w:t xml:space="preserve"> Maps target modulation (receptor occupancy, synaptic conductance changes, neurotransmitter dynamics) to predicted circuit-level outputs (E/I ratio, total spike rate, burst characteristics).</w:t>
      </w:r>
    </w:p>
    <w:p>
      <w:pPr>
        <w:pStyle w:val="ListParagraph"/>
        <w:numPr>
          <w:ilvl w:val="0"/>
          <w:numId w:val="2"/>
        </w:numPr>
        <w:spacing w:after="200" w:line="360"/>
      </w:pPr>
      <w:r>
        <w:rPr>
          <w:b/>
          <w:bCs/>
        </w:rPr>
        <w:t xml:space="preserve">GENESIS/NEURON Simulation Engine:</w:t>
      </w:r>
      <w:r>
        <w:t xml:space="preserve"> Biophysically-accurate simulation of synaptic transmission and circuit dynamics across dose ranges and different circuit architectures.</w:t>
      </w:r>
    </w:p>
    <w:p>
      <w:pPr>
        <w:pStyle w:val="ListParagraph"/>
        <w:numPr>
          <w:ilvl w:val="0"/>
          <w:numId w:val="2"/>
        </w:numPr>
        <w:spacing w:after="200" w:line="360"/>
      </w:pPr>
      <w:r>
        <w:rPr>
          <w:b/>
          <w:bCs/>
        </w:rPr>
        <w:t xml:space="preserve">Sapphire Response Surface Modeler:</w:t>
      </w:r>
      <w:r>
        <w:t xml:space="preserve"> Generates continuous dose-response surfaces for individual target modulation effects on E/I balance and spike output metrics.</w:t>
      </w:r>
    </w:p>
    <w:p>
      <w:pPr>
        <w:pStyle w:val="ListParagraph"/>
        <w:numPr>
          <w:ilvl w:val="0"/>
          <w:numId w:val="2"/>
        </w:numPr>
        <w:spacing w:after="200" w:line="360"/>
      </w:pPr>
      <w:r>
        <w:rPr>
          <w:b/>
          <w:bCs/>
        </w:rPr>
        <w:t xml:space="preserve">ChEMBL &amp; PDSP Databases:</w:t>
      </w:r>
      <w:r>
        <w:t xml:space="preserve"> Supplies pharmacological binding constants and functional assay data for receptor modulation by putative drugs.</w:t>
      </w:r>
    </w:p>
    <w:p>
      <w:pPr>
        <w:pStyle w:val="ListParagraph"/>
        <w:numPr>
          <w:ilvl w:val="0"/>
          <w:numId w:val="2"/>
        </w:numPr>
        <w:spacing w:after="200" w:line="360"/>
      </w:pPr>
      <w:r>
        <w:rPr>
          <w:b/>
          <w:bCs/>
        </w:rPr>
        <w:t xml:space="preserve">Allen Brain Atlas Gene Expression:</w:t>
      </w:r>
      <w:r>
        <w:t xml:space="preserve"> Maps target expression patterns across neuronal subtypes and brain regions, informing circuit-specific modulation effects.</w:t>
      </w:r>
    </w:p>
    <w:p>
      <w:pPr>
        <w:spacing w:after="200" w:line="360"/>
      </w:pPr>
      <w:r>
        <w:rPr>
          <w:b/>
          <w:bCs/>
        </w:rPr>
        <w:t xml:space="preserve">Exemplary Sub-Prompts:</w:t>
      </w:r>
    </w:p>
    <w:p>
      <w:pPr>
        <w:pStyle w:val="ListParagraph"/>
        <w:numPr>
          <w:ilvl w:val="0"/>
          <w:numId w:val="2"/>
        </w:numPr>
        <w:spacing w:after="200" w:line="360"/>
      </w:pPr>
      <w:r>
        <w:t xml:space="preserve">Simulate progressive NMDA receptor reduction (0-100% occupancy block) in diseased circuit models, quantifying effects on E/I ratio and total spike output.</w:t>
      </w:r>
    </w:p>
    <w:p>
      <w:pPr>
        <w:pStyle w:val="ListParagraph"/>
        <w:numPr>
          <w:ilvl w:val="0"/>
          <w:numId w:val="2"/>
        </w:numPr>
        <w:spacing w:after="200" w:line="360"/>
      </w:pPr>
      <w:r>
        <w:t xml:space="preserve">Model GABA-A receptor potentiation across dose ranges, predicting changes in inhibitory synaptic conductance and network synchrony.</w:t>
      </w:r>
    </w:p>
    <w:p>
      <w:pPr>
        <w:pStyle w:val="ListParagraph"/>
        <w:numPr>
          <w:ilvl w:val="0"/>
          <w:numId w:val="2"/>
        </w:numPr>
        <w:spacing w:after="200" w:line="360"/>
      </w:pPr>
      <w:r>
        <w:t xml:space="preserve">Evaluate AMPA receptor antagonism effects on excitatory transmission, isolating impacts on E/I balance versus global network suppression.</w:t>
      </w:r>
    </w:p>
    <w:p>
      <w:pPr>
        <w:pStyle w:val="ListParagraph"/>
        <w:numPr>
          <w:ilvl w:val="0"/>
          <w:numId w:val="2"/>
        </w:numPr>
        <w:spacing w:after="200" w:line="360"/>
      </w:pPr>
      <w:r>
        <w:t xml:space="preserve">Identify candidate targets exhibiting selective E/I normalization without exceeding 20% reduction in total spike output.</w:t>
      </w:r>
    </w:p>
    <w:p>
      <w:pPr>
        <w:pStyle w:val="ListParagraph"/>
        <w:numPr>
          <w:ilvl w:val="0"/>
          <w:numId w:val="2"/>
        </w:numPr>
        <w:spacing w:after="200" w:line="360"/>
      </w:pPr>
      <w:r>
        <w:t xml:space="preserve">Generate dose-response curves for top candidates showing E/I ratio recovery and preserved network responsiveness across dose ranges.</w:t>
      </w:r>
    </w:p>
    <w:p>
      <w:pPr>
        <w:spacing w:after="200" w:line="360"/>
      </w:pPr>
      <w:r>
        <w:rPr>
          <w:b/>
          <w:bCs/>
        </w:rPr>
        <w:t xml:space="preserve">Expected Outputs:</w:t>
      </w:r>
    </w:p>
    <w:p>
      <w:pPr>
        <w:pStyle w:val="ListParagraph"/>
        <w:numPr>
          <w:ilvl w:val="0"/>
          <w:numId w:val="2"/>
        </w:numPr>
        <w:spacing w:after="200" w:line="360"/>
      </w:pPr>
      <w:r>
        <w:t xml:space="preserve">Single-agent dose-response curves relating target occupancy to E/I ratio changes and total spike output effects.</w:t>
      </w:r>
    </w:p>
    <w:p>
      <w:pPr>
        <w:pStyle w:val="ListParagraph"/>
        <w:numPr>
          <w:ilvl w:val="0"/>
          <w:numId w:val="2"/>
        </w:numPr>
        <w:spacing w:after="200" w:line="360"/>
      </w:pPr>
      <w:r>
        <w:t xml:space="preserve">Selectivity indices quantifying each target's preferential impact on E/I balance versus global network activity.</w:t>
      </w:r>
    </w:p>
    <w:p>
      <w:pPr>
        <w:pStyle w:val="ListParagraph"/>
        <w:numPr>
          <w:ilvl w:val="0"/>
          <w:numId w:val="2"/>
        </w:numPr>
        <w:spacing w:after="200" w:line="360"/>
      </w:pPr>
      <w:r>
        <w:t xml:space="preserve">Response surface models mapping target modulation magnitude to predicted circuit-level outputs across multiple simultaneous parameters.</w:t>
      </w:r>
    </w:p>
    <w:p>
      <w:pPr>
        <w:pStyle w:val="ListParagraph"/>
        <w:numPr>
          <w:ilvl w:val="0"/>
          <w:numId w:val="2"/>
        </w:numPr>
        <w:spacing w:after="200" w:line="360"/>
      </w:pPr>
      <w:r>
        <w:t xml:space="preserve">Target candidate rankings by predicted selectivity for E/I normalization without global network suppression.</w:t>
      </w:r>
    </w:p>
    <w:p>
      <w:pPr>
        <w:pStyle w:val="ListParagraph"/>
        <w:numPr>
          <w:ilvl w:val="0"/>
          <w:numId w:val="2"/>
        </w:numPr>
        <w:spacing w:after="200" w:line="360"/>
      </w:pPr>
      <w:r>
        <w:t xml:space="preserve">Mechanistic pathway maps documenting how each target's modulation propagates through synaptic and circuit dynamics to affect E/I balance.</w:t>
      </w:r>
    </w:p>
    <w:p>
      <w:pPr>
        <w:pStyle w:val="ListParagraph"/>
        <w:numPr>
          <w:ilvl w:val="0"/>
          <w:numId w:val="2"/>
        </w:numPr>
        <w:spacing w:after="200" w:line="360"/>
      </w:pPr>
      <w:r>
        <w:t xml:space="preserve">Circuit phenotype profiles illustrating predicted changes in burst frequency, synchrony, and oscillation characteristics under single-agent modulation.</w:t>
      </w:r>
    </w:p>
    <w:p>
      <w:pPr>
        <w:spacing w:after="200" w:line="360"/>
      </w:pPr>
      <w:r>
        <w:rPr>
          <w:b/>
          <w:bCs/>
        </w:rPr>
        <w:t xml:space="preserve">Format:</w:t>
      </w:r>
      <w:r>
        <w:t xml:space="preserve"> CSV dose-response tables, response surface visualizations, mechanistic diagrams, and NEURON model outputs documenting circuit state variables.</w:t>
      </w:r>
    </w:p>
    <w:p>
      <w:pPr>
        <w:pStyle w:val="Heading2"/>
      </w:pPr>
      <w:r>
        <w:t xml:space="preserve">Stage 3: Combination Screening and Synergistic Effect Detection</w:t>
      </w:r>
    </w:p>
    <w:p>
      <w:pPr>
        <w:spacing w:after="200" w:line="360"/>
      </w:pPr>
      <w:r>
        <w:rPr>
          <w:b/>
          <w:bCs/>
        </w:rPr>
        <w:t xml:space="preserve">Purpose:</w:t>
      </w:r>
      <w:r>
        <w:t xml:space="preserve"> Systematically screen dual-target combinations for synergistic E/I normalization effects while minimizing total spike output reduction, identifying rare pairs exhibiting superior selectivity versus single-agent modulation.</w:t>
      </w:r>
    </w:p>
    <w:p>
      <w:pPr>
        <w:spacing w:after="200" w:line="360"/>
      </w:pPr>
      <w:r>
        <w:rPr>
          <w:b/>
          <w:bCs/>
        </w:rPr>
        <w:t xml:space="preserve">Inputs:</w:t>
      </w:r>
    </w:p>
    <w:p>
      <w:pPr>
        <w:pStyle w:val="ListParagraph"/>
        <w:numPr>
          <w:ilvl w:val="0"/>
          <w:numId w:val="2"/>
        </w:numPr>
        <w:spacing w:after="200" w:line="360"/>
      </w:pPr>
      <w:r>
        <w:t xml:space="preserve">Single-agent target modulation response data and dose-response surfaces from Stage 2</w:t>
      </w:r>
    </w:p>
    <w:p>
      <w:pPr>
        <w:pStyle w:val="ListParagraph"/>
        <w:numPr>
          <w:ilvl w:val="0"/>
          <w:numId w:val="2"/>
        </w:numPr>
        <w:spacing w:after="200" w:line="360"/>
      </w:pPr>
      <w:r>
        <w:t xml:space="preserve">Biophysically-parameterized circuit models capable of simulating dual-target modulation with interaction effects</w:t>
      </w:r>
    </w:p>
    <w:p>
      <w:pPr>
        <w:pStyle w:val="ListParagraph"/>
        <w:numPr>
          <w:ilvl w:val="0"/>
          <w:numId w:val="2"/>
        </w:numPr>
        <w:spacing w:after="200" w:line="360"/>
      </w:pPr>
      <w:r>
        <w:t xml:space="preserve">Target interaction matrices documenting potential cross-talk between targets (e.g., shared downstream pathways, compensatory mechanisms)</w:t>
      </w:r>
    </w:p>
    <w:p>
      <w:pPr>
        <w:pStyle w:val="ListParagraph"/>
        <w:numPr>
          <w:ilvl w:val="0"/>
          <w:numId w:val="2"/>
        </w:numPr>
        <w:spacing w:after="200" w:line="360"/>
      </w:pPr>
      <w:r>
        <w:t xml:space="preserve">Experimental validation data from patch-clamp recordings and multi-electrode arrays examining known dual-target effects</w:t>
      </w:r>
    </w:p>
    <w:p>
      <w:pPr>
        <w:pStyle w:val="ListParagraph"/>
        <w:numPr>
          <w:ilvl w:val="0"/>
          <w:numId w:val="2"/>
        </w:numPr>
        <w:spacing w:after="200" w:line="360"/>
      </w:pPr>
      <w:r>
        <w:t xml:space="preserve">Synergy thresholds and null-model assumptions (additivity, independence) for defining meaningful synergistic interactions</w:t>
      </w:r>
    </w:p>
    <w:p>
      <w:pPr>
        <w:spacing w:after="200" w:line="360"/>
      </w:pPr>
      <w:r>
        <w:rPr>
          <w:b/>
          <w:bCs/>
        </w:rPr>
        <w:t xml:space="preserve">Tools &amp; Databases Called:</w:t>
      </w:r>
    </w:p>
    <w:p>
      <w:pPr>
        <w:pStyle w:val="ListParagraph"/>
        <w:numPr>
          <w:ilvl w:val="0"/>
          <w:numId w:val="2"/>
        </w:numPr>
        <w:spacing w:after="200" w:line="360"/>
      </w:pPr>
      <w:r>
        <w:rPr>
          <w:b/>
          <w:bCs/>
        </w:rPr>
        <w:t xml:space="preserve">Sapphire Combination Simulator:</w:t>
      </w:r>
      <w:r>
        <w:t xml:space="preserve"> High-throughput screening of dual-target combinations in validated circuit models, evaluating E/I ratio normalization and spike output preservation.</w:t>
      </w:r>
    </w:p>
    <w:p>
      <w:pPr>
        <w:pStyle w:val="ListParagraph"/>
        <w:numPr>
          <w:ilvl w:val="0"/>
          <w:numId w:val="2"/>
        </w:numPr>
        <w:spacing w:after="200" w:line="360"/>
      </w:pPr>
      <w:r>
        <w:rPr>
          <w:b/>
          <w:bCs/>
        </w:rPr>
        <w:t xml:space="preserve">Sapphire Synergy Detector Engine:</w:t>
      </w:r>
      <w:r>
        <w:t xml:space="preserve"> Quantifies synergistic interactions using Bliss independence and Loewe additivity models, flagging combinations exceeding null-model expectations.</w:t>
      </w:r>
    </w:p>
    <w:p>
      <w:pPr>
        <w:pStyle w:val="ListParagraph"/>
        <w:numPr>
          <w:ilvl w:val="0"/>
          <w:numId w:val="2"/>
        </w:numPr>
        <w:spacing w:after="200" w:line="360"/>
      </w:pPr>
      <w:r>
        <w:rPr>
          <w:b/>
          <w:bCs/>
        </w:rPr>
        <w:t xml:space="preserve">Sapphire Optimization Algorithm (Nelder-Mead, Genetic Algorithm):</w:t>
      </w:r>
      <w:r>
        <w:t xml:space="preserve"> Guided search for optimal target combination stoichiometries and dose ratios maximizing E/I selectivity score.</w:t>
      </w:r>
    </w:p>
    <w:p>
      <w:pPr>
        <w:pStyle w:val="ListParagraph"/>
        <w:numPr>
          <w:ilvl w:val="0"/>
          <w:numId w:val="2"/>
        </w:numPr>
        <w:spacing w:after="200" w:line="360"/>
      </w:pPr>
      <w:r>
        <w:rPr>
          <w:b/>
          <w:bCs/>
        </w:rPr>
        <w:t xml:space="preserve">MATLAB/Python Multi-Target Simulator:</w:t>
      </w:r>
      <w:r>
        <w:t xml:space="preserve"> Parallel computation of combination effects across thousands of target pairs and dose combinations.</w:t>
      </w:r>
    </w:p>
    <w:p>
      <w:pPr>
        <w:pStyle w:val="ListParagraph"/>
        <w:numPr>
          <w:ilvl w:val="0"/>
          <w:numId w:val="2"/>
        </w:numPr>
        <w:spacing w:after="200" w:line="360"/>
      </w:pPr>
      <w:r>
        <w:rPr>
          <w:b/>
          <w:bCs/>
        </w:rPr>
        <w:t xml:space="preserve">Sapphire Circuit-Level Phenotype Extractor:</w:t>
      </w:r>
      <w:r>
        <w:t xml:space="preserve"> Automated quantification of network synchrony, burst characteristics, and E/I balance from simulated voltage traces.</w:t>
      </w:r>
    </w:p>
    <w:p>
      <w:pPr>
        <w:pStyle w:val="ListParagraph"/>
        <w:numPr>
          <w:ilvl w:val="0"/>
          <w:numId w:val="2"/>
        </w:numPr>
        <w:spacing w:after="200" w:line="360"/>
      </w:pPr>
      <w:r>
        <w:rPr>
          <w:b/>
          <w:bCs/>
        </w:rPr>
        <w:t xml:space="preserve">SynergyFinder Database:</w:t>
      </w:r>
      <w:r>
        <w:t xml:space="preserve"> Reference dataset of experimentally-validated drug combinations and interaction models informing combination selection strategies.</w:t>
      </w:r>
    </w:p>
    <w:p>
      <w:pPr>
        <w:spacing w:after="200" w:line="360"/>
      </w:pPr>
      <w:r>
        <w:rPr>
          <w:b/>
          <w:bCs/>
        </w:rPr>
        <w:t xml:space="preserve">Exemplary Sub-Prompts:</w:t>
      </w:r>
    </w:p>
    <w:p>
      <w:pPr>
        <w:pStyle w:val="ListParagraph"/>
        <w:numPr>
          <w:ilvl w:val="0"/>
          <w:numId w:val="2"/>
        </w:numPr>
        <w:spacing w:after="200" w:line="360"/>
      </w:pPr>
      <w:r>
        <w:t xml:space="preserve">Screen all pairwise combinations of 50 E/I-modulating targets across a grid of dose ratios, identifying top 100 combinations by E/I selectivity score.</w:t>
      </w:r>
    </w:p>
    <w:p>
      <w:pPr>
        <w:pStyle w:val="ListParagraph"/>
        <w:numPr>
          <w:ilvl w:val="0"/>
          <w:numId w:val="2"/>
        </w:numPr>
        <w:spacing w:after="200" w:line="360"/>
      </w:pPr>
      <w:r>
        <w:t xml:space="preserve">Quantify synergy for each candidate combination using Bliss and Loewe models, flagging combinations with synergistic interaction indices &gt; 10.</w:t>
      </w:r>
    </w:p>
    <w:p>
      <w:pPr>
        <w:pStyle w:val="ListParagraph"/>
        <w:numPr>
          <w:ilvl w:val="0"/>
          <w:numId w:val="2"/>
        </w:numPr>
        <w:spacing w:after="200" w:line="360"/>
      </w:pPr>
      <w:r>
        <w:t xml:space="preserve">Optimize compound concentration ratios for each combination using genetic algorithms to maximize E/I normalization while constraining spike output loss to &lt; 15%.</w:t>
      </w:r>
    </w:p>
    <w:p>
      <w:pPr>
        <w:pStyle w:val="ListParagraph"/>
        <w:numPr>
          <w:ilvl w:val="0"/>
          <w:numId w:val="2"/>
        </w:numPr>
        <w:spacing w:after="200" w:line="360"/>
      </w:pPr>
      <w:r>
        <w:t xml:space="preserve">Validate predicted combination effects against published experimental data on dual-target modulation in neural circuits.</w:t>
      </w:r>
    </w:p>
    <w:p>
      <w:pPr>
        <w:pStyle w:val="ListParagraph"/>
        <w:numPr>
          <w:ilvl w:val="0"/>
          <w:numId w:val="2"/>
        </w:numPr>
        <w:spacing w:after="200" w:line="360"/>
      </w:pPr>
      <w:r>
        <w:t xml:space="preserve">Generate interaction surfaces showing E/I normalization quality across two-dimensional dose space for top candidate combinations.</w:t>
      </w:r>
    </w:p>
    <w:p>
      <w:pPr>
        <w:spacing w:after="200" w:line="360"/>
      </w:pPr>
      <w:r>
        <w:rPr>
          <w:b/>
          <w:bCs/>
        </w:rPr>
        <w:t xml:space="preserve">Expected Outputs:</w:t>
      </w:r>
    </w:p>
    <w:p>
      <w:pPr>
        <w:pStyle w:val="ListParagraph"/>
        <w:numPr>
          <w:ilvl w:val="0"/>
          <w:numId w:val="2"/>
        </w:numPr>
        <w:spacing w:after="200" w:line="360"/>
      </w:pPr>
      <w:r>
        <w:t xml:space="preserve">Ranked list of synergistic dual-target combinations prioritized by E/I selectivity and mechanistic alignment with target pathophysiology.</w:t>
      </w:r>
    </w:p>
    <w:p>
      <w:pPr>
        <w:pStyle w:val="ListParagraph"/>
        <w:numPr>
          <w:ilvl w:val="0"/>
          <w:numId w:val="2"/>
        </w:numPr>
        <w:spacing w:after="200" w:line="360"/>
      </w:pPr>
      <w:r>
        <w:t xml:space="preserve">Two-dimensional dose-response surfaces showing E/I ratio and spike output across combination concentration ranges.</w:t>
      </w:r>
    </w:p>
    <w:p>
      <w:pPr>
        <w:pStyle w:val="ListParagraph"/>
        <w:numPr>
          <w:ilvl w:val="0"/>
          <w:numId w:val="2"/>
        </w:numPr>
        <w:spacing w:after="200" w:line="360"/>
      </w:pPr>
      <w:r>
        <w:t xml:space="preserve">Synergy quantification matrices using Bliss and Loewe metrics, with statistical confidence intervals for interaction strength.</w:t>
      </w:r>
    </w:p>
    <w:p>
      <w:pPr>
        <w:pStyle w:val="ListParagraph"/>
        <w:numPr>
          <w:ilvl w:val="0"/>
          <w:numId w:val="2"/>
        </w:numPr>
        <w:spacing w:after="200" w:line="360"/>
      </w:pPr>
      <w:r>
        <w:t xml:space="preserve">Optimized combination stoichiometries and predicted clinical-relevant dose ranges for maximal selectivity.</w:t>
      </w:r>
    </w:p>
    <w:p>
      <w:pPr>
        <w:pStyle w:val="ListParagraph"/>
        <w:numPr>
          <w:ilvl w:val="0"/>
          <w:numId w:val="2"/>
        </w:numPr>
        <w:spacing w:after="200" w:line="360"/>
      </w:pPr>
      <w:r>
        <w:t xml:space="preserve">Circuit phenotype transformation maps showing predicted changes in network synchrony, burst characteristics, and oscillation dynamics.</w:t>
      </w:r>
    </w:p>
    <w:p>
      <w:pPr>
        <w:pStyle w:val="ListParagraph"/>
        <w:numPr>
          <w:ilvl w:val="0"/>
          <w:numId w:val="2"/>
        </w:numPr>
        <w:spacing w:after="200" w:line="360"/>
      </w:pPr>
      <w:r>
        <w:t xml:space="preserve">Mechanistic explanations for synergistic interactions documenting how targets' effects combine to selectively normalize E/I balance.</w:t>
      </w:r>
    </w:p>
    <w:p>
      <w:pPr>
        <w:spacing w:after="200" w:line="360"/>
      </w:pPr>
      <w:r>
        <w:rPr>
          <w:b/>
          <w:bCs/>
        </w:rPr>
        <w:t xml:space="preserve">Format:</w:t>
      </w:r>
      <w:r>
        <w:t xml:space="preserve"> Combination ranking tables, three-dimensional surface plots, synergy heatmaps, and mechanistic diagrams in PDF and interactive HTML formats.</w:t>
      </w:r>
    </w:p>
    <w:p>
      <w:pPr>
        <w:pStyle w:val="Heading2"/>
      </w:pPr>
      <w:r>
        <w:t xml:space="preserve">Stage 4: Multi-Circuit Validation and Neuronal Subtype Sensitivity</w:t>
      </w:r>
    </w:p>
    <w:p>
      <w:pPr>
        <w:spacing w:after="200" w:line="360"/>
      </w:pPr>
      <w:r>
        <w:rPr>
          <w:b/>
          <w:bCs/>
        </w:rPr>
        <w:t xml:space="preserve">Purpose:</w:t>
      </w:r>
      <w:r>
        <w:t xml:space="preserve"> Test top candidate combinations across diverse circuit architectures, neuronal cell types, and E/I dysregulation phenotypes to ensure robust E/I selectivity and identify potential off-circuit vulnerabilities.</w:t>
      </w:r>
    </w:p>
    <w:p>
      <w:pPr>
        <w:spacing w:after="200" w:line="360"/>
      </w:pPr>
      <w:r>
        <w:rPr>
          <w:b/>
          <w:bCs/>
        </w:rPr>
        <w:t xml:space="preserve">Inputs:</w:t>
      </w:r>
    </w:p>
    <w:p>
      <w:pPr>
        <w:pStyle w:val="ListParagraph"/>
        <w:numPr>
          <w:ilvl w:val="0"/>
          <w:numId w:val="2"/>
        </w:numPr>
        <w:spacing w:after="200" w:line="360"/>
      </w:pPr>
      <w:r>
        <w:t xml:space="preserve">Top 20-30 candidate combinations from Stage 3 with optimized stoichiometries and dose ranges</w:t>
      </w:r>
    </w:p>
    <w:p>
      <w:pPr>
        <w:pStyle w:val="ListParagraph"/>
        <w:numPr>
          <w:ilvl w:val="0"/>
          <w:numId w:val="2"/>
        </w:numPr>
        <w:spacing w:after="200" w:line="360"/>
      </w:pPr>
      <w:r>
        <w:t xml:space="preserve">Diverse circuit model variants including sensory cortex, hippocampus, and striatal microcircuits with distinct cell type compositions and connectivity patterns</w:t>
      </w:r>
    </w:p>
    <w:p>
      <w:pPr>
        <w:pStyle w:val="ListParagraph"/>
        <w:numPr>
          <w:ilvl w:val="0"/>
          <w:numId w:val="2"/>
        </w:numPr>
        <w:spacing w:after="200" w:line="360"/>
      </w:pPr>
      <w:r>
        <w:t xml:space="preserve">Single-cell transcriptomic and electrophysiology data characterizing neuronal subtype-specific target expression and receptor densities</w:t>
      </w:r>
    </w:p>
    <w:p>
      <w:pPr>
        <w:pStyle w:val="ListParagraph"/>
        <w:numPr>
          <w:ilvl w:val="0"/>
          <w:numId w:val="2"/>
        </w:numPr>
        <w:spacing w:after="200" w:line="360"/>
      </w:pPr>
      <w:r>
        <w:t xml:space="preserve">Experimental electrophysiology datasets from multiple neural tissue preparations (acute slices, cultures, organoids) testing combination effects</w:t>
      </w:r>
    </w:p>
    <w:p>
      <w:pPr>
        <w:pStyle w:val="ListParagraph"/>
        <w:numPr>
          <w:ilvl w:val="0"/>
          <w:numId w:val="2"/>
        </w:numPr>
        <w:spacing w:after="200" w:line="360"/>
      </w:pPr>
      <w:r>
        <w:t xml:space="preserve">Off-target risk matrices documenting unintended effects of combination candidates on non-E/I relevant circuits and systems</w:t>
      </w:r>
    </w:p>
    <w:p>
      <w:pPr>
        <w:spacing w:after="200" w:line="360"/>
      </w:pPr>
      <w:r>
        <w:rPr>
          <w:b/>
          <w:bCs/>
        </w:rPr>
        <w:t xml:space="preserve">Tools &amp; Databases Called:</w:t>
      </w:r>
    </w:p>
    <w:p>
      <w:pPr>
        <w:pStyle w:val="ListParagraph"/>
        <w:numPr>
          <w:ilvl w:val="0"/>
          <w:numId w:val="2"/>
        </w:numPr>
        <w:spacing w:after="200" w:line="360"/>
      </w:pPr>
      <w:r>
        <w:rPr>
          <w:b/>
          <w:bCs/>
        </w:rPr>
        <w:t xml:space="preserve">Sapphire Multi-Circuit Simulator:</w:t>
      </w:r>
      <w:r>
        <w:t xml:space="preserve"> Rapid execution of combination pharmacology across parameterized models of distinct brain circuits with diverse cell-type compositions.</w:t>
      </w:r>
    </w:p>
    <w:p>
      <w:pPr>
        <w:pStyle w:val="ListParagraph"/>
        <w:numPr>
          <w:ilvl w:val="0"/>
          <w:numId w:val="2"/>
        </w:numPr>
        <w:spacing w:after="200" w:line="360"/>
      </w:pPr>
      <w:r>
        <w:rPr>
          <w:b/>
          <w:bCs/>
        </w:rPr>
        <w:t xml:space="preserve">Sapphire Subtype Sensitivity Analyzer:</w:t>
      </w:r>
      <w:r>
        <w:t xml:space="preserve"> Maps target expression patterns across neuronal subtypes and predicts differential combination effects on distinct cell populations.</w:t>
      </w:r>
    </w:p>
    <w:p>
      <w:pPr>
        <w:pStyle w:val="ListParagraph"/>
        <w:numPr>
          <w:ilvl w:val="0"/>
          <w:numId w:val="2"/>
        </w:numPr>
        <w:spacing w:after="200" w:line="360"/>
      </w:pPr>
      <w:r>
        <w:rPr>
          <w:b/>
          <w:bCs/>
        </w:rPr>
        <w:t xml:space="preserve">Sapphire Robustness Evaluator:</w:t>
      </w:r>
      <w:r>
        <w:t xml:space="preserve"> Quantifies combination selectivity across parameter variations (cell type expression, circuit architecture, baseline E/I imbalance severity).</w:t>
      </w:r>
    </w:p>
    <w:p>
      <w:pPr>
        <w:pStyle w:val="ListParagraph"/>
        <w:numPr>
          <w:ilvl w:val="0"/>
          <w:numId w:val="2"/>
        </w:numPr>
        <w:spacing w:after="200" w:line="360"/>
      </w:pPr>
      <w:r>
        <w:rPr>
          <w:b/>
          <w:bCs/>
        </w:rPr>
        <w:t xml:space="preserve">Allen Brain Atlas Single-Cell RNA-seq:</w:t>
      </w:r>
      <w:r>
        <w:t xml:space="preserve"> References neuronal subtype-specific target expression for accurate circuit-variant predictions.</w:t>
      </w:r>
    </w:p>
    <w:p>
      <w:pPr>
        <w:pStyle w:val="ListParagraph"/>
        <w:numPr>
          <w:ilvl w:val="0"/>
          <w:numId w:val="2"/>
        </w:numPr>
        <w:spacing w:after="200" w:line="360"/>
      </w:pPr>
      <w:r>
        <w:rPr>
          <w:b/>
          <w:bCs/>
        </w:rPr>
        <w:t xml:space="preserve">Mouse Lines Database (JAX):</w:t>
      </w:r>
      <w:r>
        <w:t xml:space="preserve"> Supplies transgenic circuit models with fluorescent markers enabling targeted validation of predictions.</w:t>
      </w:r>
    </w:p>
    <w:p>
      <w:pPr>
        <w:pStyle w:val="ListParagraph"/>
        <w:numPr>
          <w:ilvl w:val="0"/>
          <w:numId w:val="2"/>
        </w:numPr>
        <w:spacing w:after="200" w:line="360"/>
      </w:pPr>
      <w:r>
        <w:rPr>
          <w:b/>
          <w:bCs/>
        </w:rPr>
        <w:t xml:space="preserve">Sapphire Off-Target Liability Mapper:</w:t>
      </w:r>
      <w:r>
        <w:t xml:space="preserve"> Predicts unintended combination effects on non-E/I circuits based on target expression patterns and mechanistic pathways.</w:t>
      </w:r>
    </w:p>
    <w:p>
      <w:pPr>
        <w:spacing w:after="200" w:line="360"/>
      </w:pPr>
      <w:r>
        <w:rPr>
          <w:b/>
          <w:bCs/>
        </w:rPr>
        <w:t xml:space="preserve">Exemplary Sub-Prompts:</w:t>
      </w:r>
    </w:p>
    <w:p>
      <w:pPr>
        <w:pStyle w:val="ListParagraph"/>
        <w:numPr>
          <w:ilvl w:val="0"/>
          <w:numId w:val="2"/>
        </w:numPr>
        <w:spacing w:after="200" w:line="360"/>
      </w:pPr>
      <w:r>
        <w:t xml:space="preserve">Simulate each top 10 combination across sensory cortex, hippocampus, and striatal circuit models, evaluating E/I selectivity consistency.</w:t>
      </w:r>
    </w:p>
    <w:p>
      <w:pPr>
        <w:pStyle w:val="ListParagraph"/>
        <w:numPr>
          <w:ilvl w:val="0"/>
          <w:numId w:val="2"/>
        </w:numPr>
        <w:spacing w:after="200" w:line="360"/>
      </w:pPr>
      <w:r>
        <w:t xml:space="preserve">Analyze combination effects on fast-spiking parvalbumin-positive interneurons versus regular-spiking pyramidal neurons, assessing subtype selectivity.</w:t>
      </w:r>
    </w:p>
    <w:p>
      <w:pPr>
        <w:pStyle w:val="ListParagraph"/>
        <w:numPr>
          <w:ilvl w:val="0"/>
          <w:numId w:val="2"/>
        </w:numPr>
        <w:spacing w:after="200" w:line="360"/>
      </w:pPr>
      <w:r>
        <w:t xml:space="preserve">Test combination robustness by varying baseline E/I dysregulation severity (mild/moderate/severe imbalance scenarios).</w:t>
      </w:r>
    </w:p>
    <w:p>
      <w:pPr>
        <w:pStyle w:val="ListParagraph"/>
        <w:numPr>
          <w:ilvl w:val="0"/>
          <w:numId w:val="2"/>
        </w:numPr>
        <w:spacing w:after="200" w:line="360"/>
      </w:pPr>
      <w:r>
        <w:t xml:space="preserve">Predict unintended combination effects on motor control circuits and sensorimotor integration, flagging candidates with movement disorder liability.</w:t>
      </w:r>
    </w:p>
    <w:p>
      <w:pPr>
        <w:pStyle w:val="ListParagraph"/>
        <w:numPr>
          <w:ilvl w:val="0"/>
          <w:numId w:val="2"/>
        </w:numPr>
        <w:spacing w:after="200" w:line="360"/>
      </w:pPr>
      <w:r>
        <w:t xml:space="preserve">Quantify parameter sensitivity by examining how combination selectivity varies with ±20% perturbations in synaptic strength and circuit connectivity.</w:t>
      </w:r>
    </w:p>
    <w:p>
      <w:pPr>
        <w:spacing w:after="200" w:line="360"/>
      </w:pPr>
      <w:r>
        <w:rPr>
          <w:b/>
          <w:bCs/>
        </w:rPr>
        <w:t xml:space="preserve">Expected Outputs:</w:t>
      </w:r>
    </w:p>
    <w:p>
      <w:pPr>
        <w:pStyle w:val="ListParagraph"/>
        <w:numPr>
          <w:ilvl w:val="0"/>
          <w:numId w:val="2"/>
        </w:numPr>
        <w:spacing w:after="200" w:line="360"/>
      </w:pPr>
      <w:r>
        <w:t xml:space="preserve">Multi-circuit validation reports comparing E/I selectivity and spike output preservation across sensory, limbic, and motor circuit models.</w:t>
      </w:r>
    </w:p>
    <w:p>
      <w:pPr>
        <w:pStyle w:val="ListParagraph"/>
        <w:numPr>
          <w:ilvl w:val="0"/>
          <w:numId w:val="2"/>
        </w:numPr>
        <w:spacing w:after="200" w:line="360"/>
      </w:pPr>
      <w:r>
        <w:t xml:space="preserve">Neuronal subtype-specific effect profiles documenting differential combination impacts on parvalbumin-positive, somatostatin-positive, and VIP-positive interneuron subtypes.</w:t>
      </w:r>
    </w:p>
    <w:p>
      <w:pPr>
        <w:pStyle w:val="ListParagraph"/>
        <w:numPr>
          <w:ilvl w:val="0"/>
          <w:numId w:val="2"/>
        </w:numPr>
        <w:spacing w:after="200" w:line="360"/>
      </w:pPr>
      <w:r>
        <w:t xml:space="preserve">Robustness and sensitivity analyses quantifying combination stability across parameter variations and circuit architectural diversity.</w:t>
      </w:r>
    </w:p>
    <w:p>
      <w:pPr>
        <w:pStyle w:val="ListParagraph"/>
        <w:numPr>
          <w:ilvl w:val="0"/>
          <w:numId w:val="2"/>
        </w:numPr>
        <w:spacing w:after="200" w:line="360"/>
      </w:pPr>
      <w:r>
        <w:t xml:space="preserve">Off-target liability assessments identifying potential unintended effects on motor, sensorimotor, and reward circuits.</w:t>
      </w:r>
    </w:p>
    <w:p>
      <w:pPr>
        <w:pStyle w:val="ListParagraph"/>
        <w:numPr>
          <w:ilvl w:val="0"/>
          <w:numId w:val="2"/>
        </w:numPr>
        <w:spacing w:after="200" w:line="360"/>
      </w:pPr>
      <w:r>
        <w:t xml:space="preserve">Refined combination rankings prioritizing those with highest multi-circuit selectivity and lowest off-circuit vulnerabilities.</w:t>
      </w:r>
    </w:p>
    <w:p>
      <w:pPr>
        <w:pStyle w:val="ListParagraph"/>
        <w:numPr>
          <w:ilvl w:val="0"/>
          <w:numId w:val="2"/>
        </w:numPr>
        <w:spacing w:after="200" w:line="360"/>
      </w:pPr>
      <w:r>
        <w:t xml:space="preserve">Mechanistic annotations explaining why top combinations exhibit preserved selectivity across diverse circuit contexts.</w:t>
      </w:r>
    </w:p>
    <w:p>
      <w:pPr>
        <w:spacing w:after="200" w:line="360"/>
      </w:pPr>
      <w:r>
        <w:rPr>
          <w:b/>
          <w:bCs/>
        </w:rPr>
        <w:t xml:space="preserve">Format:</w:t>
      </w:r>
      <w:r>
        <w:t xml:space="preserve"> Multi-circuit comparison matrices, robustness dashboards, subtype sensitivity heatmaps, and detailed validation reports in PDF and HTML formats.</w:t>
      </w:r>
    </w:p>
    <w:p>
      <w:pPr>
        <w:pStyle w:val="Heading2"/>
      </w:pPr>
      <w:r>
        <w:t xml:space="preserve">Stage 5: Experimental Validation Design and Translational Planning</w:t>
      </w:r>
    </w:p>
    <w:p>
      <w:pPr>
        <w:spacing w:after="200" w:line="360"/>
      </w:pPr>
      <w:r>
        <w:rPr>
          <w:b/>
          <w:bCs/>
        </w:rPr>
        <w:t xml:space="preserve">Purpose:</w:t>
      </w:r>
      <w:r>
        <w:t xml:space="preserve"> Design rapid experimental validation protocols for top combination candidates using multi-electrode array recording, two-photon imaging, and electrophysiology to confirm predicted E/I normalization and identify successful lead candidates for clinical translation.</w:t>
      </w:r>
    </w:p>
    <w:p>
      <w:pPr>
        <w:spacing w:after="200" w:line="360"/>
      </w:pPr>
      <w:r>
        <w:rPr>
          <w:b/>
          <w:bCs/>
        </w:rPr>
        <w:t xml:space="preserve">Inputs:</w:t>
      </w:r>
    </w:p>
    <w:p>
      <w:pPr>
        <w:pStyle w:val="ListParagraph"/>
        <w:numPr>
          <w:ilvl w:val="0"/>
          <w:numId w:val="2"/>
        </w:numPr>
        <w:spacing w:after="200" w:line="360"/>
      </w:pPr>
      <w:r>
        <w:t xml:space="preserve">Top 5-10 combination candidates from Stages 3-4 with multi-circuit validation support and mechanistic rationales</w:t>
      </w:r>
    </w:p>
    <w:p>
      <w:pPr>
        <w:pStyle w:val="ListParagraph"/>
        <w:numPr>
          <w:ilvl w:val="0"/>
          <w:numId w:val="2"/>
        </w:numPr>
        <w:spacing w:after="200" w:line="360"/>
      </w:pPr>
      <w:r>
        <w:t xml:space="preserve">Disease model preparations including patient-derived hiPSC-derived neural networks, acute brain slices, and transgenic animal models with E/I dysregulation</w:t>
      </w:r>
    </w:p>
    <w:p>
      <w:pPr>
        <w:pStyle w:val="ListParagraph"/>
        <w:numPr>
          <w:ilvl w:val="0"/>
          <w:numId w:val="2"/>
        </w:numPr>
        <w:spacing w:after="200" w:line="360"/>
      </w:pPr>
      <w:r>
        <w:t xml:space="preserve">Multi-electrode array and two-photon microscopy infrastructure with automated analysis pipelines for high-throughput circuit phenotyping</w:t>
      </w:r>
    </w:p>
    <w:p>
      <w:pPr>
        <w:pStyle w:val="ListParagraph"/>
        <w:numPr>
          <w:ilvl w:val="0"/>
          <w:numId w:val="2"/>
        </w:numPr>
        <w:spacing w:after="200" w:line="360"/>
      </w:pPr>
      <w:r>
        <w:t xml:space="preserve">Compound sourcing and chemical characterization data confirming purity, solubility, and stability for experimental testing</w:t>
      </w:r>
    </w:p>
    <w:p>
      <w:pPr>
        <w:pStyle w:val="ListParagraph"/>
        <w:numPr>
          <w:ilvl w:val="0"/>
          <w:numId w:val="2"/>
        </w:numPr>
        <w:spacing w:after="200" w:line="360"/>
      </w:pPr>
      <w:r>
        <w:t xml:space="preserve">Preclinical endpoint definitions and biomarker panels suitable for translational studies and clinical development readiness assessment</w:t>
      </w:r>
    </w:p>
    <w:p>
      <w:pPr>
        <w:spacing w:after="200" w:line="360"/>
      </w:pPr>
      <w:r>
        <w:rPr>
          <w:b/>
          <w:bCs/>
        </w:rPr>
        <w:t xml:space="preserve">Tools &amp; Databases Called:</w:t>
      </w:r>
    </w:p>
    <w:p>
      <w:pPr>
        <w:pStyle w:val="ListParagraph"/>
        <w:numPr>
          <w:ilvl w:val="0"/>
          <w:numId w:val="2"/>
        </w:numPr>
        <w:spacing w:after="200" w:line="360"/>
      </w:pPr>
      <w:r>
        <w:rPr>
          <w:b/>
          <w:bCs/>
        </w:rPr>
        <w:t xml:space="preserve">Sapphire Experimental Design Optimizer:</w:t>
      </w:r>
      <w:r>
        <w:t xml:space="preserve"> Generates optimized protocol designs specifying dosing schedules, measurement timepoints, and endpoint batteries for rapid validation.</w:t>
      </w:r>
    </w:p>
    <w:p>
      <w:pPr>
        <w:pStyle w:val="ListParagraph"/>
        <w:numPr>
          <w:ilvl w:val="0"/>
          <w:numId w:val="2"/>
        </w:numPr>
        <w:spacing w:after="200" w:line="360"/>
      </w:pPr>
      <w:r>
        <w:rPr>
          <w:b/>
          <w:bCs/>
        </w:rPr>
        <w:t xml:space="preserve">Sapphire Power Calculation Engine:</w:t>
      </w:r>
      <w:r>
        <w:t xml:space="preserve"> Computes required sample sizes and replicates based on predicted effect sizes from Stage 3 simulations.</w:t>
      </w:r>
    </w:p>
    <w:p>
      <w:pPr>
        <w:pStyle w:val="ListParagraph"/>
        <w:numPr>
          <w:ilvl w:val="0"/>
          <w:numId w:val="2"/>
        </w:numPr>
        <w:spacing w:after="200" w:line="360"/>
      </w:pPr>
      <w:r>
        <w:rPr>
          <w:b/>
          <w:bCs/>
        </w:rPr>
        <w:t xml:space="preserve">Sapphire MEA &amp; Imaging Analysis Suite:</w:t>
      </w:r>
      <w:r>
        <w:t xml:space="preserve"> Automated spike detection, burst analysis, and network synchrony quantification from multi-electrode array and two-photon recordings.</w:t>
      </w:r>
    </w:p>
    <w:p>
      <w:pPr>
        <w:pStyle w:val="ListParagraph"/>
        <w:numPr>
          <w:ilvl w:val="0"/>
          <w:numId w:val="2"/>
        </w:numPr>
        <w:spacing w:after="200" w:line="360"/>
      </w:pPr>
      <w:r>
        <w:rPr>
          <w:b/>
          <w:bCs/>
        </w:rPr>
        <w:t xml:space="preserve">hiPSC Repository Database (WiCell, NINDS):</w:t>
      </w:r>
      <w:r>
        <w:t xml:space="preserve"> Access to disease-specific and control hiPSC lines for neural differentiation and validation studies.</w:t>
      </w:r>
    </w:p>
    <w:p>
      <w:pPr>
        <w:pStyle w:val="ListParagraph"/>
        <w:numPr>
          <w:ilvl w:val="0"/>
          <w:numId w:val="2"/>
        </w:numPr>
        <w:spacing w:after="200" w:line="360"/>
      </w:pPr>
      <w:r>
        <w:rPr>
          <w:b/>
          <w:bCs/>
        </w:rPr>
        <w:t xml:space="preserve">Jackson Laboratory Transgenic Repository:</w:t>
      </w:r>
      <w:r>
        <w:t xml:space="preserve"> Procurement of transgenic mouse models with E/I dysregulation suitable for in vivo combination validation.</w:t>
      </w:r>
    </w:p>
    <w:p>
      <w:pPr>
        <w:pStyle w:val="ListParagraph"/>
        <w:numPr>
          <w:ilvl w:val="0"/>
          <w:numId w:val="2"/>
        </w:numPr>
        <w:spacing w:after="200" w:line="360"/>
      </w:pPr>
      <w:r>
        <w:rPr>
          <w:b/>
          <w:bCs/>
        </w:rPr>
        <w:t xml:space="preserve">Sapphire Translational Biomarker Finder:</w:t>
      </w:r>
      <w:r>
        <w:t xml:space="preserve"> Identifies circuit-level and molecular biomarkers suitable for clinical assessment of combination efficacy and target engagement.</w:t>
      </w:r>
    </w:p>
    <w:p>
      <w:pPr>
        <w:spacing w:after="200" w:line="360"/>
      </w:pPr>
      <w:r>
        <w:rPr>
          <w:b/>
          <w:bCs/>
        </w:rPr>
        <w:t xml:space="preserve">Exemplary Sub-Prompts:</w:t>
      </w:r>
    </w:p>
    <w:p>
      <w:pPr>
        <w:pStyle w:val="ListParagraph"/>
        <w:numPr>
          <w:ilvl w:val="0"/>
          <w:numId w:val="2"/>
        </w:numPr>
        <w:spacing w:after="200" w:line="360"/>
      </w:pPr>
      <w:r>
        <w:t xml:space="preserve">Design multi-electrode array validation protocol for top 3 combinations, specifying dosing concentrations, measurement intervals, and quantitative success criteria.</w:t>
      </w:r>
    </w:p>
    <w:p>
      <w:pPr>
        <w:pStyle w:val="ListParagraph"/>
        <w:numPr>
          <w:ilvl w:val="0"/>
          <w:numId w:val="2"/>
        </w:numPr>
        <w:spacing w:after="200" w:line="360"/>
      </w:pPr>
      <w:r>
        <w:t xml:space="preserve">Calculate required sample size and replicate numbers for detecting predicted E/I normalization with 80% statistical power.</w:t>
      </w:r>
    </w:p>
    <w:p>
      <w:pPr>
        <w:pStyle w:val="ListParagraph"/>
        <w:numPr>
          <w:ilvl w:val="0"/>
          <w:numId w:val="2"/>
        </w:numPr>
        <w:spacing w:after="200" w:line="360"/>
      </w:pPr>
      <w:r>
        <w:t xml:space="preserve">Identify optimal two-photon imaging endpoints capturing combination-induced changes in excitatory and inhibitory synaptic transmission.</w:t>
      </w:r>
    </w:p>
    <w:p>
      <w:pPr>
        <w:pStyle w:val="ListParagraph"/>
        <w:numPr>
          <w:ilvl w:val="0"/>
          <w:numId w:val="2"/>
        </w:numPr>
        <w:spacing w:after="200" w:line="360"/>
      </w:pPr>
      <w:r>
        <w:t xml:space="preserve">Specify in vivo mouse electrophysiology protocols for acute recordings from identified excitatory and inhibitory neurons during combination treatment.</w:t>
      </w:r>
    </w:p>
    <w:p>
      <w:pPr>
        <w:pStyle w:val="ListParagraph"/>
        <w:numPr>
          <w:ilvl w:val="0"/>
          <w:numId w:val="2"/>
        </w:numPr>
        <w:spacing w:after="200" w:line="360"/>
      </w:pPr>
      <w:r>
        <w:t xml:space="preserve">Identify translatable biomarkers and circuit-level metrics suitable for future clinical assessment of combination efficacy and dose optimization.</w:t>
      </w:r>
    </w:p>
    <w:p>
      <w:pPr>
        <w:spacing w:after="200" w:line="360"/>
      </w:pPr>
      <w:r>
        <w:rPr>
          <w:b/>
          <w:bCs/>
        </w:rPr>
        <w:t xml:space="preserve">Expected Outputs:</w:t>
      </w:r>
    </w:p>
    <w:p>
      <w:pPr>
        <w:pStyle w:val="ListParagraph"/>
        <w:numPr>
          <w:ilvl w:val="0"/>
          <w:numId w:val="2"/>
        </w:numPr>
        <w:spacing w:after="200" w:line="360"/>
      </w:pPr>
      <w:r>
        <w:t xml:space="preserve">Detailed experimental protocols specifying combination dosing, multi-electrode array recording parameters, and quantitative endpoint definitions.</w:t>
      </w:r>
    </w:p>
    <w:p>
      <w:pPr>
        <w:pStyle w:val="ListParagraph"/>
        <w:numPr>
          <w:ilvl w:val="0"/>
          <w:numId w:val="2"/>
        </w:numPr>
        <w:spacing w:after="200" w:line="360"/>
      </w:pPr>
      <w:r>
        <w:t xml:space="preserve">Statistical power calculations and required sample size recommendations for in vitro and in vivo validation studies.</w:t>
      </w:r>
    </w:p>
    <w:p>
      <w:pPr>
        <w:pStyle w:val="ListParagraph"/>
        <w:numPr>
          <w:ilvl w:val="0"/>
          <w:numId w:val="2"/>
        </w:numPr>
        <w:spacing w:after="200" w:line="360"/>
      </w:pPr>
      <w:r>
        <w:t xml:space="preserve">Optimized two-photon imaging protocols capturing combination effects on glutamatergic and GABAergic synapses with cellular resolution.</w:t>
      </w:r>
    </w:p>
    <w:p>
      <w:pPr>
        <w:pStyle w:val="ListParagraph"/>
        <w:numPr>
          <w:ilvl w:val="0"/>
          <w:numId w:val="2"/>
        </w:numPr>
        <w:spacing w:after="200" w:line="360"/>
      </w:pPr>
      <w:r>
        <w:t xml:space="preserve">In vivo electrophysiology experimental designs including electrode placement, recording depth, and cell-type identification strategies.</w:t>
      </w:r>
    </w:p>
    <w:p>
      <w:pPr>
        <w:pStyle w:val="ListParagraph"/>
        <w:numPr>
          <w:ilvl w:val="0"/>
          <w:numId w:val="2"/>
        </w:numPr>
        <w:spacing w:after="200" w:line="360"/>
      </w:pPr>
      <w:r>
        <w:t xml:space="preserve">Biomarker and endpoint selection documents identifying translatable circuit-level measurements for clinical development.</w:t>
      </w:r>
    </w:p>
    <w:p>
      <w:pPr>
        <w:pStyle w:val="ListParagraph"/>
        <w:numPr>
          <w:ilvl w:val="0"/>
          <w:numId w:val="2"/>
        </w:numPr>
        <w:spacing w:after="200" w:line="360"/>
      </w:pPr>
      <w:r>
        <w:t xml:space="preserve">Timeline and resource estimates for experimental validation campaigns across preclinical models.</w:t>
      </w:r>
    </w:p>
    <w:p>
      <w:pPr>
        <w:spacing w:after="200" w:line="360"/>
      </w:pPr>
      <w:r>
        <w:rPr>
          <w:b/>
          <w:bCs/>
        </w:rPr>
        <w:t xml:space="preserve">Format:</w:t>
      </w:r>
      <w:r>
        <w:t xml:space="preserve"> Structured experimental protocols in PDF, sample size calculation spreadsheets, and detailed biomarker/endpoint selection documents.</w:t>
      </w:r>
    </w:p>
    <w:p>
      <w:pPr>
        <w:pStyle w:val="Heading2"/>
      </w:pPr>
      <w:r>
        <w:t xml:space="preserve">Stage 6: Combination Ranking and Clinical Translation Strategy</w:t>
      </w:r>
    </w:p>
    <w:p>
      <w:pPr>
        <w:spacing w:after="200" w:line="360"/>
      </w:pPr>
      <w:r>
        <w:rPr>
          <w:b/>
          <w:bCs/>
        </w:rPr>
        <w:t xml:space="preserve">Purpose:</w:t>
      </w:r>
      <w:r>
        <w:t xml:space="preserve"> Synthesize computational predictions and experimental validation results into a final prioritized ranking of E/I-selective combinations, develop comprehensive clinical translation strategies, and define success metrics for regulatory filing and proof-of-concept studies.</w:t>
      </w:r>
    </w:p>
    <w:p>
      <w:pPr>
        <w:spacing w:after="200" w:line="360"/>
      </w:pPr>
      <w:r>
        <w:rPr>
          <w:b/>
          <w:bCs/>
        </w:rPr>
        <w:t xml:space="preserve">Inputs:</w:t>
      </w:r>
    </w:p>
    <w:p>
      <w:pPr>
        <w:pStyle w:val="ListParagraph"/>
        <w:numPr>
          <w:ilvl w:val="0"/>
          <w:numId w:val="2"/>
        </w:numPr>
        <w:spacing w:after="200" w:line="360"/>
      </w:pPr>
      <w:r>
        <w:t xml:space="preserve">Complete pharmacological and mechanistic profiles for all validated combination candidates from Stages 1-5</w:t>
      </w:r>
    </w:p>
    <w:p>
      <w:pPr>
        <w:pStyle w:val="ListParagraph"/>
        <w:numPr>
          <w:ilvl w:val="0"/>
          <w:numId w:val="2"/>
        </w:numPr>
        <w:spacing w:after="200" w:line="360"/>
      </w:pPr>
      <w:r>
        <w:t xml:space="preserve">Experimental validation results from multi-electrode array, imaging, and in vivo electrophysiology confirming E/I selectivity predictions</w:t>
      </w:r>
    </w:p>
    <w:p>
      <w:pPr>
        <w:pStyle w:val="ListParagraph"/>
        <w:numPr>
          <w:ilvl w:val="0"/>
          <w:numId w:val="2"/>
        </w:numPr>
        <w:spacing w:after="200" w:line="360"/>
      </w:pPr>
      <w:r>
        <w:t xml:space="preserve">Compound properties including synthetic feasibility, manufacturing scalability, formulation options, and patent landscape analyses</w:t>
      </w:r>
    </w:p>
    <w:p>
      <w:pPr>
        <w:pStyle w:val="ListParagraph"/>
        <w:numPr>
          <w:ilvl w:val="0"/>
          <w:numId w:val="2"/>
        </w:numPr>
        <w:spacing w:after="200" w:line="360"/>
      </w:pPr>
      <w:r>
        <w:t xml:space="preserve">Regulatory guidance documents, clinical trial design frameworks, and biomarker qualification pathways for CNS drug development</w:t>
      </w:r>
    </w:p>
    <w:p>
      <w:pPr>
        <w:pStyle w:val="ListParagraph"/>
        <w:numPr>
          <w:ilvl w:val="0"/>
          <w:numId w:val="2"/>
        </w:numPr>
        <w:spacing w:after="200" w:line="360"/>
      </w:pPr>
      <w:r>
        <w:t xml:space="preserve">Financial and timeline models for IND-enabling studies, clinical trial execution, and projected regulatory milestones</w:t>
      </w:r>
    </w:p>
    <w:p>
      <w:pPr>
        <w:spacing w:after="200" w:line="360"/>
      </w:pPr>
      <w:r>
        <w:rPr>
          <w:b/>
          <w:bCs/>
        </w:rPr>
        <w:t xml:space="preserve">Tools &amp; Databases Called:</w:t>
      </w:r>
    </w:p>
    <w:p>
      <w:pPr>
        <w:pStyle w:val="ListParagraph"/>
        <w:numPr>
          <w:ilvl w:val="0"/>
          <w:numId w:val="2"/>
        </w:numPr>
        <w:spacing w:after="200" w:line="360"/>
      </w:pPr>
      <w:r>
        <w:rPr>
          <w:b/>
          <w:bCs/>
        </w:rPr>
        <w:t xml:space="preserve">Sapphire Combination Scoring System:</w:t>
      </w:r>
      <w:r>
        <w:t xml:space="preserve"> Multi-criteria ranking of combinations incorporating E/I selectivity, experimental validation support, compound developability, and clinical translationability.</w:t>
      </w:r>
    </w:p>
    <w:p>
      <w:pPr>
        <w:pStyle w:val="ListParagraph"/>
        <w:numPr>
          <w:ilvl w:val="0"/>
          <w:numId w:val="2"/>
        </w:numPr>
        <w:spacing w:after="200" w:line="360"/>
      </w:pPr>
      <w:r>
        <w:rPr>
          <w:b/>
          <w:bCs/>
        </w:rPr>
        <w:t xml:space="preserve">Sapphire Translational Planning Engine:</w:t>
      </w:r>
      <w:r>
        <w:t xml:space="preserve"> Generates comprehensive clinical development roadmaps including IND-enabling study designs, Phase 1 protocols, and biomarker qualification strategies.</w:t>
      </w:r>
    </w:p>
    <w:p>
      <w:pPr>
        <w:pStyle w:val="ListParagraph"/>
        <w:numPr>
          <w:ilvl w:val="0"/>
          <w:numId w:val="2"/>
        </w:numPr>
        <w:spacing w:after="200" w:line="360"/>
      </w:pPr>
      <w:r>
        <w:rPr>
          <w:b/>
          <w:bCs/>
        </w:rPr>
        <w:t xml:space="preserve">FDA CDER Guidance Database:</w:t>
      </w:r>
      <w:r>
        <w:t xml:space="preserve"> References regulatory expectations for CNS drug development, biomarker qualification, and special population considerations.</w:t>
      </w:r>
    </w:p>
    <w:p>
      <w:pPr>
        <w:pStyle w:val="ListParagraph"/>
        <w:numPr>
          <w:ilvl w:val="0"/>
          <w:numId w:val="2"/>
        </w:numPr>
        <w:spacing w:after="200" w:line="360"/>
      </w:pPr>
      <w:r>
        <w:rPr>
          <w:b/>
          <w:bCs/>
        </w:rPr>
        <w:t xml:space="preserve">Sapphire Patent Landscape Analyzer:</w:t>
      </w:r>
      <w:r>
        <w:t xml:space="preserve"> Assesses intellectual property landscape for combination candidates, identifying freedom-to-operate risks and composition-of-matter filing strategies.</w:t>
      </w:r>
    </w:p>
    <w:p>
      <w:pPr>
        <w:pStyle w:val="ListParagraph"/>
        <w:numPr>
          <w:ilvl w:val="0"/>
          <w:numId w:val="2"/>
        </w:numPr>
        <w:spacing w:after="200" w:line="360"/>
      </w:pPr>
      <w:r>
        <w:rPr>
          <w:b/>
          <w:bCs/>
        </w:rPr>
        <w:t xml:space="preserve">ClinicalTrials.gov Database:</w:t>
      </w:r>
      <w:r>
        <w:t xml:space="preserve"> References ongoing trials for related indications and provides benchmarks for recruitment timelines and outcome measure selection.</w:t>
      </w:r>
    </w:p>
    <w:p>
      <w:pPr>
        <w:pStyle w:val="ListParagraph"/>
        <w:numPr>
          <w:ilvl w:val="0"/>
          <w:numId w:val="2"/>
        </w:numPr>
        <w:spacing w:after="200" w:line="360"/>
      </w:pPr>
      <w:r>
        <w:rPr>
          <w:b/>
          <w:bCs/>
        </w:rPr>
        <w:t xml:space="preserve">Sapphire Manufacturing &amp; Scale-Up Modeler:</w:t>
      </w:r>
      <w:r>
        <w:t xml:space="preserve"> Predicts synthesis complexity, cost-of-goods, and scale-up feasibility for combination compounds.</w:t>
      </w:r>
    </w:p>
    <w:p>
      <w:pPr>
        <w:spacing w:after="200" w:line="360"/>
      </w:pPr>
      <w:r>
        <w:rPr>
          <w:b/>
          <w:bCs/>
        </w:rPr>
        <w:t xml:space="preserve">Exemplary Sub-Prompts:</w:t>
      </w:r>
    </w:p>
    <w:p>
      <w:pPr>
        <w:pStyle w:val="ListParagraph"/>
        <w:numPr>
          <w:ilvl w:val="0"/>
          <w:numId w:val="2"/>
        </w:numPr>
        <w:spacing w:after="200" w:line="360"/>
      </w:pPr>
      <w:r>
        <w:t xml:space="preserve">Rank top 10 E/I-selective combinations using multi-criteria scoring incorporating E/I selectivity, experimental validation support, compound properties, and clinical translationability.</w:t>
      </w:r>
    </w:p>
    <w:p>
      <w:pPr>
        <w:pStyle w:val="ListParagraph"/>
        <w:numPr>
          <w:ilvl w:val="0"/>
          <w:numId w:val="2"/>
        </w:numPr>
        <w:spacing w:after="200" w:line="360"/>
      </w:pPr>
      <w:r>
        <w:t xml:space="preserve">Design IND-enabling preclinical pharmacology and toxicology study package for lead combination candidate.</w:t>
      </w:r>
    </w:p>
    <w:p>
      <w:pPr>
        <w:pStyle w:val="ListParagraph"/>
        <w:numPr>
          <w:ilvl w:val="0"/>
          <w:numId w:val="2"/>
        </w:numPr>
        <w:spacing w:after="200" w:line="360"/>
      </w:pPr>
      <w:r>
        <w:t xml:space="preserve">Develop Phase 1 clinical trial protocol specifying E/I balance biomarkers, circuit-level imaging endpoints, and dose escalation schemes.</w:t>
      </w:r>
    </w:p>
    <w:p>
      <w:pPr>
        <w:pStyle w:val="ListParagraph"/>
        <w:numPr>
          <w:ilvl w:val="0"/>
          <w:numId w:val="2"/>
        </w:numPr>
        <w:spacing w:after="200" w:line="360"/>
      </w:pPr>
      <w:r>
        <w:t xml:space="preserve">Assess intellectual property landscape and identify freedom-to-operate risks for combination composition and use claims.</w:t>
      </w:r>
    </w:p>
    <w:p>
      <w:pPr>
        <w:pStyle w:val="ListParagraph"/>
        <w:numPr>
          <w:ilvl w:val="0"/>
          <w:numId w:val="2"/>
        </w:numPr>
        <w:spacing w:after="200" w:line="360"/>
      </w:pPr>
      <w:r>
        <w:t xml:space="preserve">Estimate manufacturing complexity, cost-of-goods, and scale-up timelines for lead combination candidates.</w:t>
      </w:r>
    </w:p>
    <w:p>
      <w:pPr>
        <w:spacing w:after="200" w:line="360"/>
      </w:pPr>
      <w:r>
        <w:rPr>
          <w:b/>
          <w:bCs/>
        </w:rPr>
        <w:t xml:space="preserve">Expected Outputs:</w:t>
      </w:r>
    </w:p>
    <w:p>
      <w:pPr>
        <w:pStyle w:val="ListParagraph"/>
        <w:numPr>
          <w:ilvl w:val="0"/>
          <w:numId w:val="2"/>
        </w:numPr>
        <w:spacing w:after="200" w:line="360"/>
      </w:pPr>
      <w:r>
        <w:t xml:space="preserve">Final prioritized combination ranking with detailed justifications covering E/I selectivity, experimental validation, compound properties, and clinical potential.</w:t>
      </w:r>
    </w:p>
    <w:p>
      <w:pPr>
        <w:pStyle w:val="ListParagraph"/>
        <w:numPr>
          <w:ilvl w:val="0"/>
          <w:numId w:val="2"/>
        </w:numPr>
        <w:spacing w:after="200" w:line="360"/>
      </w:pPr>
      <w:r>
        <w:t xml:space="preserve">Comprehensive preclinical development packages including pharmacology/toxicology study designs, IND application briefing books, and regulatory strategy.</w:t>
      </w:r>
    </w:p>
    <w:p>
      <w:pPr>
        <w:pStyle w:val="ListParagraph"/>
        <w:numPr>
          <w:ilvl w:val="0"/>
          <w:numId w:val="2"/>
        </w:numPr>
        <w:spacing w:after="200" w:line="360"/>
      </w:pPr>
      <w:r>
        <w:t xml:space="preserve">Phase 1 clinical trial protocol specifying E/I balance biomarkers, circuit-level endpoints, pharmacokinetics/pharmacodynamics assessments, and safety monitoring.</w:t>
      </w:r>
    </w:p>
    <w:p>
      <w:pPr>
        <w:pStyle w:val="ListParagraph"/>
        <w:numPr>
          <w:ilvl w:val="0"/>
          <w:numId w:val="2"/>
        </w:numPr>
        <w:spacing w:after="200" w:line="360"/>
      </w:pPr>
      <w:r>
        <w:t xml:space="preserve">Intellectual property strategy documents including composition, method, and use patent claim analyses with freedom-to-operate assessments.</w:t>
      </w:r>
    </w:p>
    <w:p>
      <w:pPr>
        <w:pStyle w:val="ListParagraph"/>
        <w:numPr>
          <w:ilvl w:val="0"/>
          <w:numId w:val="2"/>
        </w:numPr>
        <w:spacing w:after="200" w:line="360"/>
      </w:pPr>
      <w:r>
        <w:t xml:space="preserve">Manufacturing and supply chain analyses with cost-of-goods projections and scale-up timelines.</w:t>
      </w:r>
    </w:p>
    <w:p>
      <w:pPr>
        <w:pStyle w:val="ListParagraph"/>
        <w:numPr>
          <w:ilvl w:val="0"/>
          <w:numId w:val="2"/>
        </w:numPr>
        <w:spacing w:after="200" w:line="360"/>
      </w:pPr>
      <w:r>
        <w:t xml:space="preserve">Go/no-go decision criteria and milestone definitions for advancement through development stages.</w:t>
      </w:r>
    </w:p>
    <w:p>
      <w:pPr>
        <w:spacing w:after="200" w:line="360"/>
      </w:pPr>
      <w:r>
        <w:rPr>
          <w:b/>
          <w:bCs/>
        </w:rPr>
        <w:t xml:space="preserve">Format:</w:t>
      </w:r>
      <w:r>
        <w:t xml:space="preserve"> Executive summary briefings, ranked candidate portfolios, preclinical IND packages, Phase 1 protocol documents, and regulatory strategy memos.</w:t>
      </w:r>
    </w:p>
    <w:p>
      <w:pPr>
        <w:pStyle w:val="Heading2"/>
      </w:pPr>
      <w:r>
        <w:t xml:space="preserve">Tools &amp; Databases Summary</w:t>
      </w:r>
    </w:p>
    <w:p>
      <w:pPr>
        <w:pStyle w:val="ListParagraph"/>
        <w:numPr>
          <w:ilvl w:val="0"/>
          <w:numId w:val="2"/>
        </w:numPr>
        <w:spacing w:after="200" w:line="360"/>
      </w:pPr>
      <w:r>
        <w:t xml:space="preserve">Sapphire Circuit Phenotyper — Automated extraction of E/I balance metrics, burst statistics, network synchrony, and spike timing precision from electrophysiology data.</w:t>
      </w:r>
    </w:p>
    <w:p>
      <w:pPr>
        <w:pStyle w:val="ListParagraph"/>
        <w:numPr>
          <w:ilvl w:val="0"/>
          <w:numId w:val="2"/>
        </w:numPr>
        <w:spacing w:after="200" w:line="360"/>
      </w:pPr>
      <w:r>
        <w:t xml:space="preserve">Sapphire Synaptic Characterization Engine — Quantification of AMPA/NMDA ratios, GABA-A/B kinetics, and synaptic plasticity from whole-cell patch-clamp recordings.</w:t>
      </w:r>
    </w:p>
    <w:p>
      <w:pPr>
        <w:pStyle w:val="ListParagraph"/>
        <w:numPr>
          <w:ilvl w:val="0"/>
          <w:numId w:val="2"/>
        </w:numPr>
        <w:spacing w:after="200" w:line="360"/>
      </w:pPr>
      <w:r>
        <w:t xml:space="preserve">NEURON/Brian2 Simulation Platforms — Biophysically-detailed neural circuit modeling and dynamics simulation.</w:t>
      </w:r>
    </w:p>
    <w:p>
      <w:pPr>
        <w:pStyle w:val="ListParagraph"/>
        <w:numPr>
          <w:ilvl w:val="0"/>
          <w:numId w:val="2"/>
        </w:numPr>
        <w:spacing w:after="200" w:line="360"/>
      </w:pPr>
      <w:r>
        <w:t xml:space="preserve">Allen Brain Observatory — Published electrophysiology recordings and circuit connectivity maps with diverse firing patterns.</w:t>
      </w:r>
    </w:p>
    <w:p>
      <w:pPr>
        <w:pStyle w:val="ListParagraph"/>
        <w:numPr>
          <w:ilvl w:val="0"/>
          <w:numId w:val="2"/>
        </w:numPr>
        <w:spacing w:after="200" w:line="360"/>
      </w:pPr>
      <w:r>
        <w:t xml:space="preserve">Spike2 &amp; CED Analysis Tools — Automated electrophysiology data processing for kinetic parameter extraction and statistical analysis.</w:t>
      </w:r>
    </w:p>
    <w:p>
      <w:pPr>
        <w:pStyle w:val="ListParagraph"/>
        <w:numPr>
          <w:ilvl w:val="0"/>
          <w:numId w:val="2"/>
        </w:numPr>
        <w:spacing w:after="200" w:line="360"/>
      </w:pPr>
      <w:r>
        <w:t xml:space="preserve">GEO Omnibus Transcriptomics Database — Single-cell RNA-seq data defining interneuron subtypes and synaptic gene expression signatures.</w:t>
      </w:r>
    </w:p>
    <w:p>
      <w:pPr>
        <w:pStyle w:val="ListParagraph"/>
        <w:numPr>
          <w:ilvl w:val="0"/>
          <w:numId w:val="2"/>
        </w:numPr>
        <w:spacing w:after="200" w:line="360"/>
      </w:pPr>
      <w:r>
        <w:t xml:space="preserve">Sapphire Circuit Simulator Module — High-throughput in silico pharmacological screening and single-target modulation effect simulation.</w:t>
      </w:r>
    </w:p>
    <w:p>
      <w:pPr>
        <w:pStyle w:val="ListParagraph"/>
        <w:numPr>
          <w:ilvl w:val="0"/>
          <w:numId w:val="2"/>
        </w:numPr>
        <w:spacing w:after="200" w:line="360"/>
      </w:pPr>
      <w:r>
        <w:t xml:space="preserve">Sapphire Target Impact Predictor — Mapping of target modulation to predicted E/I balance and network activity changes.</w:t>
      </w:r>
    </w:p>
    <w:p>
      <w:pPr>
        <w:pStyle w:val="ListParagraph"/>
        <w:numPr>
          <w:ilvl w:val="0"/>
          <w:numId w:val="2"/>
        </w:numPr>
        <w:spacing w:after="200" w:line="360"/>
      </w:pPr>
      <w:r>
        <w:t xml:space="preserve">GENESIS/NEURON Simulation Engine — Accurate simulation of synaptic transmission and circuit dynamics across pharmacological dose ranges.</w:t>
      </w:r>
    </w:p>
    <w:p>
      <w:pPr>
        <w:pStyle w:val="ListParagraph"/>
        <w:numPr>
          <w:ilvl w:val="0"/>
          <w:numId w:val="2"/>
        </w:numPr>
        <w:spacing w:after="200" w:line="360"/>
      </w:pPr>
      <w:r>
        <w:t xml:space="preserve">Sapphire Response Surface Modeler — Generation of continuous dose-response surfaces for target modulation effects on E/I and spike output.</w:t>
      </w:r>
    </w:p>
    <w:p>
      <w:pPr>
        <w:pStyle w:val="ListParagraph"/>
        <w:numPr>
          <w:ilvl w:val="0"/>
          <w:numId w:val="2"/>
        </w:numPr>
        <w:spacing w:after="200" w:line="360"/>
      </w:pPr>
      <w:r>
        <w:t xml:space="preserve">ChEMBL &amp; PDSP Databases — Pharmacological binding constants and functional assay data for receptor modulation.</w:t>
      </w:r>
    </w:p>
    <w:p>
      <w:pPr>
        <w:pStyle w:val="ListParagraph"/>
        <w:numPr>
          <w:ilvl w:val="0"/>
          <w:numId w:val="2"/>
        </w:numPr>
        <w:spacing w:after="200" w:line="360"/>
      </w:pPr>
      <w:r>
        <w:t xml:space="preserve">Allen Brain Atlas Gene Expression — Target expression patterns across neuronal subtypes and brain regions.</w:t>
      </w:r>
    </w:p>
    <w:p>
      <w:pPr>
        <w:pStyle w:val="ListParagraph"/>
        <w:numPr>
          <w:ilvl w:val="0"/>
          <w:numId w:val="2"/>
        </w:numPr>
        <w:spacing w:after="200" w:line="360"/>
      </w:pPr>
      <w:r>
        <w:t xml:space="preserve">Sapphire Combination Simulator — High-throughput dual-target combination screening in validated circuit models.</w:t>
      </w:r>
    </w:p>
    <w:p>
      <w:pPr>
        <w:pStyle w:val="ListParagraph"/>
        <w:numPr>
          <w:ilvl w:val="0"/>
          <w:numId w:val="2"/>
        </w:numPr>
        <w:spacing w:after="200" w:line="360"/>
      </w:pPr>
      <w:r>
        <w:t xml:space="preserve">Sapphire Synergy Detector Engine — Quantification of synergistic interactions using Bliss and Loewe additivity models.</w:t>
      </w:r>
    </w:p>
    <w:p>
      <w:pPr>
        <w:pStyle w:val="ListParagraph"/>
        <w:numPr>
          <w:ilvl w:val="0"/>
          <w:numId w:val="2"/>
        </w:numPr>
        <w:spacing w:after="200" w:line="360"/>
      </w:pPr>
      <w:r>
        <w:t xml:space="preserve">Sapphire Optimization Algorithm — Guided search for optimal combination stoichiometries and dose ratios maximizing E/I selectivity.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2026-03-01T19:34:33.088Z</dcterms:created>
  <dcterms:modified xsi:type="dcterms:W3CDTF">2026-03-01T19:34:33.088Z</dcterms:modified>
</cp:coreProperties>
</file>

<file path=docProps/custom.xml><?xml version="1.0" encoding="utf-8"?>
<Properties xmlns="http://schemas.openxmlformats.org/officeDocument/2006/custom-properties" xmlns:vt="http://schemas.openxmlformats.org/officeDocument/2006/docPropsVTypes"/>
</file>