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r>
        <w:rPr>
          <w:b/>
          <w:bCs/>
        </w:rPr>
        <w:t xml:space="preserve">Prompt: </w:t>
      </w:r>
      <w:r>
        <w:t xml:space="preserve">"For SCN2A epilepsy, simulate combination of partial knockdown + sodium channel modulation."</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This pipeline combines computational structural biology, molecular dynamics simulations, and network pharmacology to model SCN2A epilepsy interventions. The Sapphire platform integrates detailed protein structure analysis from PDB and AlphaFold predictions with kinetic modeling of sodium channel behavior under partial knockdown conditions. The workflow systematically evaluates how reducing SCN2A expression synergizes with selective sodium channel modulators, examining both acute electrophysiological effects and long-term homeostatic compensation mechanisms in neuronal networks.</w:t>
      </w:r>
    </w:p>
    <w:p>
      <w:pPr>
        <w:spacing w:after="200" w:line="360"/>
      </w:pPr>
      <w:r>
        <w:t xml:space="preserve">The pipeline progresses through genetic validation, structural profiling, kinetic simulation, multi-target optimization, network effects prediction, and therapeutic validation stages. Each stage employs real-world data from epilepsy cohorts, neurophysiology databases, and computational predictions to converge on optimal intervention strategies. Outputs include ranked therapeutic combinations with predicted efficacy profiles, safety considerations, and mechanistic hypotheses suitable for experimental validation in patient-derived induced pluripotent stem cell models and animal models of SCN2A epilepsy.</w:t>
      </w:r>
    </w:p>
    <w:p>
      <w:pPr>
        <w:pStyle w:val="Heading2"/>
      </w:pPr>
      <w:r>
        <w:t xml:space="preserve">Stage 1: Genetic Validation &amp; Patient Stratification</w:t>
      </w:r>
    </w:p>
    <w:p>
      <w:pPr>
        <w:spacing w:after="200" w:line="360"/>
      </w:pPr>
      <w:r>
        <w:rPr>
          <w:b/>
          <w:bCs/>
        </w:rPr>
        <w:t xml:space="preserve">Purpose: </w:t>
      </w:r>
      <w:r>
        <w:t xml:space="preserve">Confirm SCN2A mutations in patient cohorts and stratify based on genotype-phenotype relationships to identify which mutation subtypes respond optimally to partial knockdown strategies.</w:t>
      </w:r>
    </w:p>
    <w:p>
      <w:pPr>
        <w:spacing w:after="120"/>
      </w:pPr>
      <w:r>
        <w:rPr>
          <w:b/>
          <w:bCs/>
        </w:rPr>
        <w:t xml:space="preserve">Inputs:</w:t>
      </w:r>
    </w:p>
    <w:p>
      <w:pPr>
        <w:pStyle w:val="ListParagraph"/>
        <w:numPr>
          <w:ilvl w:val="0"/>
          <w:numId w:val="2"/>
        </w:numPr>
        <w:spacing w:after="100" w:line="360"/>
      </w:pPr>
      <w:r>
        <w:t xml:space="preserve">Patient cohort genomic data from ClinVar, UCSC Genome Browser, and proprietary epilepsy biobanks</w:t>
      </w:r>
    </w:p>
    <w:p>
      <w:pPr>
        <w:pStyle w:val="ListParagraph"/>
        <w:numPr>
          <w:ilvl w:val="0"/>
          <w:numId w:val="2"/>
        </w:numPr>
        <w:spacing w:after="100" w:line="360"/>
      </w:pPr>
      <w:r>
        <w:t xml:space="preserve">SCN2A reference sequence (NCBI RefSeq NM_021554) and known pathogenic variants database (Human Gene Mutation Database)</w:t>
      </w:r>
    </w:p>
    <w:p>
      <w:pPr>
        <w:pStyle w:val="ListParagraph"/>
        <w:numPr>
          <w:ilvl w:val="0"/>
          <w:numId w:val="2"/>
        </w:numPr>
        <w:spacing w:after="100" w:line="360"/>
      </w:pPr>
      <w:r>
        <w:t xml:space="preserve">Clinical phenotype data: seizure type, age of onset, treatment history, EEG patterns, and medication response status</w:t>
      </w:r>
    </w:p>
    <w:p>
      <w:pPr>
        <w:pStyle w:val="ListParagraph"/>
        <w:numPr>
          <w:ilvl w:val="0"/>
          <w:numId w:val="2"/>
        </w:numPr>
        <w:spacing w:after="100" w:line="360"/>
      </w:pPr>
      <w:r>
        <w:t xml:space="preserve">CRISPR knockout and knockdown efficiency data from literature and GTEx tissue-specific expression profiles</w:t>
      </w:r>
    </w:p>
    <w:p>
      <w:pPr>
        <w:pStyle w:val="ListParagraph"/>
        <w:numPr>
          <w:ilvl w:val="0"/>
          <w:numId w:val="2"/>
        </w:numPr>
        <w:spacing w:after="100" w:line="360"/>
      </w:pPr>
      <w:r>
        <w:t xml:space="preserve">Mechanistic literature on SCN2A haploinsufficiency versus gain-of-function mutations</w:t>
      </w:r>
    </w:p>
    <w:p>
      <w:pPr>
        <w:spacing w:after="120"/>
      </w:pPr>
      <w:r>
        <w:rPr>
          <w:b/>
          <w:bCs/>
        </w:rPr>
        <w:t xml:space="preserve">Tools &amp; Databases Called:</w:t>
      </w:r>
    </w:p>
    <w:p>
      <w:pPr>
        <w:pStyle w:val="ListParagraph"/>
        <w:numPr>
          <w:ilvl w:val="0"/>
          <w:numId w:val="2"/>
        </w:numPr>
        <w:spacing w:after="100" w:line="360"/>
      </w:pPr>
      <w:r>
        <w:rPr>
          <w:b/>
          <w:bCs/>
        </w:rPr>
        <w:t xml:space="preserve">ClinVar: </w:t>
      </w:r>
      <w:r>
        <w:t xml:space="preserve">Aggregated variant pathogenicity classifications and allele frequencies in disease populations</w:t>
      </w:r>
    </w:p>
    <w:p>
      <w:pPr>
        <w:pStyle w:val="ListParagraph"/>
        <w:numPr>
          <w:ilvl w:val="0"/>
          <w:numId w:val="2"/>
        </w:numPr>
        <w:spacing w:after="100" w:line="360"/>
      </w:pPr>
      <w:r>
        <w:rPr>
          <w:b/>
          <w:bCs/>
        </w:rPr>
        <w:t xml:space="preserve">HGMD Pro: </w:t>
      </w:r>
      <w:r>
        <w:t xml:space="preserve">Comprehensive disease-causing mutation database with phenotype associations</w:t>
      </w:r>
    </w:p>
    <w:p>
      <w:pPr>
        <w:pStyle w:val="ListParagraph"/>
        <w:numPr>
          <w:ilvl w:val="0"/>
          <w:numId w:val="2"/>
        </w:numPr>
        <w:spacing w:after="100" w:line="360"/>
      </w:pPr>
      <w:r>
        <w:rPr>
          <w:b/>
          <w:bCs/>
        </w:rPr>
        <w:t xml:space="preserve">CADD and DANN: </w:t>
      </w:r>
      <w:r>
        <w:t xml:space="preserve">Variant deleteriousness prediction tools scoring pathogenic potential</w:t>
      </w:r>
    </w:p>
    <w:p>
      <w:pPr>
        <w:pStyle w:val="ListParagraph"/>
        <w:numPr>
          <w:ilvl w:val="0"/>
          <w:numId w:val="2"/>
        </w:numPr>
        <w:spacing w:after="100" w:line="360"/>
      </w:pPr>
      <w:r>
        <w:rPr>
          <w:b/>
          <w:bCs/>
        </w:rPr>
        <w:t xml:space="preserve">Ensembl Variant Effect Predictor: </w:t>
      </w:r>
      <w:r>
        <w:t xml:space="preserve">Functional impact prediction including protein domain disruption</w:t>
      </w:r>
    </w:p>
    <w:p>
      <w:pPr>
        <w:pStyle w:val="ListParagraph"/>
        <w:numPr>
          <w:ilvl w:val="0"/>
          <w:numId w:val="2"/>
        </w:numPr>
        <w:spacing w:after="100" w:line="360"/>
      </w:pPr>
      <w:r>
        <w:rPr>
          <w:b/>
          <w:bCs/>
        </w:rPr>
        <w:t xml:space="preserve">GTEx Portal: </w:t>
      </w:r>
      <w:r>
        <w:t xml:space="preserve">Tissue-specific expression quantitative trait loci and developmental expression patterns</w:t>
      </w:r>
    </w:p>
    <w:p>
      <w:pPr>
        <w:pStyle w:val="ListParagraph"/>
        <w:numPr>
          <w:ilvl w:val="0"/>
          <w:numId w:val="2"/>
        </w:numPr>
        <w:spacing w:after="100" w:line="360"/>
      </w:pPr>
      <w:r>
        <w:rPr>
          <w:b/>
          <w:bCs/>
        </w:rPr>
        <w:t xml:space="preserve">Sapphire Phenotype Matcher: </w:t>
      </w:r>
      <w:r>
        <w:t xml:space="preserve">Internal algorithm correlating genotype with clinical response patterns</w:t>
      </w:r>
    </w:p>
    <w:p>
      <w:pPr>
        <w:spacing w:after="120"/>
      </w:pPr>
      <w:r>
        <w:rPr>
          <w:b/>
          <w:bCs/>
        </w:rPr>
        <w:t xml:space="preserve">Exemplary Sub-Prompts:</w:t>
      </w:r>
    </w:p>
    <w:p>
      <w:pPr>
        <w:pStyle w:val="ListParagraph"/>
        <w:numPr>
          <w:ilvl w:val="0"/>
          <w:numId w:val="2"/>
        </w:numPr>
        <w:spacing w:after="100" w:line="360"/>
      </w:pPr>
      <w:r>
        <w:t xml:space="preserve">What is the prevalence of SCN2A gain-of-function versus loss-of-function mutations in early infantile encephalopathic epilepsy cohorts?</w:t>
      </w:r>
    </w:p>
    <w:p>
      <w:pPr>
        <w:pStyle w:val="ListParagraph"/>
        <w:numPr>
          <w:ilvl w:val="0"/>
          <w:numId w:val="2"/>
        </w:numPr>
        <w:spacing w:after="100" w:line="360"/>
      </w:pPr>
      <w:r>
        <w:t xml:space="preserve">Which SCN2A mutation subtypes show primary refractoriness to sodium channel blockers and therefore represent better candidates for combined partial knockdown?</w:t>
      </w:r>
    </w:p>
    <w:p>
      <w:pPr>
        <w:pStyle w:val="ListParagraph"/>
        <w:numPr>
          <w:ilvl w:val="0"/>
          <w:numId w:val="2"/>
        </w:numPr>
        <w:spacing w:after="100" w:line="360"/>
      </w:pPr>
      <w:r>
        <w:t xml:space="preserve">How do regulatory variants affecting SCN2A expression levels correlate with seizure severity and treatment response?</w:t>
      </w:r>
    </w:p>
    <w:p>
      <w:pPr>
        <w:pStyle w:val="ListParagraph"/>
        <w:numPr>
          <w:ilvl w:val="0"/>
          <w:numId w:val="2"/>
        </w:numPr>
        <w:spacing w:after="100" w:line="360"/>
      </w:pPr>
      <w:r>
        <w:t xml:space="preserve">What CRISPR or antisense oligonucleotide approaches achieve partial knockdown (50-70% reduction) without complete loss-of-function compensation?</w:t>
      </w:r>
    </w:p>
    <w:p>
      <w:pPr>
        <w:pStyle w:val="ListParagraph"/>
        <w:numPr>
          <w:ilvl w:val="0"/>
          <w:numId w:val="2"/>
        </w:numPr>
        <w:spacing w:after="100" w:line="360"/>
      </w:pPr>
      <w:r>
        <w:t xml:space="preserve">Are there ethnic or population-specific SCN2A variant frequencies that suggest differential optimal knockdown targets?</w:t>
      </w:r>
    </w:p>
    <w:p>
      <w:pPr>
        <w:spacing w:after="120"/>
      </w:pPr>
      <w:r>
        <w:rPr>
          <w:b/>
          <w:bCs/>
        </w:rPr>
        <w:t xml:space="preserve">Expected Outputs:</w:t>
      </w:r>
    </w:p>
    <w:p>
      <w:pPr>
        <w:pStyle w:val="ListParagraph"/>
        <w:numPr>
          <w:ilvl w:val="0"/>
          <w:numId w:val="2"/>
        </w:numPr>
        <w:spacing w:after="100" w:line="360"/>
      </w:pPr>
      <w:r>
        <w:t xml:space="preserve">Curated list of confirmed pathogenic SCN2A variants with functional classification (gain-of-function, loss-of-function, haploinsufficiency)</w:t>
      </w:r>
    </w:p>
    <w:p>
      <w:pPr>
        <w:pStyle w:val="ListParagraph"/>
        <w:numPr>
          <w:ilvl w:val="0"/>
          <w:numId w:val="2"/>
        </w:numPr>
        <w:spacing w:after="100" w:line="360"/>
      </w:pPr>
      <w:r>
        <w:t xml:space="preserve">Patient stratification cohorts ranked by predicted response to combined partial knockdown plus modulation strategy</w:t>
      </w:r>
    </w:p>
    <w:p>
      <w:pPr>
        <w:pStyle w:val="ListParagraph"/>
        <w:numPr>
          <w:ilvl w:val="0"/>
          <w:numId w:val="2"/>
        </w:numPr>
        <w:spacing w:after="100" w:line="360"/>
      </w:pPr>
      <w:r>
        <w:t xml:space="preserve">Genotype-phenotype correlation matrix showing mutation location, protein domain, and clinical outcomes</w:t>
      </w:r>
    </w:p>
    <w:p>
      <w:pPr>
        <w:pStyle w:val="ListParagraph"/>
        <w:numPr>
          <w:ilvl w:val="0"/>
          <w:numId w:val="2"/>
        </w:numPr>
        <w:spacing w:after="100" w:line="360"/>
      </w:pPr>
      <w:r>
        <w:t xml:space="preserve">Expression level targets: optimal SCN2A knockdown percentage (e.g., 50%, 60%, 70%) for each mutation subtype</w:t>
      </w:r>
    </w:p>
    <w:p>
      <w:pPr>
        <w:pStyle w:val="ListParagraph"/>
        <w:numPr>
          <w:ilvl w:val="0"/>
          <w:numId w:val="2"/>
        </w:numPr>
        <w:spacing w:after="100" w:line="360"/>
      </w:pPr>
      <w:r>
        <w:t xml:space="preserve">Predicted compensation mechanisms (channel upregulation, alternative splicing, protein stability) triggered by knockdown</w:t>
      </w:r>
    </w:p>
    <w:p>
      <w:pPr>
        <w:pStyle w:val="ListParagraph"/>
        <w:numPr>
          <w:ilvl w:val="0"/>
          <w:numId w:val="2"/>
        </w:numPr>
        <w:spacing w:after="100" w:line="360"/>
      </w:pPr>
      <w:r>
        <w:t xml:space="preserve">CRISPR/ASO targeting strategy scores incorporating off-target risk, accessibility, and partial knockdown precision</w:t>
      </w:r>
    </w:p>
    <w:p>
      <w:pPr>
        <w:spacing w:after="200" w:line="360"/>
      </w:pPr>
      <w:r>
        <w:rPr>
          <w:b/>
          <w:bCs/>
        </w:rPr>
        <w:t xml:space="preserve">Format: </w:t>
      </w:r>
      <w:r>
        <w:t xml:space="preserve">Tabular variant-phenotype spreadsheet, narrative stratification report, and ranked cohort list with mutation details and predicted intervention responses.</w:t>
      </w:r>
    </w:p>
    <w:p>
      <w:pPr>
        <w:pStyle w:val="Heading2"/>
      </w:pPr>
      <w:r>
        <w:t xml:space="preserve">Stage 2: Structural Profiling &amp; Channel Architecture</w:t>
      </w:r>
    </w:p>
    <w:p>
      <w:pPr>
        <w:spacing w:after="200" w:line="360"/>
      </w:pPr>
      <w:r>
        <w:rPr>
          <w:b/>
          <w:bCs/>
        </w:rPr>
        <w:t xml:space="preserve">Purpose: </w:t>
      </w:r>
      <w:r>
        <w:t xml:space="preserve">Build detailed 3D structural models of mutant and wild-type SCN2A proteins to identify mutation-specific conformational changes and modulation hotspots.</w:t>
      </w:r>
    </w:p>
    <w:p>
      <w:pPr>
        <w:spacing w:after="120"/>
      </w:pPr>
      <w:r>
        <w:rPr>
          <w:b/>
          <w:bCs/>
        </w:rPr>
        <w:t xml:space="preserve">Inputs:</w:t>
      </w:r>
    </w:p>
    <w:p>
      <w:pPr>
        <w:pStyle w:val="ListParagraph"/>
        <w:numPr>
          <w:ilvl w:val="0"/>
          <w:numId w:val="2"/>
        </w:numPr>
        <w:spacing w:after="100" w:line="360"/>
      </w:pPr>
      <w:r>
        <w:t xml:space="preserve">Human SCN2A protein sequence and homologous structures from PDB (bacterial NavAb, Nav1.4 cryo-EM structures)</w:t>
      </w:r>
    </w:p>
    <w:p>
      <w:pPr>
        <w:pStyle w:val="ListParagraph"/>
        <w:numPr>
          <w:ilvl w:val="0"/>
          <w:numId w:val="2"/>
        </w:numPr>
        <w:spacing w:after="100" w:line="360"/>
      </w:pPr>
      <w:r>
        <w:t xml:space="preserve">AlphaFold2 predicted structures for SCN2A and all target mutations to assess confidence and domain stability</w:t>
      </w:r>
    </w:p>
    <w:p>
      <w:pPr>
        <w:pStyle w:val="ListParagraph"/>
        <w:numPr>
          <w:ilvl w:val="0"/>
          <w:numId w:val="2"/>
        </w:numPr>
        <w:spacing w:after="100" w:line="360"/>
      </w:pPr>
      <w:r>
        <w:t xml:space="preserve">Electrophysiological literature characterizing gating parameters, inactivation kinetics, and voltage-sensitivity of mutants</w:t>
      </w:r>
    </w:p>
    <w:p>
      <w:pPr>
        <w:pStyle w:val="ListParagraph"/>
        <w:numPr>
          <w:ilvl w:val="0"/>
          <w:numId w:val="2"/>
        </w:numPr>
        <w:spacing w:after="100" w:line="360"/>
      </w:pPr>
      <w:r>
        <w:t xml:space="preserve">Known modulator binding sites from literature and PharmGKB associations (phenytoin, carbamazepine, lamotrigine mechanisms)</w:t>
      </w:r>
    </w:p>
    <w:p>
      <w:pPr>
        <w:pStyle w:val="ListParagraph"/>
        <w:numPr>
          <w:ilvl w:val="0"/>
          <w:numId w:val="2"/>
        </w:numPr>
        <w:spacing w:after="100" w:line="360"/>
      </w:pPr>
      <w:r>
        <w:t xml:space="preserve">Splice variant sequences and their structural implications for channel assembly and trafficking</w:t>
      </w:r>
    </w:p>
    <w:p>
      <w:pPr>
        <w:spacing w:after="120"/>
      </w:pPr>
      <w:r>
        <w:rPr>
          <w:b/>
          <w:bCs/>
        </w:rPr>
        <w:t xml:space="preserve">Tools &amp; Databases Called:</w:t>
      </w:r>
    </w:p>
    <w:p>
      <w:pPr>
        <w:pStyle w:val="ListParagraph"/>
        <w:numPr>
          <w:ilvl w:val="0"/>
          <w:numId w:val="2"/>
        </w:numPr>
        <w:spacing w:after="100" w:line="360"/>
      </w:pPr>
      <w:r>
        <w:rPr>
          <w:b/>
          <w:bCs/>
        </w:rPr>
        <w:t xml:space="preserve">PDB &amp; RCSB: </w:t>
      </w:r>
      <w:r>
        <w:t xml:space="preserve">Crystallographic and cryo-EM structures of sodium channels and homologous ion channel templates</w:t>
      </w:r>
    </w:p>
    <w:p>
      <w:pPr>
        <w:pStyle w:val="ListParagraph"/>
        <w:numPr>
          <w:ilvl w:val="0"/>
          <w:numId w:val="2"/>
        </w:numPr>
        <w:spacing w:after="100" w:line="360"/>
      </w:pPr>
      <w:r>
        <w:rPr>
          <w:b/>
          <w:bCs/>
        </w:rPr>
        <w:t xml:space="preserve">AlphaFold Server: </w:t>
      </w:r>
      <w:r>
        <w:t xml:space="preserve">Full-length SCN2A structure prediction with pAE confidence matrices for mutation impact assessment</w:t>
      </w:r>
    </w:p>
    <w:p>
      <w:pPr>
        <w:pStyle w:val="ListParagraph"/>
        <w:numPr>
          <w:ilvl w:val="0"/>
          <w:numId w:val="2"/>
        </w:numPr>
        <w:spacing w:after="100" w:line="360"/>
      </w:pPr>
      <w:r>
        <w:rPr>
          <w:b/>
          <w:bCs/>
        </w:rPr>
        <w:t xml:space="preserve">SWISS-MODEL &amp; ModBase: </w:t>
      </w:r>
      <w:r>
        <w:t xml:space="preserve">Homology modeling of mutant proteins using validated templates</w:t>
      </w:r>
    </w:p>
    <w:p>
      <w:pPr>
        <w:pStyle w:val="ListParagraph"/>
        <w:numPr>
          <w:ilvl w:val="0"/>
          <w:numId w:val="2"/>
        </w:numPr>
        <w:spacing w:after="100" w:line="360"/>
      </w:pPr>
      <w:r>
        <w:rPr>
          <w:b/>
          <w:bCs/>
        </w:rPr>
        <w:t xml:space="preserve">Rosetta &amp; FoldX: </w:t>
      </w:r>
      <w:r>
        <w:t xml:space="preserve">Computational mutagenesis and free energy calculations for mutation stability impact</w:t>
      </w:r>
    </w:p>
    <w:p>
      <w:pPr>
        <w:pStyle w:val="ListParagraph"/>
        <w:numPr>
          <w:ilvl w:val="0"/>
          <w:numId w:val="2"/>
        </w:numPr>
        <w:spacing w:after="100" w:line="360"/>
      </w:pPr>
      <w:r>
        <w:rPr>
          <w:b/>
          <w:bCs/>
        </w:rPr>
        <w:t xml:space="preserve">GROMACS &amp; NAMD: </w:t>
      </w:r>
      <w:r>
        <w:t xml:space="preserve">Molecular dynamics simulations of channel conformation stability under partial knockdown conditions</w:t>
      </w:r>
    </w:p>
    <w:p>
      <w:pPr>
        <w:pStyle w:val="ListParagraph"/>
        <w:numPr>
          <w:ilvl w:val="0"/>
          <w:numId w:val="2"/>
        </w:numPr>
        <w:spacing w:after="100" w:line="360"/>
      </w:pPr>
      <w:r>
        <w:rPr>
          <w:b/>
          <w:bCs/>
        </w:rPr>
        <w:t xml:space="preserve">Sapphire Channel Analyzer: </w:t>
      </w:r>
      <w:r>
        <w:t xml:space="preserve">Proprietary algorithm mapping mutation locations to functional domains and modulator accessibility regions</w:t>
      </w:r>
    </w:p>
    <w:p>
      <w:pPr>
        <w:spacing w:after="120"/>
      </w:pPr>
      <w:r>
        <w:rPr>
          <w:b/>
          <w:bCs/>
        </w:rPr>
        <w:t xml:space="preserve">Exemplary Sub-Prompts:</w:t>
      </w:r>
    </w:p>
    <w:p>
      <w:pPr>
        <w:pStyle w:val="ListParagraph"/>
        <w:numPr>
          <w:ilvl w:val="0"/>
          <w:numId w:val="2"/>
        </w:numPr>
        <w:spacing w:after="100" w:line="360"/>
      </w:pPr>
      <w:r>
        <w:t xml:space="preserve">How does each target SCN2A mutation affect the stability of the voltage sensor domain and fast inactivation gate?</w:t>
      </w:r>
    </w:p>
    <w:p>
      <w:pPr>
        <w:pStyle w:val="ListParagraph"/>
        <w:numPr>
          <w:ilvl w:val="0"/>
          <w:numId w:val="2"/>
        </w:numPr>
        <w:spacing w:after="100" w:line="360"/>
      </w:pPr>
      <w:r>
        <w:t xml:space="preserve">What structural differences between gain-of-function and loss-of-function mutations explain differential modulator binding affinities?</w:t>
      </w:r>
    </w:p>
    <w:p>
      <w:pPr>
        <w:pStyle w:val="ListParagraph"/>
        <w:numPr>
          <w:ilvl w:val="0"/>
          <w:numId w:val="2"/>
        </w:numPr>
        <w:spacing w:after="100" w:line="360"/>
      </w:pPr>
      <w:r>
        <w:t xml:space="preserve">Identify the most druggable pockets on the mutant SCN2A surface for selective modulator design targeting specific conformations.</w:t>
      </w:r>
    </w:p>
    <w:p>
      <w:pPr>
        <w:pStyle w:val="ListParagraph"/>
        <w:numPr>
          <w:ilvl w:val="0"/>
          <w:numId w:val="2"/>
        </w:numPr>
        <w:spacing w:after="100" w:line="360"/>
      </w:pPr>
      <w:r>
        <w:t xml:space="preserve">Do mutations cluster in structural domains that predispose to coupled changes in single-channel kinetics?</w:t>
      </w:r>
    </w:p>
    <w:p>
      <w:pPr>
        <w:pStyle w:val="ListParagraph"/>
        <w:numPr>
          <w:ilvl w:val="0"/>
          <w:numId w:val="2"/>
        </w:numPr>
        <w:spacing w:after="100" w:line="360"/>
      </w:pPr>
      <w:r>
        <w:t xml:space="preserve">What structural features of novel modulators enable selectivity for mutant versus wild-type channels?</w:t>
      </w:r>
    </w:p>
    <w:p>
      <w:pPr>
        <w:spacing w:after="120"/>
      </w:pPr>
      <w:r>
        <w:rPr>
          <w:b/>
          <w:bCs/>
        </w:rPr>
        <w:t xml:space="preserve">Expected Outputs:</w:t>
      </w:r>
    </w:p>
    <w:p>
      <w:pPr>
        <w:pStyle w:val="ListParagraph"/>
        <w:numPr>
          <w:ilvl w:val="0"/>
          <w:numId w:val="2"/>
        </w:numPr>
        <w:spacing w:after="100" w:line="360"/>
      </w:pPr>
      <w:r>
        <w:t xml:space="preserve">High-resolution 3D structural models (PDB format) of wild-type and mutant SCN2A with annotations of key functional domains</w:t>
      </w:r>
    </w:p>
    <w:p>
      <w:pPr>
        <w:pStyle w:val="ListParagraph"/>
        <w:numPr>
          <w:ilvl w:val="0"/>
          <w:numId w:val="2"/>
        </w:numPr>
        <w:spacing w:after="100" w:line="360"/>
      </w:pPr>
      <w:r>
        <w:t xml:space="preserve">Stability predictions: relative free energy changes (Delta-Delta-G) for each mutation assessed by FoldX and Rosetta</w:t>
      </w:r>
    </w:p>
    <w:p>
      <w:pPr>
        <w:pStyle w:val="ListParagraph"/>
        <w:numPr>
          <w:ilvl w:val="0"/>
          <w:numId w:val="2"/>
        </w:numPr>
        <w:spacing w:after="100" w:line="360"/>
      </w:pPr>
      <w:r>
        <w:t xml:space="preserve">Molecular dynamics trajectories showing channel behavior over 100-200 ns timescales under partial knockdown scenarios</w:t>
      </w:r>
    </w:p>
    <w:p>
      <w:pPr>
        <w:pStyle w:val="ListParagraph"/>
        <w:numPr>
          <w:ilvl w:val="0"/>
          <w:numId w:val="2"/>
        </w:numPr>
        <w:spacing w:after="100" w:line="360"/>
      </w:pPr>
      <w:r>
        <w:t xml:space="preserve">Modulator binding pocket maps with quantified accessibility scores and predicted IC50 ranges for candidate compounds</w:t>
      </w:r>
    </w:p>
    <w:p>
      <w:pPr>
        <w:pStyle w:val="ListParagraph"/>
        <w:numPr>
          <w:ilvl w:val="0"/>
          <w:numId w:val="2"/>
        </w:numPr>
        <w:spacing w:after="100" w:line="360"/>
      </w:pPr>
      <w:r>
        <w:t xml:space="preserve">Domain-specific stress analysis showing regions most affected by mutations and knockdown conditions</w:t>
      </w:r>
    </w:p>
    <w:p>
      <w:pPr>
        <w:pStyle w:val="ListParagraph"/>
        <w:numPr>
          <w:ilvl w:val="0"/>
          <w:numId w:val="2"/>
        </w:numPr>
        <w:spacing w:after="100" w:line="360"/>
      </w:pPr>
      <w:r>
        <w:t xml:space="preserve">Structural basis hypotheses for loss-of-trafficking, altered gating, and modulator sensitivity phenotypes</w:t>
      </w:r>
    </w:p>
    <w:p>
      <w:pPr>
        <w:spacing w:after="200" w:line="360"/>
      </w:pPr>
      <w:r>
        <w:rPr>
          <w:b/>
          <w:bCs/>
        </w:rPr>
        <w:t xml:space="preserve">Format: </w:t>
      </w:r>
      <w:r>
        <w:t xml:space="preserve">PDB coordinate files, molecular dynamics trajectories, stability prediction tables, binding pocket visualizations, and structural feature reports.</w:t>
      </w:r>
    </w:p>
    <w:p>
      <w:pPr>
        <w:pStyle w:val="Heading2"/>
      </w:pPr>
      <w:r>
        <w:t xml:space="preserve">Stage 3: Kinetic Simulation &amp; Electrophysiology Modeling</w:t>
      </w:r>
    </w:p>
    <w:p>
      <w:pPr>
        <w:spacing w:after="200" w:line="360"/>
      </w:pPr>
      <w:r>
        <w:rPr>
          <w:b/>
          <w:bCs/>
        </w:rPr>
        <w:t xml:space="preserve">Purpose: </w:t>
      </w:r>
      <w:r>
        <w:t xml:space="preserve">Simulate single-channel and whole-cell electrophysiology incorporating mutation-specific gating kinetics and modulator binding dynamics to predict functional effects of partial knockdown combined with pharmacological modulation.</w:t>
      </w:r>
    </w:p>
    <w:p>
      <w:pPr>
        <w:spacing w:after="120"/>
      </w:pPr>
      <w:r>
        <w:rPr>
          <w:b/>
          <w:bCs/>
        </w:rPr>
        <w:t xml:space="preserve">Inputs:</w:t>
      </w:r>
    </w:p>
    <w:p>
      <w:pPr>
        <w:pStyle w:val="ListParagraph"/>
        <w:numPr>
          <w:ilvl w:val="0"/>
          <w:numId w:val="2"/>
        </w:numPr>
        <w:spacing w:after="100" w:line="360"/>
      </w:pPr>
      <w:r>
        <w:t xml:space="preserve">Experimentally measured or literature-derived gating parameters: activation, inactivation, recovery kinetics for wild-type and mutant channels</w:t>
      </w:r>
    </w:p>
    <w:p>
      <w:pPr>
        <w:pStyle w:val="ListParagraph"/>
        <w:numPr>
          <w:ilvl w:val="0"/>
          <w:numId w:val="2"/>
        </w:numPr>
        <w:spacing w:after="100" w:line="360"/>
      </w:pPr>
      <w:r>
        <w:t xml:space="preserve">Single-channel current amplitudes and open-state duration distributions from voltage clamp electrophysiology studies</w:t>
      </w:r>
    </w:p>
    <w:p>
      <w:pPr>
        <w:pStyle w:val="ListParagraph"/>
        <w:numPr>
          <w:ilvl w:val="0"/>
          <w:numId w:val="2"/>
        </w:numPr>
        <w:spacing w:after="100" w:line="360"/>
      </w:pPr>
      <w:r>
        <w:t xml:space="preserve">Voltage-dependent modulation parameters for candidate sodium channel inhibitors (IC50, hill coefficient, voltage-dependency)</w:t>
      </w:r>
    </w:p>
    <w:p>
      <w:pPr>
        <w:pStyle w:val="ListParagraph"/>
        <w:numPr>
          <w:ilvl w:val="0"/>
          <w:numId w:val="2"/>
        </w:numPr>
        <w:spacing w:after="100" w:line="360"/>
      </w:pPr>
      <w:r>
        <w:t xml:space="preserve">Channel expression levels under different knockdown efficiencies (0%, 30%, 50%, 70% reduction scenarios)</w:t>
      </w:r>
    </w:p>
    <w:p>
      <w:pPr>
        <w:pStyle w:val="ListParagraph"/>
        <w:numPr>
          <w:ilvl w:val="0"/>
          <w:numId w:val="2"/>
        </w:numPr>
        <w:spacing w:after="100" w:line="360"/>
      </w:pPr>
      <w:r>
        <w:t xml:space="preserve">Neuronal membrane potential dynamics and synaptic input patterns characteristic of epileptogenic circuits</w:t>
      </w:r>
    </w:p>
    <w:p>
      <w:pPr>
        <w:spacing w:after="120"/>
      </w:pPr>
      <w:r>
        <w:rPr>
          <w:b/>
          <w:bCs/>
        </w:rPr>
        <w:t xml:space="preserve">Tools &amp; Databases Called:</w:t>
      </w:r>
    </w:p>
    <w:p>
      <w:pPr>
        <w:pStyle w:val="ListParagraph"/>
        <w:numPr>
          <w:ilvl w:val="0"/>
          <w:numId w:val="2"/>
        </w:numPr>
        <w:spacing w:after="100" w:line="360"/>
      </w:pPr>
      <w:r>
        <w:rPr>
          <w:b/>
          <w:bCs/>
        </w:rPr>
        <w:t xml:space="preserve">VClamp Simulator &amp; NEURON: </w:t>
      </w:r>
      <w:r>
        <w:t xml:space="preserve">Biophysically detailed voltage clamp protocol simulation and neuronal compartment modeling</w:t>
      </w:r>
    </w:p>
    <w:p>
      <w:pPr>
        <w:pStyle w:val="ListParagraph"/>
        <w:numPr>
          <w:ilvl w:val="0"/>
          <w:numId w:val="2"/>
        </w:numPr>
        <w:spacing w:after="100" w:line="360"/>
      </w:pPr>
      <w:r>
        <w:rPr>
          <w:b/>
          <w:bCs/>
        </w:rPr>
        <w:t xml:space="preserve">Hodgkin-Huxley &amp; Markov Models: </w:t>
      </w:r>
      <w:r>
        <w:t xml:space="preserve">Computational ion channel kinetics incorporating state-dependent drug binding</w:t>
      </w:r>
    </w:p>
    <w:p>
      <w:pPr>
        <w:pStyle w:val="ListParagraph"/>
        <w:numPr>
          <w:ilvl w:val="0"/>
          <w:numId w:val="2"/>
        </w:numPr>
        <w:spacing w:after="100" w:line="360"/>
      </w:pPr>
      <w:r>
        <w:rPr>
          <w:b/>
          <w:bCs/>
        </w:rPr>
        <w:t xml:space="preserve">Sapphire Kinetic Integrator: </w:t>
      </w:r>
      <w:r>
        <w:t xml:space="preserve">Platform-specific tool combining structural predictions with empirical kinetic data to generate mutation-specific models</w:t>
      </w:r>
    </w:p>
    <w:p>
      <w:pPr>
        <w:pStyle w:val="ListParagraph"/>
        <w:numPr>
          <w:ilvl w:val="0"/>
          <w:numId w:val="2"/>
        </w:numPr>
        <w:spacing w:after="100" w:line="360"/>
      </w:pPr>
      <w:r>
        <w:rPr>
          <w:b/>
          <w:bCs/>
        </w:rPr>
        <w:t xml:space="preserve">ChEMBL &amp; PubChem: </w:t>
      </w:r>
      <w:r>
        <w:t xml:space="preserve">Sodium channel modulator pharmacophores, binding affinities, and off-target activity profiles</w:t>
      </w:r>
    </w:p>
    <w:p>
      <w:pPr>
        <w:pStyle w:val="ListParagraph"/>
        <w:numPr>
          <w:ilvl w:val="0"/>
          <w:numId w:val="2"/>
        </w:numPr>
        <w:spacing w:after="100" w:line="360"/>
      </w:pPr>
      <w:r>
        <w:rPr>
          <w:b/>
          <w:bCs/>
        </w:rPr>
        <w:t xml:space="preserve">BioRxiv &amp; PubMed: </w:t>
      </w:r>
      <w:r>
        <w:t xml:space="preserve">Preprint and published electrophysiology data for SCN2A mutants with direct patch clamp recordings</w:t>
      </w:r>
    </w:p>
    <w:p>
      <w:pPr>
        <w:pStyle w:val="ListParagraph"/>
        <w:numPr>
          <w:ilvl w:val="0"/>
          <w:numId w:val="2"/>
        </w:numPr>
        <w:spacing w:after="100" w:line="360"/>
      </w:pPr>
      <w:r>
        <w:rPr>
          <w:b/>
          <w:bCs/>
        </w:rPr>
        <w:t xml:space="preserve">Sapphire Phenotype Predictor: </w:t>
      </w:r>
      <w:r>
        <w:t xml:space="preserve">Machine learning model converting kinetic parameters to predicted seizure threshold changes</w:t>
      </w:r>
    </w:p>
    <w:p>
      <w:pPr>
        <w:spacing w:after="120"/>
      </w:pPr>
      <w:r>
        <w:rPr>
          <w:b/>
          <w:bCs/>
        </w:rPr>
        <w:t xml:space="preserve">Exemplary Sub-Prompts:</w:t>
      </w:r>
    </w:p>
    <w:p>
      <w:pPr>
        <w:pStyle w:val="ListParagraph"/>
        <w:numPr>
          <w:ilvl w:val="0"/>
          <w:numId w:val="2"/>
        </w:numPr>
        <w:spacing w:after="100" w:line="360"/>
      </w:pPr>
      <w:r>
        <w:t xml:space="preserve">What is the predicted effect of 60% SCN2A knockdown on neuronal action potential threshold and frequency in a pyramidal neuron model?</w:t>
      </w:r>
    </w:p>
    <w:p>
      <w:pPr>
        <w:pStyle w:val="ListParagraph"/>
        <w:numPr>
          <w:ilvl w:val="0"/>
          <w:numId w:val="2"/>
        </w:numPr>
        <w:spacing w:after="100" w:line="360"/>
      </w:pPr>
      <w:r>
        <w:t xml:space="preserve">How do combination treatments (knockdown plus modulator) alter whole-cell sodium current density compared to either intervention alone?</w:t>
      </w:r>
    </w:p>
    <w:p>
      <w:pPr>
        <w:pStyle w:val="ListParagraph"/>
        <w:numPr>
          <w:ilvl w:val="0"/>
          <w:numId w:val="2"/>
        </w:numPr>
        <w:spacing w:after="100" w:line="360"/>
      </w:pPr>
      <w:r>
        <w:t xml:space="preserve">For each candidate modulator, calculate voltage-dependent block at physiological membrane potentials and predict frequency-dependent effects.</w:t>
      </w:r>
    </w:p>
    <w:p>
      <w:pPr>
        <w:pStyle w:val="ListParagraph"/>
        <w:numPr>
          <w:ilvl w:val="0"/>
          <w:numId w:val="2"/>
        </w:numPr>
        <w:spacing w:after="100" w:line="360"/>
      </w:pPr>
      <w:r>
        <w:t xml:space="preserve">What recovery kinetics from inactivation are predicted under combined knockdown and modulation, and how does this affect repetitive firing?</w:t>
      </w:r>
    </w:p>
    <w:p>
      <w:pPr>
        <w:pStyle w:val="ListParagraph"/>
        <w:numPr>
          <w:ilvl w:val="0"/>
          <w:numId w:val="2"/>
        </w:numPr>
        <w:spacing w:after="100" w:line="360"/>
      </w:pPr>
      <w:r>
        <w:t xml:space="preserve">Simulate action potentials in multi-compartment models of granule cells and excitatory neurons to predict network-level excitability changes.</w:t>
      </w:r>
    </w:p>
    <w:p>
      <w:pPr>
        <w:spacing w:after="120"/>
      </w:pPr>
      <w:r>
        <w:rPr>
          <w:b/>
          <w:bCs/>
        </w:rPr>
        <w:t xml:space="preserve">Expected Outputs:</w:t>
      </w:r>
    </w:p>
    <w:p>
      <w:pPr>
        <w:pStyle w:val="ListParagraph"/>
        <w:numPr>
          <w:ilvl w:val="0"/>
          <w:numId w:val="2"/>
        </w:numPr>
        <w:spacing w:after="100" w:line="360"/>
      </w:pPr>
      <w:r>
        <w:t xml:space="preserve">Voltage-clamp simulations showing whole-cell current traces for wild-type, mutant, knockdown, and combination treatment scenarios</w:t>
      </w:r>
    </w:p>
    <w:p>
      <w:pPr>
        <w:pStyle w:val="ListParagraph"/>
        <w:numPr>
          <w:ilvl w:val="0"/>
          <w:numId w:val="2"/>
        </w:numPr>
        <w:spacing w:after="100" w:line="360"/>
      </w:pPr>
      <w:r>
        <w:t xml:space="preserve">Kinetic parameter tables: voltage-dependent activation/inactivation curves, steady-state parameters, and rate constants for all conditions</w:t>
      </w:r>
    </w:p>
    <w:p>
      <w:pPr>
        <w:pStyle w:val="ListParagraph"/>
        <w:numPr>
          <w:ilvl w:val="0"/>
          <w:numId w:val="2"/>
        </w:numPr>
        <w:spacing w:after="100" w:line="360"/>
      </w:pPr>
      <w:r>
        <w:t xml:space="preserve">Predicted action potential waveforms and excitability metrics (rheobase current, first interspike interval) for each treatment combination</w:t>
      </w:r>
    </w:p>
    <w:p>
      <w:pPr>
        <w:pStyle w:val="ListParagraph"/>
        <w:numPr>
          <w:ilvl w:val="0"/>
          <w:numId w:val="2"/>
        </w:numPr>
        <w:spacing w:after="100" w:line="360"/>
      </w:pPr>
      <w:r>
        <w:t xml:space="preserve">Frequency-response curves showing modulation effectiveness at different firing rates relevant to seizure propagation</w:t>
      </w:r>
    </w:p>
    <w:p>
      <w:pPr>
        <w:pStyle w:val="ListParagraph"/>
        <w:numPr>
          <w:ilvl w:val="0"/>
          <w:numId w:val="2"/>
        </w:numPr>
        <w:spacing w:after="100" w:line="360"/>
      </w:pPr>
      <w:r>
        <w:t xml:space="preserve">Modulator concentration-response curves with IC50 predictions for each mutation background</w:t>
      </w:r>
    </w:p>
    <w:p>
      <w:pPr>
        <w:pStyle w:val="ListParagraph"/>
        <w:numPr>
          <w:ilvl w:val="0"/>
          <w:numId w:val="2"/>
        </w:numPr>
        <w:spacing w:after="100" w:line="360"/>
      </w:pPr>
      <w:r>
        <w:t xml:space="preserve">Network excitability index incorporating modulation of sodium currents, potassium channel compensation, and synaptic drive</w:t>
      </w:r>
    </w:p>
    <w:p>
      <w:pPr>
        <w:spacing w:after="200" w:line="360"/>
      </w:pPr>
      <w:r>
        <w:rPr>
          <w:b/>
          <w:bCs/>
        </w:rPr>
        <w:t xml:space="preserve">Format: </w:t>
      </w:r>
      <w:r>
        <w:t xml:space="preserve">Simulated electrophysiology traces (SWC and DAT formats), kinetic parameter spreadsheets, concentration-response curves, and neural network activity predictions.</w:t>
      </w:r>
    </w:p>
    <w:p>
      <w:pPr>
        <w:pStyle w:val="Heading2"/>
      </w:pPr>
      <w:r>
        <w:t xml:space="preserve">Stage 4: Multi-Target Optimization &amp; Compound Design</w:t>
      </w:r>
    </w:p>
    <w:p>
      <w:pPr>
        <w:spacing w:after="200" w:line="360"/>
      </w:pPr>
      <w:r>
        <w:rPr>
          <w:b/>
          <w:bCs/>
        </w:rPr>
        <w:t xml:space="preserve">Purpose: </w:t>
      </w:r>
      <w:r>
        <w:t xml:space="preserve">Identify optimal modulator compounds or novel chemotypes that synergize specifically with SCN2A partial knockdown, balancing sodium channel selectivity, CNS penetration, and tolerated off-target binding.</w:t>
      </w:r>
    </w:p>
    <w:p>
      <w:pPr>
        <w:spacing w:after="120"/>
      </w:pPr>
      <w:r>
        <w:rPr>
          <w:b/>
          <w:bCs/>
        </w:rPr>
        <w:t xml:space="preserve">Inputs:</w:t>
      </w:r>
    </w:p>
    <w:p>
      <w:pPr>
        <w:pStyle w:val="ListParagraph"/>
        <w:numPr>
          <w:ilvl w:val="0"/>
          <w:numId w:val="2"/>
        </w:numPr>
        <w:spacing w:after="100" w:line="360"/>
      </w:pPr>
      <w:r>
        <w:t xml:space="preserve">Approved and investigational sodium channel modulators with detailed pharmacokinetic and pharmacodynamic profiles</w:t>
      </w:r>
    </w:p>
    <w:p>
      <w:pPr>
        <w:pStyle w:val="ListParagraph"/>
        <w:numPr>
          <w:ilvl w:val="0"/>
          <w:numId w:val="2"/>
        </w:numPr>
        <w:spacing w:after="100" w:line="360"/>
      </w:pPr>
      <w:r>
        <w:t xml:space="preserve">Structure-activity relationship data from chemical libraries screened against SCN2A and off-target ion channels</w:t>
      </w:r>
    </w:p>
    <w:p>
      <w:pPr>
        <w:pStyle w:val="ListParagraph"/>
        <w:numPr>
          <w:ilvl w:val="0"/>
          <w:numId w:val="2"/>
        </w:numPr>
        <w:spacing w:after="100" w:line="360"/>
      </w:pPr>
      <w:r>
        <w:t xml:space="preserve">CNS drug candidate physicochemical properties: molecular weight, lipophilicity, polar surface area, predicted blood-brain barrier penetration</w:t>
      </w:r>
    </w:p>
    <w:p>
      <w:pPr>
        <w:pStyle w:val="ListParagraph"/>
        <w:numPr>
          <w:ilvl w:val="0"/>
          <w:numId w:val="2"/>
        </w:numPr>
        <w:spacing w:after="100" w:line="360"/>
      </w:pPr>
      <w:r>
        <w:t xml:space="preserve">Projected knockdown efficiency and kinetics from CRISPR or ASO strategies at target brain regions</w:t>
      </w:r>
    </w:p>
    <w:p>
      <w:pPr>
        <w:pStyle w:val="ListParagraph"/>
        <w:numPr>
          <w:ilvl w:val="0"/>
          <w:numId w:val="2"/>
        </w:numPr>
        <w:spacing w:after="100" w:line="360"/>
      </w:pPr>
      <w:r>
        <w:t xml:space="preserve">Safety pharmacology data: cardiac, hepatic, and renal toxicity benchmarks for sodium channel modulators</w:t>
      </w:r>
    </w:p>
    <w:p>
      <w:pPr>
        <w:spacing w:after="120"/>
      </w:pPr>
      <w:r>
        <w:rPr>
          <w:b/>
          <w:bCs/>
        </w:rPr>
        <w:t xml:space="preserve">Tools &amp; Databases Called:</w:t>
      </w:r>
    </w:p>
    <w:p>
      <w:pPr>
        <w:pStyle w:val="ListParagraph"/>
        <w:numPr>
          <w:ilvl w:val="0"/>
          <w:numId w:val="2"/>
        </w:numPr>
        <w:spacing w:after="100" w:line="360"/>
      </w:pPr>
      <w:r>
        <w:rPr>
          <w:b/>
          <w:bCs/>
        </w:rPr>
        <w:t xml:space="preserve">DrugBank &amp; ChEMBL: </w:t>
      </w:r>
      <w:r>
        <w:t xml:space="preserve">Comprehensive anti-epileptic drug profiles with annotated targets and adverse event associations</w:t>
      </w:r>
    </w:p>
    <w:p>
      <w:pPr>
        <w:pStyle w:val="ListParagraph"/>
        <w:numPr>
          <w:ilvl w:val="0"/>
          <w:numId w:val="2"/>
        </w:numPr>
        <w:spacing w:after="100" w:line="360"/>
      </w:pPr>
      <w:r>
        <w:rPr>
          <w:b/>
          <w:bCs/>
        </w:rPr>
        <w:t xml:space="preserve">MOE &amp; MAESTRO: </w:t>
      </w:r>
      <w:r>
        <w:t xml:space="preserve">Molecular docking, lead optimization, and scaffold-hopping for novel modulator design</w:t>
      </w:r>
    </w:p>
    <w:p>
      <w:pPr>
        <w:pStyle w:val="ListParagraph"/>
        <w:numPr>
          <w:ilvl w:val="0"/>
          <w:numId w:val="2"/>
        </w:numPr>
        <w:spacing w:after="100" w:line="360"/>
      </w:pPr>
      <w:r>
        <w:rPr>
          <w:b/>
          <w:bCs/>
        </w:rPr>
        <w:t xml:space="preserve">Sapphire Compound Evaluator: </w:t>
      </w:r>
      <w:r>
        <w:t xml:space="preserve">Multi-objective optimization engine ranking compounds by mutation-specific efficacy, selectivity, and developability</w:t>
      </w:r>
    </w:p>
    <w:p>
      <w:pPr>
        <w:pStyle w:val="ListParagraph"/>
        <w:numPr>
          <w:ilvl w:val="0"/>
          <w:numId w:val="2"/>
        </w:numPr>
        <w:spacing w:after="100" w:line="360"/>
      </w:pPr>
      <w:r>
        <w:rPr>
          <w:b/>
          <w:bCs/>
        </w:rPr>
        <w:t xml:space="preserve">ADMET Predictor &amp; PK Sim: </w:t>
      </w:r>
      <w:r>
        <w:t xml:space="preserve">Pharmacokinetic modeling including CNS penetration, plasma protein binding, and metabolic stability</w:t>
      </w:r>
    </w:p>
    <w:p>
      <w:pPr>
        <w:pStyle w:val="ListParagraph"/>
        <w:numPr>
          <w:ilvl w:val="0"/>
          <w:numId w:val="2"/>
        </w:numPr>
        <w:spacing w:after="100" w:line="360"/>
      </w:pPr>
      <w:r>
        <w:rPr>
          <w:b/>
          <w:bCs/>
        </w:rPr>
        <w:t xml:space="preserve">eTOX &amp; REOS: </w:t>
      </w:r>
      <w:r>
        <w:t xml:space="preserve">Toxicity prediction and drug-likeness assessment flagging compounds with predicted safety liabilities</w:t>
      </w:r>
    </w:p>
    <w:p>
      <w:pPr>
        <w:pStyle w:val="ListParagraph"/>
        <w:numPr>
          <w:ilvl w:val="0"/>
          <w:numId w:val="2"/>
        </w:numPr>
        <w:spacing w:after="100" w:line="360"/>
      </w:pPr>
      <w:r>
        <w:rPr>
          <w:b/>
          <w:bCs/>
        </w:rPr>
        <w:t xml:space="preserve">SEA &amp; Similarity Ensemble: </w:t>
      </w:r>
      <w:r>
        <w:t xml:space="preserve">Broad off-target binding prediction across kinome, GPCR, and ion channel family databases</w:t>
      </w:r>
    </w:p>
    <w:p>
      <w:pPr>
        <w:spacing w:after="120"/>
      </w:pPr>
      <w:r>
        <w:rPr>
          <w:b/>
          <w:bCs/>
        </w:rPr>
        <w:t xml:space="preserve">Exemplary Sub-Prompts:</w:t>
      </w:r>
    </w:p>
    <w:p>
      <w:pPr>
        <w:pStyle w:val="ListParagraph"/>
        <w:numPr>
          <w:ilvl w:val="0"/>
          <w:numId w:val="2"/>
        </w:numPr>
        <w:spacing w:after="100" w:line="360"/>
      </w:pPr>
      <w:r>
        <w:t xml:space="preserve">Rank existing anti-epileptic drugs (phenytoin, lamotrigine, carbamazepine, levetiracetam) by predicted synergy with SCN2A knockdown.</w:t>
      </w:r>
    </w:p>
    <w:p>
      <w:pPr>
        <w:pStyle w:val="ListParagraph"/>
        <w:numPr>
          <w:ilvl w:val="0"/>
          <w:numId w:val="2"/>
        </w:numPr>
        <w:spacing w:after="100" w:line="360"/>
      </w:pPr>
      <w:r>
        <w:t xml:space="preserve">Design novel sodium channel modulator scaffolds optimized for gain-of-function SCN2A mutations with improved CNS penetration.</w:t>
      </w:r>
    </w:p>
    <w:p>
      <w:pPr>
        <w:pStyle w:val="ListParagraph"/>
        <w:numPr>
          <w:ilvl w:val="0"/>
          <w:numId w:val="2"/>
        </w:numPr>
        <w:spacing w:after="100" w:line="360"/>
      </w:pPr>
      <w:r>
        <w:t xml:space="preserve">Predict off-target binding of top candidate compounds across Nav1.1, Nav1.5, Nav1.8 and identify selectivity liabilities.</w:t>
      </w:r>
    </w:p>
    <w:p>
      <w:pPr>
        <w:pStyle w:val="ListParagraph"/>
        <w:numPr>
          <w:ilvl w:val="0"/>
          <w:numId w:val="2"/>
        </w:numPr>
        <w:spacing w:after="100" w:line="360"/>
      </w:pPr>
      <w:r>
        <w:t xml:space="preserve">Calculate optimal modulator dosing considering pharmacokinetics, in vivo knockdown kinetics, and safety thresholds.</w:t>
      </w:r>
    </w:p>
    <w:p>
      <w:pPr>
        <w:pStyle w:val="ListParagraph"/>
        <w:numPr>
          <w:ilvl w:val="0"/>
          <w:numId w:val="2"/>
        </w:numPr>
        <w:spacing w:after="100" w:line="360"/>
      </w:pPr>
      <w:r>
        <w:t xml:space="preserve">What dual-action compounds could inhibit both SCN2A sodium current and augment GABAergic inhibition?</w:t>
      </w:r>
    </w:p>
    <w:p>
      <w:pPr>
        <w:spacing w:after="120"/>
      </w:pPr>
      <w:r>
        <w:rPr>
          <w:b/>
          <w:bCs/>
        </w:rPr>
        <w:t xml:space="preserve">Expected Outputs:</w:t>
      </w:r>
    </w:p>
    <w:p>
      <w:pPr>
        <w:pStyle w:val="ListParagraph"/>
        <w:numPr>
          <w:ilvl w:val="0"/>
          <w:numId w:val="2"/>
        </w:numPr>
        <w:spacing w:after="100" w:line="360"/>
      </w:pPr>
      <w:r>
        <w:t xml:space="preserve">Ranked compound list with predicted IC50 values, CNS penetration scores, selectivity indices, and synergy ratings for each modulator</w:t>
      </w:r>
    </w:p>
    <w:p>
      <w:pPr>
        <w:pStyle w:val="ListParagraph"/>
        <w:numPr>
          <w:ilvl w:val="0"/>
          <w:numId w:val="2"/>
        </w:numPr>
        <w:spacing w:after="100" w:line="360"/>
      </w:pPr>
      <w:r>
        <w:t xml:space="preserve">Off-target interaction profiles predicting risk for cardiac arrhythmias, hepatotoxicity, and drug-drug interactions</w:t>
      </w:r>
    </w:p>
    <w:p>
      <w:pPr>
        <w:pStyle w:val="ListParagraph"/>
        <w:numPr>
          <w:ilvl w:val="0"/>
          <w:numId w:val="2"/>
        </w:numPr>
        <w:spacing w:after="100" w:line="360"/>
      </w:pPr>
      <w:r>
        <w:t xml:space="preserve">Molecular docking poses and binding energy calculations for top compounds in mutant SCN2A pocket models</w:t>
      </w:r>
    </w:p>
    <w:p>
      <w:pPr>
        <w:pStyle w:val="ListParagraph"/>
        <w:numPr>
          <w:ilvl w:val="0"/>
          <w:numId w:val="2"/>
        </w:numPr>
        <w:spacing w:after="100" w:line="360"/>
      </w:pPr>
      <w:r>
        <w:t xml:space="preserve">Pharmacokinetic simulations predicting brain exposure time-courses for optimized dosing regimens</w:t>
      </w:r>
    </w:p>
    <w:p>
      <w:pPr>
        <w:pStyle w:val="ListParagraph"/>
        <w:numPr>
          <w:ilvl w:val="0"/>
          <w:numId w:val="2"/>
        </w:numPr>
        <w:spacing w:after="100" w:line="360"/>
      </w:pPr>
      <w:r>
        <w:t xml:space="preserve">De novo modulator designs with synthetic accessibility scores and intellectual property landscape assessment</w:t>
      </w:r>
    </w:p>
    <w:p>
      <w:pPr>
        <w:pStyle w:val="ListParagraph"/>
        <w:numPr>
          <w:ilvl w:val="0"/>
          <w:numId w:val="2"/>
        </w:numPr>
        <w:spacing w:after="100" w:line="360"/>
      </w:pPr>
      <w:r>
        <w:t xml:space="preserve">Safety pharmacology predictions: cardiac action potential effects, hepatic metabolism, and renal clearance estimates</w:t>
      </w:r>
    </w:p>
    <w:p>
      <w:pPr>
        <w:spacing w:after="200" w:line="360"/>
      </w:pPr>
      <w:r>
        <w:rPr>
          <w:b/>
          <w:bCs/>
        </w:rPr>
        <w:t xml:space="preserve">Format: </w:t>
      </w:r>
      <w:r>
        <w:t xml:space="preserve">Compound ranking tables, molecular docking visualizations, pharmacokinetic profiles, and drug-likeness assessments with rationales.</w:t>
      </w:r>
    </w:p>
    <w:p>
      <w:pPr>
        <w:pStyle w:val="Heading2"/>
      </w:pPr>
      <w:r>
        <w:t xml:space="preserve">Stage 5: Network Effects Prediction &amp; Circuit-Level Modeling</w:t>
      </w:r>
    </w:p>
    <w:p>
      <w:pPr>
        <w:spacing w:after="200" w:line="360"/>
      </w:pPr>
      <w:r>
        <w:rPr>
          <w:b/>
          <w:bCs/>
        </w:rPr>
        <w:t xml:space="preserve">Purpose: </w:t>
      </w:r>
      <w:r>
        <w:t xml:space="preserve">Simulate combined partial knockdown plus modulation effects on hippocampal and cortical neural circuits to predict net changes in seizure threshold, network excitability, and long-term compensation mechanisms.</w:t>
      </w:r>
    </w:p>
    <w:p>
      <w:pPr>
        <w:spacing w:after="120"/>
      </w:pPr>
      <w:r>
        <w:rPr>
          <w:b/>
          <w:bCs/>
        </w:rPr>
        <w:t xml:space="preserve">Inputs:</w:t>
      </w:r>
    </w:p>
    <w:p>
      <w:pPr>
        <w:pStyle w:val="ListParagraph"/>
        <w:numPr>
          <w:ilvl w:val="0"/>
          <w:numId w:val="2"/>
        </w:numPr>
        <w:spacing w:after="100" w:line="360"/>
      </w:pPr>
      <w:r>
        <w:t xml:space="preserve">Multi-scale neural circuit models (integrate-and-fire, Hodgkin-Huxley, or detailed compartmental) encompassing pyramidal cells, interneurons, and diverse inhibitory subtypes</w:t>
      </w:r>
    </w:p>
    <w:p>
      <w:pPr>
        <w:pStyle w:val="ListParagraph"/>
        <w:numPr>
          <w:ilvl w:val="0"/>
          <w:numId w:val="2"/>
        </w:numPr>
        <w:spacing w:after="100" w:line="360"/>
      </w:pPr>
      <w:r>
        <w:t xml:space="preserve">Synaptic connectivity matrices inferred from connectomics data, patch-clamp recordings, and electron microscopy reconstructions</w:t>
      </w:r>
    </w:p>
    <w:p>
      <w:pPr>
        <w:pStyle w:val="ListParagraph"/>
        <w:numPr>
          <w:ilvl w:val="0"/>
          <w:numId w:val="2"/>
        </w:numPr>
        <w:spacing w:after="100" w:line="360"/>
      </w:pPr>
      <w:r>
        <w:t xml:space="preserve">Ion channel expression profiles across neuronal subtypes from single-cell transcriptomics (10x Genomics, Smart-seq) and Allen Brain Atlas</w:t>
      </w:r>
    </w:p>
    <w:p>
      <w:pPr>
        <w:pStyle w:val="ListParagraph"/>
        <w:numPr>
          <w:ilvl w:val="0"/>
          <w:numId w:val="2"/>
        </w:numPr>
        <w:spacing w:after="100" w:line="360"/>
      </w:pPr>
      <w:r>
        <w:t xml:space="preserve">Synaptic plasticity rules (STDP, homeostatic plasticity) mediating adaptation to chronic SCN2A partial knockdown</w:t>
      </w:r>
    </w:p>
    <w:p>
      <w:pPr>
        <w:pStyle w:val="ListParagraph"/>
        <w:numPr>
          <w:ilvl w:val="0"/>
          <w:numId w:val="2"/>
        </w:numPr>
        <w:spacing w:after="100" w:line="360"/>
      </w:pPr>
      <w:r>
        <w:t xml:space="preserve">Spontaneous and stimulated network activity patterns recorded from epilepsy models and patient-derived neural cultures</w:t>
      </w:r>
    </w:p>
    <w:p>
      <w:pPr>
        <w:spacing w:after="120"/>
      </w:pPr>
      <w:r>
        <w:rPr>
          <w:b/>
          <w:bCs/>
        </w:rPr>
        <w:t xml:space="preserve">Tools &amp; Databases Called:</w:t>
      </w:r>
    </w:p>
    <w:p>
      <w:pPr>
        <w:pStyle w:val="ListParagraph"/>
        <w:numPr>
          <w:ilvl w:val="0"/>
          <w:numId w:val="2"/>
        </w:numPr>
        <w:spacing w:after="100" w:line="360"/>
      </w:pPr>
      <w:r>
        <w:rPr>
          <w:b/>
          <w:bCs/>
        </w:rPr>
        <w:t xml:space="preserve">NEURON &amp; Brian2: </w:t>
      </w:r>
      <w:r>
        <w:t xml:space="preserve">Biophysically detailed spiking neural network simulations with plasticity rules and gap junctions</w:t>
      </w:r>
    </w:p>
    <w:p>
      <w:pPr>
        <w:pStyle w:val="ListParagraph"/>
        <w:numPr>
          <w:ilvl w:val="0"/>
          <w:numId w:val="2"/>
        </w:numPr>
        <w:spacing w:after="100" w:line="360"/>
      </w:pPr>
      <w:r>
        <w:rPr>
          <w:b/>
          <w:bCs/>
        </w:rPr>
        <w:t xml:space="preserve">Allen Brain Observatory: </w:t>
      </w:r>
      <w:r>
        <w:t xml:space="preserve">Electrophysiological responses of neurons to optogenetic perturbations, mapped to circuit architecture</w:t>
      </w:r>
    </w:p>
    <w:p>
      <w:pPr>
        <w:pStyle w:val="ListParagraph"/>
        <w:numPr>
          <w:ilvl w:val="0"/>
          <w:numId w:val="2"/>
        </w:numPr>
        <w:spacing w:after="100" w:line="360"/>
      </w:pPr>
      <w:r>
        <w:rPr>
          <w:b/>
          <w:bCs/>
        </w:rPr>
        <w:t xml:space="preserve">Sapphire Network Simulator: </w:t>
      </w:r>
      <w:r>
        <w:t xml:space="preserve">Circuit-scale modeling integrating mutation-specific biophysics with connectivity data and plasticity</w:t>
      </w:r>
    </w:p>
    <w:p>
      <w:pPr>
        <w:pStyle w:val="ListParagraph"/>
        <w:numPr>
          <w:ilvl w:val="0"/>
          <w:numId w:val="2"/>
        </w:numPr>
        <w:spacing w:after="100" w:line="360"/>
      </w:pPr>
      <w:r>
        <w:rPr>
          <w:b/>
          <w:bCs/>
        </w:rPr>
        <w:t xml:space="preserve">Vertex &amp; NetPyNE: </w:t>
      </w:r>
      <w:r>
        <w:t xml:space="preserve">Large-scale network construction and parallel simulation across multi-core systems</w:t>
      </w:r>
    </w:p>
    <w:p>
      <w:pPr>
        <w:pStyle w:val="ListParagraph"/>
        <w:numPr>
          <w:ilvl w:val="0"/>
          <w:numId w:val="2"/>
        </w:numPr>
        <w:spacing w:after="100" w:line="360"/>
      </w:pPr>
      <w:r>
        <w:rPr>
          <w:b/>
          <w:bCs/>
        </w:rPr>
        <w:t xml:space="preserve">SpikeInterface &amp; Elephant: </w:t>
      </w:r>
      <w:r>
        <w:t xml:space="preserve">Analysis of spike trains, burst statistics, and phase-locking to detect pro-convulsive patterns</w:t>
      </w:r>
    </w:p>
    <w:p>
      <w:pPr>
        <w:pStyle w:val="ListParagraph"/>
        <w:numPr>
          <w:ilvl w:val="0"/>
          <w:numId w:val="2"/>
        </w:numPr>
        <w:spacing w:after="100" w:line="360"/>
      </w:pPr>
      <w:r>
        <w:rPr>
          <w:b/>
          <w:bCs/>
        </w:rPr>
        <w:t xml:space="preserve">Sapphire Homeostasis Predictor: </w:t>
      </w:r>
      <w:r>
        <w:t xml:space="preserve">Machine learning module forecasting adaptive responses (ion channel remodeling, synaptic scaling) to partial knockdown</w:t>
      </w:r>
    </w:p>
    <w:p>
      <w:pPr>
        <w:spacing w:after="120"/>
      </w:pPr>
      <w:r>
        <w:rPr>
          <w:b/>
          <w:bCs/>
        </w:rPr>
        <w:t xml:space="preserve">Exemplary Sub-Prompts:</w:t>
      </w:r>
    </w:p>
    <w:p>
      <w:pPr>
        <w:pStyle w:val="ListParagraph"/>
        <w:numPr>
          <w:ilvl w:val="0"/>
          <w:numId w:val="2"/>
        </w:numPr>
        <w:spacing w:after="100" w:line="360"/>
      </w:pPr>
      <w:r>
        <w:t xml:space="preserve">Simulate hippocampal CA3 network activity under 50% SCN2A knockdown plus optimal modulator treatment, measuring synchronization and burst rates.</w:t>
      </w:r>
    </w:p>
    <w:p>
      <w:pPr>
        <w:pStyle w:val="ListParagraph"/>
        <w:numPr>
          <w:ilvl w:val="0"/>
          <w:numId w:val="2"/>
        </w:numPr>
        <w:spacing w:after="100" w:line="360"/>
      </w:pPr>
      <w:r>
        <w:t xml:space="preserve">How do parvalbumin-positive interneurons compensate for reduced excitatory drive when SCN2A is partially knocked down?</w:t>
      </w:r>
    </w:p>
    <w:p>
      <w:pPr>
        <w:pStyle w:val="ListParagraph"/>
        <w:numPr>
          <w:ilvl w:val="0"/>
          <w:numId w:val="2"/>
        </w:numPr>
        <w:spacing w:after="100" w:line="360"/>
      </w:pPr>
      <w:r>
        <w:t xml:space="preserve">Predict changes in network oscillation frequencies (theta, gamma) under treatment and their correlation with seizure vulnerability.</w:t>
      </w:r>
    </w:p>
    <w:p>
      <w:pPr>
        <w:pStyle w:val="ListParagraph"/>
        <w:numPr>
          <w:ilvl w:val="0"/>
          <w:numId w:val="2"/>
        </w:numPr>
        <w:spacing w:after="100" w:line="360"/>
      </w:pPr>
      <w:r>
        <w:t xml:space="preserve">What long-term synaptic changes (LTP/LTD balance, inhibitory synaptic scaling) occur over days under combined partial knockdown plus modulation?</w:t>
      </w:r>
    </w:p>
    <w:p>
      <w:pPr>
        <w:pStyle w:val="ListParagraph"/>
        <w:numPr>
          <w:ilvl w:val="0"/>
          <w:numId w:val="2"/>
        </w:numPr>
        <w:spacing w:after="100" w:line="360"/>
      </w:pPr>
      <w:r>
        <w:t xml:space="preserve">Test circuit robustness by simulating network responses to random neuromodulatory input fluctuations and noise.</w:t>
      </w:r>
    </w:p>
    <w:p>
      <w:pPr>
        <w:spacing w:after="120"/>
      </w:pPr>
      <w:r>
        <w:rPr>
          <w:b/>
          <w:bCs/>
        </w:rPr>
        <w:t xml:space="preserve">Expected Outputs:</w:t>
      </w:r>
    </w:p>
    <w:p>
      <w:pPr>
        <w:pStyle w:val="ListParagraph"/>
        <w:numPr>
          <w:ilvl w:val="0"/>
          <w:numId w:val="2"/>
        </w:numPr>
        <w:spacing w:after="100" w:line="360"/>
      </w:pPr>
      <w:r>
        <w:t xml:space="preserve">Simulated multi-neuron activity raster plots and local field potential recordings showing synchronized burst suppression or seizure-like discharge patterns</w:t>
      </w:r>
    </w:p>
    <w:p>
      <w:pPr>
        <w:pStyle w:val="ListParagraph"/>
        <w:numPr>
          <w:ilvl w:val="0"/>
          <w:numId w:val="2"/>
        </w:numPr>
        <w:spacing w:after="100" w:line="360"/>
      </w:pPr>
      <w:r>
        <w:t xml:space="preserve">Network excitability metrics: seizure probability scores, synchronization indices, and spectral power in disease-relevant frequency bands</w:t>
      </w:r>
    </w:p>
    <w:p>
      <w:pPr>
        <w:pStyle w:val="ListParagraph"/>
        <w:numPr>
          <w:ilvl w:val="0"/>
          <w:numId w:val="2"/>
        </w:numPr>
        <w:spacing w:after="100" w:line="360"/>
      </w:pPr>
      <w:r>
        <w:t xml:space="preserve">Cellular compensation predictions: predicted expression changes in Nav1.1, KV4.3, and other homeostatic targets in response to SCN2A knockdown</w:t>
      </w:r>
    </w:p>
    <w:p>
      <w:pPr>
        <w:pStyle w:val="ListParagraph"/>
        <w:numPr>
          <w:ilvl w:val="0"/>
          <w:numId w:val="2"/>
        </w:numPr>
        <w:spacing w:after="100" w:line="360"/>
      </w:pPr>
      <w:r>
        <w:t xml:space="preserve">Dose-response curves at network level showing seizure suppression as function of knockdown efficiency and modulator concentration</w:t>
      </w:r>
    </w:p>
    <w:p>
      <w:pPr>
        <w:pStyle w:val="ListParagraph"/>
        <w:numPr>
          <w:ilvl w:val="0"/>
          <w:numId w:val="2"/>
        </w:numPr>
        <w:spacing w:after="100" w:line="360"/>
      </w:pPr>
      <w:r>
        <w:t xml:space="preserve">Plasticity trajectories: predicted evolution of synaptic weights and intrinsic properties over treatment course</w:t>
      </w:r>
    </w:p>
    <w:p>
      <w:pPr>
        <w:pStyle w:val="ListParagraph"/>
        <w:numPr>
          <w:ilvl w:val="0"/>
          <w:numId w:val="2"/>
        </w:numPr>
        <w:spacing w:after="100" w:line="360"/>
      </w:pPr>
      <w:r>
        <w:t xml:space="preserve">Critical circuit nodes identified as leverage points for maximum seizure suppression with minimal off-target effects</w:t>
      </w:r>
    </w:p>
    <w:p>
      <w:pPr>
        <w:spacing w:after="200" w:line="360"/>
      </w:pPr>
      <w:r>
        <w:rPr>
          <w:b/>
          <w:bCs/>
        </w:rPr>
        <w:t xml:space="preserve">Format: </w:t>
      </w:r>
      <w:r>
        <w:t xml:space="preserve">Network activity simulations (Neuron format), burst statistics tables, frequency analysis plots, homeostatic prediction models, and network topology visualizations.</w:t>
      </w:r>
    </w:p>
    <w:p>
      <w:pPr>
        <w:pStyle w:val="Heading2"/>
      </w:pPr>
      <w:r>
        <w:t xml:space="preserve">Stage 6: Therapeutic Validation &amp; Disease Model Predictions</w:t>
      </w:r>
    </w:p>
    <w:p>
      <w:pPr>
        <w:spacing w:after="200" w:line="360"/>
      </w:pPr>
      <w:r>
        <w:rPr>
          <w:b/>
          <w:bCs/>
        </w:rPr>
        <w:t xml:space="preserve">Purpose: </w:t>
      </w:r>
      <w:r>
        <w:t xml:space="preserve">Integrate all preceding computational outputs into predictions of therapeutic efficacy in experimental disease models (iPSC-derived neurons, mouse models, zebrafish larvae) and translate to human clinical trial design principles.</w:t>
      </w:r>
    </w:p>
    <w:p>
      <w:pPr>
        <w:spacing w:after="120"/>
      </w:pPr>
      <w:r>
        <w:rPr>
          <w:b/>
          <w:bCs/>
        </w:rPr>
        <w:t xml:space="preserve">Inputs:</w:t>
      </w:r>
    </w:p>
    <w:p>
      <w:pPr>
        <w:pStyle w:val="ListParagraph"/>
        <w:numPr>
          <w:ilvl w:val="0"/>
          <w:numId w:val="2"/>
        </w:numPr>
        <w:spacing w:after="100" w:line="360"/>
      </w:pPr>
      <w:r>
        <w:t xml:space="preserve">Experimental protocols for SCN2A knockdown validation: lentiviral shRNA, CRISPR/Cas9, CRISPR/dCas9 activation or repression screens</w:t>
      </w:r>
    </w:p>
    <w:p>
      <w:pPr>
        <w:pStyle w:val="ListParagraph"/>
        <w:numPr>
          <w:ilvl w:val="0"/>
          <w:numId w:val="2"/>
        </w:numPr>
        <w:spacing w:after="100" w:line="360"/>
      </w:pPr>
      <w:r>
        <w:t xml:space="preserve">iPSC differentiation protocols for generating SCN2A-mutant excitatory and inhibitory neurons with electrophysiology and imaging endpoints</w:t>
      </w:r>
    </w:p>
    <w:p>
      <w:pPr>
        <w:pStyle w:val="ListParagraph"/>
        <w:numPr>
          <w:ilvl w:val="0"/>
          <w:numId w:val="2"/>
        </w:numPr>
        <w:spacing w:after="100" w:line="360"/>
      </w:pPr>
      <w:r>
        <w:t xml:space="preserve">Mouse model pathophysiology data: Scn2a transgenic and knockout animals with seizure thresholds, EEG recordings, and histology</w:t>
      </w:r>
    </w:p>
    <w:p>
      <w:pPr>
        <w:pStyle w:val="ListParagraph"/>
        <w:numPr>
          <w:ilvl w:val="0"/>
          <w:numId w:val="2"/>
        </w:numPr>
        <w:spacing w:after="100" w:line="360"/>
      </w:pPr>
      <w:r>
        <w:t xml:space="preserve">Zebrafish and C. elegans genetic screens identifying modifiers of SCN2A function and compound screening platforms</w:t>
      </w:r>
    </w:p>
    <w:p>
      <w:pPr>
        <w:pStyle w:val="ListParagraph"/>
        <w:numPr>
          <w:ilvl w:val="0"/>
          <w:numId w:val="2"/>
        </w:numPr>
        <w:spacing w:after="100" w:line="360"/>
      </w:pPr>
      <w:r>
        <w:t xml:space="preserve">Clinical cohort phenotype data: EEG patterns, seizure frequency, developmental outcomes, and biomarker changes in SCN2A patients</w:t>
      </w:r>
    </w:p>
    <w:p>
      <w:pPr>
        <w:spacing w:after="120"/>
      </w:pPr>
      <w:r>
        <w:rPr>
          <w:b/>
          <w:bCs/>
        </w:rPr>
        <w:t xml:space="preserve">Tools &amp; Databases Called:</w:t>
      </w:r>
    </w:p>
    <w:p>
      <w:pPr>
        <w:pStyle w:val="ListParagraph"/>
        <w:numPr>
          <w:ilvl w:val="0"/>
          <w:numId w:val="2"/>
        </w:numPr>
        <w:spacing w:after="100" w:line="360"/>
      </w:pPr>
      <w:r>
        <w:rPr>
          <w:b/>
          <w:bCs/>
        </w:rPr>
        <w:t xml:space="preserve">IMPC &amp; MGI: </w:t>
      </w:r>
      <w:r>
        <w:t xml:space="preserve">Mouse Genome Informatics and International Mouse Phenotyping Consortium databases with knockout phenotypes</w:t>
      </w:r>
    </w:p>
    <w:p>
      <w:pPr>
        <w:pStyle w:val="ListParagraph"/>
        <w:numPr>
          <w:ilvl w:val="0"/>
          <w:numId w:val="2"/>
        </w:numPr>
        <w:spacing w:after="100" w:line="360"/>
      </w:pPr>
      <w:r>
        <w:rPr>
          <w:b/>
          <w:bCs/>
        </w:rPr>
        <w:t xml:space="preserve">Zebrafish Model Organism Database: </w:t>
      </w:r>
      <w:r>
        <w:t xml:space="preserve">ZFIN resource for genetic backgrounds, behavioral assays, and chemical screening phenotypes</w:t>
      </w:r>
    </w:p>
    <w:p>
      <w:pPr>
        <w:pStyle w:val="ListParagraph"/>
        <w:numPr>
          <w:ilvl w:val="0"/>
          <w:numId w:val="2"/>
        </w:numPr>
        <w:spacing w:after="100" w:line="360"/>
      </w:pPr>
      <w:r>
        <w:rPr>
          <w:b/>
          <w:bCs/>
        </w:rPr>
        <w:t xml:space="preserve">Sapphire Disease Model Translator: </w:t>
      </w:r>
      <w:r>
        <w:t xml:space="preserve">Algorithm scaling computational predictions from neurons to circuit to whole-animal phenotypes</w:t>
      </w:r>
    </w:p>
    <w:p>
      <w:pPr>
        <w:pStyle w:val="ListParagraph"/>
        <w:numPr>
          <w:ilvl w:val="0"/>
          <w:numId w:val="2"/>
        </w:numPr>
        <w:spacing w:after="100" w:line="360"/>
      </w:pPr>
      <w:r>
        <w:rPr>
          <w:b/>
          <w:bCs/>
        </w:rPr>
        <w:t xml:space="preserve">PK/PD Modeling Suite: </w:t>
      </w:r>
      <w:r>
        <w:t xml:space="preserve">Physiologically-based pharmacokinetic and pharmacodynamic modeling linking drug exposure to efficacy and safety endpoints</w:t>
      </w:r>
    </w:p>
    <w:p>
      <w:pPr>
        <w:pStyle w:val="ListParagraph"/>
        <w:numPr>
          <w:ilvl w:val="0"/>
          <w:numId w:val="2"/>
        </w:numPr>
        <w:spacing w:after="100" w:line="360"/>
      </w:pPr>
      <w:r>
        <w:rPr>
          <w:b/>
          <w:bCs/>
        </w:rPr>
        <w:t xml:space="preserve">ClinicalTrials.gov &amp; Cochrane: </w:t>
      </w:r>
      <w:r>
        <w:t xml:space="preserve">Registry of epilepsy trial designs, patient cohort characteristics, and efficacy benchmarks for approved therapeutics</w:t>
      </w:r>
    </w:p>
    <w:p>
      <w:pPr>
        <w:pStyle w:val="ListParagraph"/>
        <w:numPr>
          <w:ilvl w:val="0"/>
          <w:numId w:val="2"/>
        </w:numPr>
        <w:spacing w:after="100" w:line="360"/>
      </w:pPr>
      <w:r>
        <w:rPr>
          <w:b/>
          <w:bCs/>
        </w:rPr>
        <w:t xml:space="preserve">Sapphire Clinical Validator: </w:t>
      </w:r>
      <w:r>
        <w:t xml:space="preserve">Bayesian meta-analysis module predicting human efficacy distributions based on preclinical data and trial history</w:t>
      </w:r>
    </w:p>
    <w:p>
      <w:pPr>
        <w:spacing w:after="120"/>
      </w:pPr>
      <w:r>
        <w:rPr>
          <w:b/>
          <w:bCs/>
        </w:rPr>
        <w:t xml:space="preserve">Exemplary Sub-Prompts:</w:t>
      </w:r>
    </w:p>
    <w:p>
      <w:pPr>
        <w:pStyle w:val="ListParagraph"/>
        <w:numPr>
          <w:ilvl w:val="0"/>
          <w:numId w:val="2"/>
        </w:numPr>
        <w:spacing w:after="100" w:line="360"/>
      </w:pPr>
      <w:r>
        <w:t xml:space="preserve">Design iPSC experiments comparing wild-type, SCN2A-mutant, partial knockdown, and combination treatment conditions with multi-electrode array recordings.</w:t>
      </w:r>
    </w:p>
    <w:p>
      <w:pPr>
        <w:pStyle w:val="ListParagraph"/>
        <w:numPr>
          <w:ilvl w:val="0"/>
          <w:numId w:val="2"/>
        </w:numPr>
        <w:spacing w:after="100" w:line="360"/>
      </w:pPr>
      <w:r>
        <w:t xml:space="preserve">Predict seizure frequency reduction in Scn2a knockout mice treated with optimized knockdown vector plus modulator dosing regimen.</w:t>
      </w:r>
    </w:p>
    <w:p>
      <w:pPr>
        <w:pStyle w:val="ListParagraph"/>
        <w:numPr>
          <w:ilvl w:val="0"/>
          <w:numId w:val="2"/>
        </w:numPr>
        <w:spacing w:after="100" w:line="360"/>
      </w:pPr>
      <w:r>
        <w:t xml:space="preserve">What behavioral improvements (mortality, motor coordination, cognitive function) are predicted in transgenic SCN2A models under combined treatment?</w:t>
      </w:r>
    </w:p>
    <w:p>
      <w:pPr>
        <w:pStyle w:val="ListParagraph"/>
        <w:numPr>
          <w:ilvl w:val="0"/>
          <w:numId w:val="2"/>
        </w:numPr>
        <w:spacing w:after="100" w:line="360"/>
      </w:pPr>
      <w:r>
        <w:t xml:space="preserve">Design Phase 1/2a trial strategy for partial knockdown plus modulator therapy including efficacy endpoints, biomarkers, and tolerability thresholds.</w:t>
      </w:r>
    </w:p>
    <w:p>
      <w:pPr>
        <w:pStyle w:val="ListParagraph"/>
        <w:numPr>
          <w:ilvl w:val="0"/>
          <w:numId w:val="2"/>
        </w:numPr>
        <w:spacing w:after="100" w:line="360"/>
      </w:pPr>
      <w:r>
        <w:t xml:space="preserve">Identify patient subgroups (by mutation type, baseline EEG phenotype) predicted to show maximal benefit from combination strategy.</w:t>
      </w:r>
    </w:p>
    <w:p>
      <w:pPr>
        <w:spacing w:after="120"/>
      </w:pPr>
      <w:r>
        <w:rPr>
          <w:b/>
          <w:bCs/>
        </w:rPr>
        <w:t xml:space="preserve">Expected Outputs:</w:t>
      </w:r>
    </w:p>
    <w:p>
      <w:pPr>
        <w:pStyle w:val="ListParagraph"/>
        <w:numPr>
          <w:ilvl w:val="0"/>
          <w:numId w:val="2"/>
        </w:numPr>
        <w:spacing w:after="100" w:line="360"/>
      </w:pPr>
      <w:r>
        <w:t xml:space="preserve">Predicted iPSC-derived neuron phenotypes: burst frequency, network synchronization, calcium imaging responses under treatments</w:t>
      </w:r>
    </w:p>
    <w:p>
      <w:pPr>
        <w:pStyle w:val="ListParagraph"/>
        <w:numPr>
          <w:ilvl w:val="0"/>
          <w:numId w:val="2"/>
        </w:numPr>
        <w:spacing w:after="100" w:line="360"/>
      </w:pPr>
      <w:r>
        <w:t xml:space="preserve">Quantitative predictions of in vivo mouse model responses: percentage seizure reduction, EEG spectral changes, survival improvement</w:t>
      </w:r>
    </w:p>
    <w:p>
      <w:pPr>
        <w:pStyle w:val="ListParagraph"/>
        <w:numPr>
          <w:ilvl w:val="0"/>
          <w:numId w:val="2"/>
        </w:numPr>
        <w:spacing w:after="100" w:line="360"/>
      </w:pPr>
      <w:r>
        <w:t xml:space="preserve">Behavioral and cognitive predictions: motor function improvements, learning capacity restoration, anxiety level changes</w:t>
      </w:r>
    </w:p>
    <w:p>
      <w:pPr>
        <w:pStyle w:val="ListParagraph"/>
        <w:numPr>
          <w:ilvl w:val="0"/>
          <w:numId w:val="2"/>
        </w:numPr>
        <w:spacing w:after="100" w:line="360"/>
      </w:pPr>
      <w:r>
        <w:t xml:space="preserve">Projected human efficacy distributions from meta-analysis of preclinical data with confidence intervals and sensitivity analyses</w:t>
      </w:r>
    </w:p>
    <w:p>
      <w:pPr>
        <w:pStyle w:val="ListParagraph"/>
        <w:numPr>
          <w:ilvl w:val="0"/>
          <w:numId w:val="2"/>
        </w:numPr>
        <w:spacing w:after="100" w:line="360"/>
      </w:pPr>
      <w:r>
        <w:t xml:space="preserve">Clinical trial design recommendations: primary/secondary endpoints, patient stratification criteria, dosing, and safety monitoring</w:t>
      </w:r>
    </w:p>
    <w:p>
      <w:pPr>
        <w:pStyle w:val="ListParagraph"/>
        <w:numPr>
          <w:ilvl w:val="0"/>
          <w:numId w:val="2"/>
        </w:numPr>
        <w:spacing w:after="100" w:line="360"/>
      </w:pPr>
      <w:r>
        <w:t xml:space="preserve">Biomarker predictions: serum/CSF protein changes, EEG patterns, and imaging findings correlated with treatment response</w:t>
      </w:r>
    </w:p>
    <w:p>
      <w:pPr>
        <w:spacing w:after="200" w:line="360"/>
      </w:pPr>
      <w:r>
        <w:rPr>
          <w:b/>
          <w:bCs/>
        </w:rPr>
        <w:t xml:space="preserve">Format: </w:t>
      </w:r>
      <w:r>
        <w:t xml:space="preserve">Experimental protocol designs, predicted phenotype tables, PK/PD models, trial design templates, and efficacy meta-analyses.</w:t>
      </w:r>
    </w:p>
    <w:p>
      <w:pPr>
        <w:pStyle w:val="Heading2"/>
      </w:pPr>
      <w:r>
        <w:t xml:space="preserve">Tools &amp; Databases Summary</w:t>
      </w:r>
    </w:p>
    <w:p>
      <w:pPr>
        <w:pStyle w:val="ListParagraph"/>
        <w:numPr>
          <w:ilvl w:val="0"/>
          <w:numId w:val="2"/>
        </w:numPr>
        <w:spacing w:after="100" w:line="360"/>
      </w:pPr>
      <w:r>
        <w:t xml:space="preserve">ClinVar: Aggregated variant pathogenicity classifications, allele frequencies, and phenotype associations for SCN2A mutations</w:t>
      </w:r>
    </w:p>
    <w:p>
      <w:pPr>
        <w:pStyle w:val="ListParagraph"/>
        <w:numPr>
          <w:ilvl w:val="0"/>
          <w:numId w:val="2"/>
        </w:numPr>
        <w:spacing w:after="100" w:line="360"/>
      </w:pPr>
      <w:r>
        <w:t xml:space="preserve">HGMD Pro: Disease-causing mutation database with functional impact annotations and phenotype correlations</w:t>
      </w:r>
    </w:p>
    <w:p>
      <w:pPr>
        <w:pStyle w:val="ListParagraph"/>
        <w:numPr>
          <w:ilvl w:val="0"/>
          <w:numId w:val="2"/>
        </w:numPr>
        <w:spacing w:after="100" w:line="360"/>
      </w:pPr>
      <w:r>
        <w:t xml:space="preserve">GTEx Portal: Tissue-specific gene expression quantitative trait loci and developmental RNA-seq across human samples</w:t>
      </w:r>
    </w:p>
    <w:p>
      <w:pPr>
        <w:pStyle w:val="ListParagraph"/>
        <w:numPr>
          <w:ilvl w:val="0"/>
          <w:numId w:val="2"/>
        </w:numPr>
        <w:spacing w:after="100" w:line="360"/>
      </w:pPr>
      <w:r>
        <w:t xml:space="preserve">PDB &amp; RCSB: Protein Data Bank with crystallographic and cryo-EM structures of ion channels and templates for homology modeling</w:t>
      </w:r>
    </w:p>
    <w:p>
      <w:pPr>
        <w:pStyle w:val="ListParagraph"/>
        <w:numPr>
          <w:ilvl w:val="0"/>
          <w:numId w:val="2"/>
        </w:numPr>
        <w:spacing w:after="100" w:line="360"/>
      </w:pPr>
      <w:r>
        <w:t xml:space="preserve">AlphaFold Server: Full-length protein structure prediction with pAE confidence scoring for mutation impact assessment</w:t>
      </w:r>
    </w:p>
    <w:p>
      <w:pPr>
        <w:pStyle w:val="ListParagraph"/>
        <w:numPr>
          <w:ilvl w:val="0"/>
          <w:numId w:val="2"/>
        </w:numPr>
        <w:spacing w:after="100" w:line="360"/>
      </w:pPr>
      <w:r>
        <w:t xml:space="preserve">GROMACS &amp; NAMD: Molecular dynamics simulation engines for evaluating protein stability and conformational changes</w:t>
      </w:r>
    </w:p>
    <w:p>
      <w:pPr>
        <w:pStyle w:val="ListParagraph"/>
        <w:numPr>
          <w:ilvl w:val="0"/>
          <w:numId w:val="2"/>
        </w:numPr>
        <w:spacing w:after="100" w:line="360"/>
      </w:pPr>
      <w:r>
        <w:t xml:space="preserve">ChEMBL: Bioactivity database with pharmaceutical compounds, binding affinity data, and target annotations</w:t>
      </w:r>
    </w:p>
    <w:p>
      <w:pPr>
        <w:pStyle w:val="ListParagraph"/>
        <w:numPr>
          <w:ilvl w:val="0"/>
          <w:numId w:val="2"/>
        </w:numPr>
        <w:spacing w:after="100" w:line="360"/>
      </w:pPr>
      <w:r>
        <w:t xml:space="preserve">DrugBank: Drug database with pharmacokinetics, adverse effects, interactions, and clinical trial information</w:t>
      </w:r>
    </w:p>
    <w:p>
      <w:pPr>
        <w:pStyle w:val="ListParagraph"/>
        <w:numPr>
          <w:ilvl w:val="0"/>
          <w:numId w:val="2"/>
        </w:numPr>
        <w:spacing w:after="100" w:line="360"/>
      </w:pPr>
      <w:r>
        <w:t xml:space="preserve">NEURON &amp; Brian2: Biophysical neural network simulation software with compartmental modeling and plasticity rules</w:t>
      </w:r>
    </w:p>
    <w:p>
      <w:pPr>
        <w:pStyle w:val="ListParagraph"/>
        <w:numPr>
          <w:ilvl w:val="0"/>
          <w:numId w:val="2"/>
        </w:numPr>
        <w:spacing w:after="100" w:line="360"/>
      </w:pPr>
      <w:r>
        <w:t xml:space="preserve">Allen Brain Observatory: Neurophysiological and behavioral responses mapped to circuit connectivity and transgenic lines</w:t>
      </w:r>
    </w:p>
    <w:p>
      <w:pPr>
        <w:pStyle w:val="ListParagraph"/>
        <w:numPr>
          <w:ilvl w:val="0"/>
          <w:numId w:val="2"/>
        </w:numPr>
        <w:spacing w:after="100" w:line="360"/>
      </w:pPr>
      <w:r>
        <w:t xml:space="preserve">IMPC &amp; MGI: Mouse Genome Informatics with phenotypic characterization of knockout models and behavioral datasets</w:t>
      </w:r>
    </w:p>
    <w:p>
      <w:pPr>
        <w:pStyle w:val="ListParagraph"/>
        <w:numPr>
          <w:ilvl w:val="0"/>
          <w:numId w:val="2"/>
        </w:numPr>
        <w:spacing w:after="100" w:line="360"/>
      </w:pPr>
      <w:r>
        <w:t xml:space="preserve">Zebrafish Model Organism Database (ZFIN): Genetic backgrounds, chemical screening platforms, and behavioral assay resources</w:t>
      </w:r>
    </w:p>
    <w:p>
      <w:pPr>
        <w:pStyle w:val="ListParagraph"/>
        <w:numPr>
          <w:ilvl w:val="0"/>
          <w:numId w:val="2"/>
        </w:numPr>
        <w:spacing w:after="100" w:line="360"/>
      </w:pPr>
      <w:r>
        <w:t xml:space="preserve">ClinicalTrials.gov: Registry of human clinical trials with trial design, cohort characteristics, and outcome benchmarks</w:t>
      </w:r>
    </w:p>
    <w:p>
      <w:pPr>
        <w:pStyle w:val="ListParagraph"/>
        <w:numPr>
          <w:ilvl w:val="0"/>
          <w:numId w:val="2"/>
        </w:numPr>
        <w:spacing w:after="100" w:line="360"/>
      </w:pPr>
      <w:r>
        <w:t xml:space="preserve">Sapphire Platform: Quiver Bioscience's integrated CNS drug discovery AI engine combining all preceding tools for end-to-end pipeline automation</w:t>
      </w:r>
    </w:p>
    <w:p>
      <w:pPr>
        <w:pStyle w:val="ListParagraph"/>
        <w:numPr>
          <w:ilvl w:val="0"/>
          <w:numId w:val="2"/>
        </w:numPr>
        <w:spacing w:after="100" w:line="360"/>
      </w:pPr>
      <w:r>
        <w:t xml:space="preserve">PubMed &amp; BioRxiv: Literature corpus of published and preprint electrophysiology, genetic, and clinical studies on SCN2A epilepsy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2026-03-02T00:44:40.692Z</dcterms:created>
  <dcterms:modified xsi:type="dcterms:W3CDTF">2026-03-02T00:44:40.692Z</dcterms:modified>
</cp:coreProperties>
</file>

<file path=docProps/custom.xml><?xml version="1.0" encoding="utf-8"?>
<Properties xmlns="http://schemas.openxmlformats.org/officeDocument/2006/custom-properties" xmlns:vt="http://schemas.openxmlformats.org/officeDocument/2006/docPropsVTypes"/>
</file>