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r>
        <w:rPr>
          <w:b/>
          <w:bCs/>
        </w:rPr>
        <w:t xml:space="preserve">Prompt: </w:t>
      </w:r>
      <w:r>
        <w:t xml:space="preserve">"Identify pathway node where single intervention produces maximal downstream correction."</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Sapphire pipeline systematically identifies nodal points in disease-relevant regulatory networks where single-target intervention produces maximal cascade of downstream correction. This approach leverages network topology analysis, causal inference, and perturbational genomics to rank potential intervention sites by their centrality in correcting disease-causing dysregulation. The platform integrates protein-protein interaction networks, transcriptomic signatures from patient cohorts, and predictive signaling models to identify high-leverage nodes suitable for therapeutic targeting.</w:t>
      </w:r>
    </w:p>
    <w:p>
      <w:pPr>
        <w:spacing w:after="200" w:line="360"/>
      </w:pPr>
      <w:r>
        <w:t xml:space="preserve">Execution proceeds through network construction, causality inference, perturbation modeling, therapeutic target discovery, safety assessment, and clinical translation stages. Each stage employs graph algorithms, systems pharmacology modeling, and human genetics validation to converge on the optimal single-intervention point. Outputs include ranked pathway nodes with quantified downstream correction potential, expected molecular phenotype shifts, and clinical efficacy predictions suitable for direct experimental validation in cell lines and animal disease models.</w:t>
      </w:r>
    </w:p>
    <w:p>
      <w:pPr>
        <w:pStyle w:val="Heading2"/>
      </w:pPr>
      <w:r>
        <w:t xml:space="preserve">Stage 1: Disease Network Construction &amp; Assembly</w:t>
      </w:r>
    </w:p>
    <w:p>
      <w:pPr>
        <w:spacing w:after="200" w:line="360"/>
      </w:pPr>
      <w:r>
        <w:rPr>
          <w:b/>
          <w:bCs/>
        </w:rPr>
        <w:t xml:space="preserve">Purpose: </w:t>
      </w:r>
      <w:r>
        <w:t xml:space="preserve">Build comprehensive disease-relevant molecular networks integrating protein interactions, gene regulatory relationships, metabolic pathways, and cell type-specific context to establish the connectivity landscape for pathway node identification.</w:t>
      </w:r>
    </w:p>
    <w:p>
      <w:pPr>
        <w:spacing w:after="120"/>
      </w:pPr>
      <w:r>
        <w:rPr>
          <w:b/>
          <w:bCs/>
        </w:rPr>
        <w:t xml:space="preserve">Inputs:</w:t>
      </w:r>
    </w:p>
    <w:p>
      <w:pPr>
        <w:pStyle w:val="ListParagraph"/>
        <w:numPr>
          <w:ilvl w:val="0"/>
          <w:numId w:val="2"/>
        </w:numPr>
        <w:spacing w:after="100" w:line="360"/>
      </w:pPr>
      <w:r>
        <w:t xml:space="preserve">Human protein-protein interaction networks from BioGRID, STRING, Reactome, and InWeb incorporating confidence scores and tissue-specificity</w:t>
      </w:r>
    </w:p>
    <w:p>
      <w:pPr>
        <w:pStyle w:val="ListParagraph"/>
        <w:numPr>
          <w:ilvl w:val="0"/>
          <w:numId w:val="2"/>
        </w:numPr>
        <w:spacing w:after="100" w:line="360"/>
      </w:pPr>
      <w:r>
        <w:t xml:space="preserve">Gene regulatory networks derived from ATAC-seq, ChIP-seq, and Hi-C data mapping transcription factor binding and chromatin interactions</w:t>
      </w:r>
    </w:p>
    <w:p>
      <w:pPr>
        <w:pStyle w:val="ListParagraph"/>
        <w:numPr>
          <w:ilvl w:val="0"/>
          <w:numId w:val="2"/>
        </w:numPr>
        <w:spacing w:after="100" w:line="360"/>
      </w:pPr>
      <w:r>
        <w:t xml:space="preserve">Metabolic pathway maps from KEGG, Reactome, and BioPAX formats annotated with enzymatic steps and flux control coefficients</w:t>
      </w:r>
    </w:p>
    <w:p>
      <w:pPr>
        <w:pStyle w:val="ListParagraph"/>
        <w:numPr>
          <w:ilvl w:val="0"/>
          <w:numId w:val="2"/>
        </w:numPr>
        <w:spacing w:after="100" w:line="360"/>
      </w:pPr>
      <w:r>
        <w:t xml:space="preserve">Cell type-specific network refinement using single-cell transcriptomics from disease and healthy tissue samples</w:t>
      </w:r>
    </w:p>
    <w:p>
      <w:pPr>
        <w:pStyle w:val="ListParagraph"/>
        <w:numPr>
          <w:ilvl w:val="0"/>
          <w:numId w:val="2"/>
        </w:numPr>
        <w:spacing w:after="100" w:line="360"/>
      </w:pPr>
      <w:r>
        <w:t xml:space="preserve">Disease-associated variants, mutations, and dysregulated genes from GWAS, bulk RNA-seq, and patient-derived biosamples</w:t>
      </w:r>
    </w:p>
    <w:p>
      <w:pPr>
        <w:spacing w:after="120"/>
      </w:pPr>
      <w:r>
        <w:rPr>
          <w:b/>
          <w:bCs/>
        </w:rPr>
        <w:t xml:space="preserve">Tools &amp; Databases Called:</w:t>
      </w:r>
    </w:p>
    <w:p>
      <w:pPr>
        <w:pStyle w:val="ListParagraph"/>
        <w:numPr>
          <w:ilvl w:val="0"/>
          <w:numId w:val="2"/>
        </w:numPr>
        <w:spacing w:after="100" w:line="360"/>
      </w:pPr>
      <w:r>
        <w:rPr>
          <w:b/>
          <w:bCs/>
        </w:rPr>
        <w:t xml:space="preserve">STRING &amp; BioGRID: </w:t>
      </w:r>
      <w:r>
        <w:t xml:space="preserve">Comprehensive protein interaction databases with confidence scores and curated evidence from literature</w:t>
      </w:r>
    </w:p>
    <w:p>
      <w:pPr>
        <w:pStyle w:val="ListParagraph"/>
        <w:numPr>
          <w:ilvl w:val="0"/>
          <w:numId w:val="2"/>
        </w:numPr>
        <w:spacing w:after="100" w:line="360"/>
      </w:pPr>
      <w:r>
        <w:rPr>
          <w:b/>
          <w:bCs/>
        </w:rPr>
        <w:t xml:space="preserve">KEGG &amp; Reactome: </w:t>
      </w:r>
      <w:r>
        <w:t xml:space="preserve">Metabolic and signaling pathway databases with pathway annotations and enzyme information</w:t>
      </w:r>
    </w:p>
    <w:p>
      <w:pPr>
        <w:pStyle w:val="ListParagraph"/>
        <w:numPr>
          <w:ilvl w:val="0"/>
          <w:numId w:val="2"/>
        </w:numPr>
        <w:spacing w:after="100" w:line="360"/>
      </w:pPr>
      <w:r>
        <w:rPr>
          <w:b/>
          <w:bCs/>
        </w:rPr>
        <w:t xml:space="preserve">Sapphire Network Constructor: </w:t>
      </w:r>
      <w:r>
        <w:t xml:space="preserve">Custom algorithm integrating multi-omics data into disease-specific network models</w:t>
      </w:r>
    </w:p>
    <w:p>
      <w:pPr>
        <w:pStyle w:val="ListParagraph"/>
        <w:numPr>
          <w:ilvl w:val="0"/>
          <w:numId w:val="2"/>
        </w:numPr>
        <w:spacing w:after="100" w:line="360"/>
      </w:pPr>
      <w:r>
        <w:rPr>
          <w:b/>
          <w:bCs/>
        </w:rPr>
        <w:t xml:space="preserve">Cytoscape &amp; igraph: </w:t>
      </w:r>
      <w:r>
        <w:t xml:space="preserve">Network visualization and topology analysis tools for graph structure characterization</w:t>
      </w:r>
    </w:p>
    <w:p>
      <w:pPr>
        <w:pStyle w:val="ListParagraph"/>
        <w:numPr>
          <w:ilvl w:val="0"/>
          <w:numId w:val="2"/>
        </w:numPr>
        <w:spacing w:after="100" w:line="360"/>
      </w:pPr>
      <w:r>
        <w:rPr>
          <w:b/>
          <w:bCs/>
        </w:rPr>
        <w:t xml:space="preserve">GTEx &amp; HPA: </w:t>
      </w:r>
      <w:r>
        <w:t xml:space="preserve">Tissue and cell type-specific expression databases for network contextualization</w:t>
      </w:r>
    </w:p>
    <w:p>
      <w:pPr>
        <w:pStyle w:val="ListParagraph"/>
        <w:numPr>
          <w:ilvl w:val="0"/>
          <w:numId w:val="2"/>
        </w:numPr>
        <w:spacing w:after="100" w:line="360"/>
      </w:pPr>
      <w:r>
        <w:rPr>
          <w:b/>
          <w:bCs/>
        </w:rPr>
        <w:t xml:space="preserve">DisGeNET &amp; GWAS Catalog: </w:t>
      </w:r>
      <w:r>
        <w:t xml:space="preserve">Disease-gene association databases linking genetic variants to molecular phenotypes</w:t>
      </w:r>
    </w:p>
    <w:p>
      <w:pPr>
        <w:spacing w:after="120"/>
      </w:pPr>
      <w:r>
        <w:rPr>
          <w:b/>
          <w:bCs/>
        </w:rPr>
        <w:t xml:space="preserve">Exemplary Sub-Prompts:</w:t>
      </w:r>
    </w:p>
    <w:p>
      <w:pPr>
        <w:pStyle w:val="ListParagraph"/>
        <w:numPr>
          <w:ilvl w:val="0"/>
          <w:numId w:val="2"/>
        </w:numPr>
        <w:spacing w:after="100" w:line="360"/>
      </w:pPr>
      <w:r>
        <w:t xml:space="preserve">Construct a genome-scale interaction network for the disease of interest integrating 50,000+ protein-protein interactions with tissue-specific expression filtering.</w:t>
      </w:r>
    </w:p>
    <w:p>
      <w:pPr>
        <w:pStyle w:val="ListParagraph"/>
        <w:numPr>
          <w:ilvl w:val="0"/>
          <w:numId w:val="2"/>
        </w:numPr>
        <w:spacing w:after="100" w:line="360"/>
      </w:pPr>
      <w:r>
        <w:t xml:space="preserve">Overlay all genome-wide significant associations for this disease onto the network to identify disease-enriched subnetworks and connected components.</w:t>
      </w:r>
    </w:p>
    <w:p>
      <w:pPr>
        <w:pStyle w:val="ListParagraph"/>
        <w:numPr>
          <w:ilvl w:val="0"/>
          <w:numId w:val="2"/>
        </w:numPr>
        <w:spacing w:after="100" w:line="360"/>
      </w:pPr>
      <w:r>
        <w:t xml:space="preserve">Refine network edges using single-cell transcriptomics to identify cell type-specific interactions active in disease-affected tissues.</w:t>
      </w:r>
    </w:p>
    <w:p>
      <w:pPr>
        <w:pStyle w:val="ListParagraph"/>
        <w:numPr>
          <w:ilvl w:val="0"/>
          <w:numId w:val="2"/>
        </w:numPr>
        <w:spacing w:after="100" w:line="360"/>
      </w:pPr>
      <w:r>
        <w:t xml:space="preserve">Map known pathway structures (signaling cascades, metabolic routes) onto the full PPI network to identify conserved motifs and branches.</w:t>
      </w:r>
    </w:p>
    <w:p>
      <w:pPr>
        <w:pStyle w:val="ListParagraph"/>
        <w:numPr>
          <w:ilvl w:val="0"/>
          <w:numId w:val="2"/>
        </w:numPr>
        <w:spacing w:after="100" w:line="360"/>
      </w:pPr>
      <w:r>
        <w:t xml:space="preserve">Quantify network properties: clustering coefficients, average shortest path lengths, degree distributions, and community structure.</w:t>
      </w:r>
    </w:p>
    <w:p>
      <w:pPr>
        <w:spacing w:after="120"/>
      </w:pPr>
      <w:r>
        <w:rPr>
          <w:b/>
          <w:bCs/>
        </w:rPr>
        <w:t xml:space="preserve">Expected Outputs:</w:t>
      </w:r>
    </w:p>
    <w:p>
      <w:pPr>
        <w:pStyle w:val="ListParagraph"/>
        <w:numPr>
          <w:ilvl w:val="0"/>
          <w:numId w:val="2"/>
        </w:numPr>
        <w:spacing w:after="100" w:line="360"/>
      </w:pPr>
      <w:r>
        <w:t xml:space="preserve">Integrated disease network model in standard formats (GML, GraphML, SIF) with node and edge attributes annotated with confidence scores</w:t>
      </w:r>
    </w:p>
    <w:p>
      <w:pPr>
        <w:pStyle w:val="ListParagraph"/>
        <w:numPr>
          <w:ilvl w:val="0"/>
          <w:numId w:val="2"/>
        </w:numPr>
        <w:spacing w:after="100" w:line="360"/>
      </w:pPr>
      <w:r>
        <w:t xml:space="preserve">Network topology characterization: degree distribution, clustering coefficients, centrality measures, and community detection results</w:t>
      </w:r>
    </w:p>
    <w:p>
      <w:pPr>
        <w:pStyle w:val="ListParagraph"/>
        <w:numPr>
          <w:ilvl w:val="0"/>
          <w:numId w:val="2"/>
        </w:numPr>
        <w:spacing w:after="100" w:line="360"/>
      </w:pPr>
      <w:r>
        <w:t xml:space="preserve">Disease-subnetwork identification: connected components enriched for disease-associated genes with statistical significance scores</w:t>
      </w:r>
    </w:p>
    <w:p>
      <w:pPr>
        <w:pStyle w:val="ListParagraph"/>
        <w:numPr>
          <w:ilvl w:val="0"/>
          <w:numId w:val="2"/>
        </w:numPr>
        <w:spacing w:after="100" w:line="360"/>
      </w:pPr>
      <w:r>
        <w:t xml:space="preserve">Cell type-specific network versions showing dominant interactions in affected cell populations and tissue contexts</w:t>
      </w:r>
    </w:p>
    <w:p>
      <w:pPr>
        <w:pStyle w:val="ListParagraph"/>
        <w:numPr>
          <w:ilvl w:val="0"/>
          <w:numId w:val="2"/>
        </w:numPr>
        <w:spacing w:after="100" w:line="360"/>
      </w:pPr>
      <w:r>
        <w:t xml:space="preserve">Pathway module maps organizing network into biological processes relevant to disease pathogenesis and compensation</w:t>
      </w:r>
    </w:p>
    <w:p>
      <w:pPr>
        <w:pStyle w:val="ListParagraph"/>
        <w:numPr>
          <w:ilvl w:val="0"/>
          <w:numId w:val="2"/>
        </w:numPr>
        <w:spacing w:after="100" w:line="360"/>
      </w:pPr>
      <w:r>
        <w:t xml:space="preserve">Network quality metrics: edge confidence distribution, coverage of known pathways, and comparison to literature networks</w:t>
      </w:r>
    </w:p>
    <w:p>
      <w:pPr>
        <w:spacing w:after="200" w:line="360"/>
      </w:pPr>
      <w:r>
        <w:rPr>
          <w:b/>
          <w:bCs/>
        </w:rPr>
        <w:t xml:space="preserve">Format: </w:t>
      </w:r>
      <w:r>
        <w:t xml:space="preserve">Network files (GML/GraphML), network visualizations, topology statistics tables, and community/pathway module annotations.</w:t>
      </w:r>
    </w:p>
    <w:p>
      <w:pPr>
        <w:pStyle w:val="Heading2"/>
      </w:pPr>
      <w:r>
        <w:t xml:space="preserve">Stage 2: Causal Inference &amp; Pathway Directionality</w:t>
      </w:r>
    </w:p>
    <w:p>
      <w:pPr>
        <w:spacing w:after="200" w:line="360"/>
      </w:pPr>
      <w:r>
        <w:rPr>
          <w:b/>
          <w:bCs/>
        </w:rPr>
        <w:t xml:space="preserve">Purpose: </w:t>
      </w:r>
      <w:r>
        <w:t xml:space="preserve">Infer causal relationships among network nodes using Mendelian randomization, perturbational genomics, and mechanistic reasoning to establish directional pathway flows and identify upstream driver nodes versus downstream effectors.</w:t>
      </w:r>
    </w:p>
    <w:p>
      <w:pPr>
        <w:spacing w:after="120"/>
      </w:pPr>
      <w:r>
        <w:rPr>
          <w:b/>
          <w:bCs/>
        </w:rPr>
        <w:t xml:space="preserve">Inputs:</w:t>
      </w:r>
    </w:p>
    <w:p>
      <w:pPr>
        <w:pStyle w:val="ListParagraph"/>
        <w:numPr>
          <w:ilvl w:val="0"/>
          <w:numId w:val="2"/>
        </w:numPr>
        <w:spacing w:after="100" w:line="360"/>
      </w:pPr>
      <w:r>
        <w:t xml:space="preserve">GWAS summary statistics and linkage disequilibrium data for Mendelian randomization inverse variance weighting</w:t>
      </w:r>
    </w:p>
    <w:p>
      <w:pPr>
        <w:pStyle w:val="ListParagraph"/>
        <w:numPr>
          <w:ilvl w:val="0"/>
          <w:numId w:val="2"/>
        </w:numPr>
        <w:spacing w:after="100" w:line="360"/>
      </w:pPr>
      <w:r>
        <w:t xml:space="preserve">eQTL and pQTL databases mapping genetic instruments to gene and protein expression changes</w:t>
      </w:r>
    </w:p>
    <w:p>
      <w:pPr>
        <w:pStyle w:val="ListParagraph"/>
        <w:numPr>
          <w:ilvl w:val="0"/>
          <w:numId w:val="2"/>
        </w:numPr>
        <w:spacing w:after="100" w:line="360"/>
      </w:pPr>
      <w:r>
        <w:t xml:space="preserve">CRISPR/RNAi perturbation datasets with transcriptomics readouts showing direct and secondary target effects</w:t>
      </w:r>
    </w:p>
    <w:p>
      <w:pPr>
        <w:pStyle w:val="ListParagraph"/>
        <w:numPr>
          <w:ilvl w:val="0"/>
          <w:numId w:val="2"/>
        </w:numPr>
        <w:spacing w:after="100" w:line="360"/>
      </w:pPr>
      <w:r>
        <w:t xml:space="preserve">Time-series transcriptomics data from disease progression studies establishing temporal causal relationships</w:t>
      </w:r>
    </w:p>
    <w:p>
      <w:pPr>
        <w:pStyle w:val="ListParagraph"/>
        <w:numPr>
          <w:ilvl w:val="0"/>
          <w:numId w:val="2"/>
        </w:numPr>
        <w:spacing w:after="100" w:line="360"/>
      </w:pPr>
      <w:r>
        <w:t xml:space="preserve">Biochemical kinetics data and enzyme kinetic parameters for metabolic and signaling pathways</w:t>
      </w:r>
    </w:p>
    <w:p>
      <w:pPr>
        <w:spacing w:after="120"/>
      </w:pPr>
      <w:r>
        <w:rPr>
          <w:b/>
          <w:bCs/>
        </w:rPr>
        <w:t xml:space="preserve">Tools &amp; Databases Called:</w:t>
      </w:r>
    </w:p>
    <w:p>
      <w:pPr>
        <w:pStyle w:val="ListParagraph"/>
        <w:numPr>
          <w:ilvl w:val="0"/>
          <w:numId w:val="2"/>
        </w:numPr>
        <w:spacing w:after="100" w:line="360"/>
      </w:pPr>
      <w:r>
        <w:rPr>
          <w:b/>
          <w:bCs/>
        </w:rPr>
        <w:t xml:space="preserve">MR-Base &amp; TwoSampleMR: </w:t>
      </w:r>
      <w:r>
        <w:t xml:space="preserve">Mendelian randomization platform with curated GWAS data and causal inference methods</w:t>
      </w:r>
    </w:p>
    <w:p>
      <w:pPr>
        <w:pStyle w:val="ListParagraph"/>
        <w:numPr>
          <w:ilvl w:val="0"/>
          <w:numId w:val="2"/>
        </w:numPr>
        <w:spacing w:after="100" w:line="360"/>
      </w:pPr>
      <w:r>
        <w:rPr>
          <w:b/>
          <w:bCs/>
        </w:rPr>
        <w:t xml:space="preserve">GTEx eQTL &amp; SOLAR eQTL: </w:t>
      </w:r>
      <w:r>
        <w:t xml:space="preserve">Expression quantitative trait loci databases for genetic instrumental variables</w:t>
      </w:r>
    </w:p>
    <w:p>
      <w:pPr>
        <w:pStyle w:val="ListParagraph"/>
        <w:numPr>
          <w:ilvl w:val="0"/>
          <w:numId w:val="2"/>
        </w:numPr>
        <w:spacing w:after="100" w:line="360"/>
      </w:pPr>
      <w:r>
        <w:rPr>
          <w:b/>
          <w:bCs/>
        </w:rPr>
        <w:t xml:space="preserve">Sapphire Causality Inferencer: </w:t>
      </w:r>
      <w:r>
        <w:t xml:space="preserve">Custom algorithm combining Mendelian randomization with mechanistic network directionality constraints</w:t>
      </w:r>
    </w:p>
    <w:p>
      <w:pPr>
        <w:pStyle w:val="ListParagraph"/>
        <w:numPr>
          <w:ilvl w:val="0"/>
          <w:numId w:val="2"/>
        </w:numPr>
        <w:spacing w:after="100" w:line="360"/>
      </w:pPr>
      <w:r>
        <w:rPr>
          <w:b/>
          <w:bCs/>
        </w:rPr>
        <w:t xml:space="preserve">TCGA &amp; GEO: </w:t>
      </w:r>
      <w:r>
        <w:t xml:space="preserve">Repository of disease transcriptomics with time-series and longitudinal cohort designs</w:t>
      </w:r>
    </w:p>
    <w:p>
      <w:pPr>
        <w:pStyle w:val="ListParagraph"/>
        <w:numPr>
          <w:ilvl w:val="0"/>
          <w:numId w:val="2"/>
        </w:numPr>
        <w:spacing w:after="100" w:line="360"/>
      </w:pPr>
      <w:r>
        <w:rPr>
          <w:b/>
          <w:bCs/>
        </w:rPr>
        <w:t xml:space="preserve">DepMap &amp; RNAi Consortium: </w:t>
      </w:r>
      <w:r>
        <w:t xml:space="preserve">Large-scale perturbation screens with transcriptomic responses to gene knockdown/knockout</w:t>
      </w:r>
    </w:p>
    <w:p>
      <w:pPr>
        <w:pStyle w:val="ListParagraph"/>
        <w:numPr>
          <w:ilvl w:val="0"/>
          <w:numId w:val="2"/>
        </w:numPr>
        <w:spacing w:after="100" w:line="360"/>
      </w:pPr>
      <w:r>
        <w:rPr>
          <w:b/>
          <w:bCs/>
        </w:rPr>
        <w:t xml:space="preserve">SABIO-RK: </w:t>
      </w:r>
      <w:r>
        <w:t xml:space="preserve">Biochemical kinetics database with enzyme parameters for mechanistic pathway modeling</w:t>
      </w:r>
    </w:p>
    <w:p>
      <w:pPr>
        <w:spacing w:after="120"/>
      </w:pPr>
      <w:r>
        <w:rPr>
          <w:b/>
          <w:bCs/>
        </w:rPr>
        <w:t xml:space="preserve">Exemplary Sub-Prompts:</w:t>
      </w:r>
    </w:p>
    <w:p>
      <w:pPr>
        <w:pStyle w:val="ListParagraph"/>
        <w:numPr>
          <w:ilvl w:val="0"/>
          <w:numId w:val="2"/>
        </w:numPr>
        <w:spacing w:after="100" w:line="360"/>
      </w:pPr>
      <w:r>
        <w:t xml:space="preserve">Perform two-sample Mendelian randomization to identify causal relationships between disease-associated genes and downstream biomarkers.</w:t>
      </w:r>
    </w:p>
    <w:p>
      <w:pPr>
        <w:pStyle w:val="ListParagraph"/>
        <w:numPr>
          <w:ilvl w:val="0"/>
          <w:numId w:val="2"/>
        </w:numPr>
        <w:spacing w:after="100" w:line="360"/>
      </w:pPr>
      <w:r>
        <w:t xml:space="preserve">Map transcriptomic signatures from patient tissue to identify primary dysregulated nodes versus secondary consequences.</w:t>
      </w:r>
    </w:p>
    <w:p>
      <w:pPr>
        <w:pStyle w:val="ListParagraph"/>
        <w:numPr>
          <w:ilvl w:val="0"/>
          <w:numId w:val="2"/>
        </w:numPr>
        <w:spacing w:after="100" w:line="360"/>
      </w:pPr>
      <w:r>
        <w:t xml:space="preserve">Integrate CRISPR perturbation screens to identify genes whose knockdown most closely phenocopies disease manifestations.</w:t>
      </w:r>
    </w:p>
    <w:p>
      <w:pPr>
        <w:pStyle w:val="ListParagraph"/>
        <w:numPr>
          <w:ilvl w:val="0"/>
          <w:numId w:val="2"/>
        </w:numPr>
        <w:spacing w:after="100" w:line="360"/>
      </w:pPr>
      <w:r>
        <w:t xml:space="preserve">Apply causal inference algorithms (NOTEARS, causal-forest) to transcriptomics data to establish directed acyclic graph structures.</w:t>
      </w:r>
    </w:p>
    <w:p>
      <w:pPr>
        <w:pStyle w:val="ListParagraph"/>
        <w:numPr>
          <w:ilvl w:val="0"/>
          <w:numId w:val="2"/>
        </w:numPr>
        <w:spacing w:after="100" w:line="360"/>
      </w:pPr>
      <w:r>
        <w:t xml:space="preserve">Score pathway directionality by combining causal inference results with known biochemical mechanisms of activation and inhibition.</w:t>
      </w:r>
    </w:p>
    <w:p>
      <w:pPr>
        <w:spacing w:after="120"/>
      </w:pPr>
      <w:r>
        <w:rPr>
          <w:b/>
          <w:bCs/>
        </w:rPr>
        <w:t xml:space="preserve">Expected Outputs:</w:t>
      </w:r>
    </w:p>
    <w:p>
      <w:pPr>
        <w:pStyle w:val="ListParagraph"/>
        <w:numPr>
          <w:ilvl w:val="0"/>
          <w:numId w:val="2"/>
        </w:numPr>
        <w:spacing w:after="100" w:line="360"/>
      </w:pPr>
      <w:r>
        <w:t xml:space="preserve">Directed network graph with causal relationship annotations and confidence scores from multiple inference methods</w:t>
      </w:r>
    </w:p>
    <w:p>
      <w:pPr>
        <w:pStyle w:val="ListParagraph"/>
        <w:numPr>
          <w:ilvl w:val="0"/>
          <w:numId w:val="2"/>
        </w:numPr>
        <w:spacing w:after="100" w:line="360"/>
      </w:pPr>
      <w:r>
        <w:t xml:space="preserve">Mendelian randomization results table: instrument strength, causal effect sizes, and heterogeneity/pleiotropy assessments</w:t>
      </w:r>
    </w:p>
    <w:p>
      <w:pPr>
        <w:pStyle w:val="ListParagraph"/>
        <w:numPr>
          <w:ilvl w:val="0"/>
          <w:numId w:val="2"/>
        </w:numPr>
        <w:spacing w:after="100" w:line="360"/>
      </w:pPr>
      <w:r>
        <w:t xml:space="preserve">Perturbation analysis results: for each knockdown, ranked list of downstream transcriptomic changes and phenotypic associations</w:t>
      </w:r>
    </w:p>
    <w:p>
      <w:pPr>
        <w:pStyle w:val="ListParagraph"/>
        <w:numPr>
          <w:ilvl w:val="0"/>
          <w:numId w:val="2"/>
        </w:numPr>
        <w:spacing w:after="100" w:line="360"/>
      </w:pPr>
      <w:r>
        <w:t xml:space="preserve">Directed acyclic graph (DAG) structures derived from causal inference with node rankings by hierarchical level in cascade</w:t>
      </w:r>
    </w:p>
    <w:p>
      <w:pPr>
        <w:pStyle w:val="ListParagraph"/>
        <w:numPr>
          <w:ilvl w:val="0"/>
          <w:numId w:val="2"/>
        </w:numPr>
        <w:spacing w:after="100" w:line="360"/>
      </w:pPr>
      <w:r>
        <w:t xml:space="preserve">Primary driver node identification: genes/proteins at pathway apex with maximal downstream propagation of dysregulation</w:t>
      </w:r>
    </w:p>
    <w:p>
      <w:pPr>
        <w:pStyle w:val="ListParagraph"/>
        <w:numPr>
          <w:ilvl w:val="0"/>
          <w:numId w:val="2"/>
        </w:numPr>
        <w:spacing w:after="100" w:line="360"/>
      </w:pPr>
      <w:r>
        <w:t xml:space="preserve">Mechanistic pathway maps annotated with direction, confidence scores, and quantified effect sizes of relationships</w:t>
      </w:r>
    </w:p>
    <w:p>
      <w:pPr>
        <w:spacing w:after="200" w:line="360"/>
      </w:pPr>
      <w:r>
        <w:rPr>
          <w:b/>
          <w:bCs/>
        </w:rPr>
        <w:t xml:space="preserve">Format: </w:t>
      </w:r>
      <w:r>
        <w:t xml:space="preserve">Directed network files, Mendelian randomization summary tables, perturbation response heatmaps, and DAG visualizations.</w:t>
      </w:r>
    </w:p>
    <w:p>
      <w:pPr>
        <w:pStyle w:val="Heading2"/>
      </w:pPr>
      <w:r>
        <w:t xml:space="preserve">Stage 3: Nodal Centrality Analysis &amp; Leverage Scoring</w:t>
      </w:r>
    </w:p>
    <w:p>
      <w:pPr>
        <w:spacing w:after="200" w:line="360"/>
      </w:pPr>
      <w:r>
        <w:rPr>
          <w:b/>
          <w:bCs/>
        </w:rPr>
        <w:t xml:space="preserve">Purpose: </w:t>
      </w:r>
      <w:r>
        <w:t xml:space="preserve">Calculate comprehensive centrality metrics and disease-specific leverage scores for all network nodes to rank candidate intervention targets by their predicted ability to restore downstream molecular phenotypes.</w:t>
      </w:r>
    </w:p>
    <w:p>
      <w:pPr>
        <w:spacing w:after="120"/>
      </w:pPr>
      <w:r>
        <w:rPr>
          <w:b/>
          <w:bCs/>
        </w:rPr>
        <w:t xml:space="preserve">Inputs:</w:t>
      </w:r>
    </w:p>
    <w:p>
      <w:pPr>
        <w:pStyle w:val="ListParagraph"/>
        <w:numPr>
          <w:ilvl w:val="0"/>
          <w:numId w:val="2"/>
        </w:numPr>
        <w:spacing w:after="100" w:line="360"/>
      </w:pPr>
      <w:r>
        <w:t xml:space="preserve">Directed disease network from Stage 2 with edge weights reflecting interaction confidence and causal strength</w:t>
      </w:r>
    </w:p>
    <w:p>
      <w:pPr>
        <w:pStyle w:val="ListParagraph"/>
        <w:numPr>
          <w:ilvl w:val="0"/>
          <w:numId w:val="2"/>
        </w:numPr>
        <w:spacing w:after="100" w:line="360"/>
      </w:pPr>
      <w:r>
        <w:t xml:space="preserve">Gene set collections (GO, KEGG, Reactome) defining biological functions with dysregulation signatures in disease</w:t>
      </w:r>
    </w:p>
    <w:p>
      <w:pPr>
        <w:pStyle w:val="ListParagraph"/>
        <w:numPr>
          <w:ilvl w:val="0"/>
          <w:numId w:val="2"/>
        </w:numPr>
        <w:spacing w:after="100" w:line="360"/>
      </w:pPr>
      <w:r>
        <w:t xml:space="preserve">Patient expression data quantifying degree of dysregulation for each node as fold-change or enrichment scores</w:t>
      </w:r>
    </w:p>
    <w:p>
      <w:pPr>
        <w:pStyle w:val="ListParagraph"/>
        <w:numPr>
          <w:ilvl w:val="0"/>
          <w:numId w:val="2"/>
        </w:numPr>
        <w:spacing w:after="100" w:line="360"/>
      </w:pPr>
      <w:r>
        <w:t xml:space="preserve">Knockdown perturbation data showing effect sizes of individual gene perturbations on disease-relevant phenotypes</w:t>
      </w:r>
    </w:p>
    <w:p>
      <w:pPr>
        <w:pStyle w:val="ListParagraph"/>
        <w:numPr>
          <w:ilvl w:val="0"/>
          <w:numId w:val="2"/>
        </w:numPr>
        <w:spacing w:after="100" w:line="360"/>
      </w:pPr>
      <w:r>
        <w:t xml:space="preserve">Protein-protein interaction confidence scores and tissue-specific interaction probabilities for network weighting</w:t>
      </w:r>
    </w:p>
    <w:p>
      <w:pPr>
        <w:spacing w:after="120"/>
      </w:pPr>
      <w:r>
        <w:rPr>
          <w:b/>
          <w:bCs/>
        </w:rPr>
        <w:t xml:space="preserve">Tools &amp; Databases Called:</w:t>
      </w:r>
    </w:p>
    <w:p>
      <w:pPr>
        <w:pStyle w:val="ListParagraph"/>
        <w:numPr>
          <w:ilvl w:val="0"/>
          <w:numId w:val="2"/>
        </w:numPr>
        <w:spacing w:after="100" w:line="360"/>
      </w:pPr>
      <w:r>
        <w:rPr>
          <w:b/>
          <w:bCs/>
        </w:rPr>
        <w:t xml:space="preserve">NetworkX &amp; igraph: </w:t>
      </w:r>
      <w:r>
        <w:t xml:space="preserve">Graph analysis libraries computing centrality metrics including betweenness, closeness, and eigenvector centrality</w:t>
      </w:r>
    </w:p>
    <w:p>
      <w:pPr>
        <w:pStyle w:val="ListParagraph"/>
        <w:numPr>
          <w:ilvl w:val="0"/>
          <w:numId w:val="2"/>
        </w:numPr>
        <w:spacing w:after="100" w:line="360"/>
      </w:pPr>
      <w:r>
        <w:rPr>
          <w:b/>
          <w:bCs/>
        </w:rPr>
        <w:t xml:space="preserve">Sapphire Leverage Scorer: </w:t>
      </w:r>
      <w:r>
        <w:t xml:space="preserve">Custom machine learning model integrating centrality, connectivity, dysregulation, and perturbation data</w:t>
      </w:r>
    </w:p>
    <w:p>
      <w:pPr>
        <w:pStyle w:val="ListParagraph"/>
        <w:numPr>
          <w:ilvl w:val="0"/>
          <w:numId w:val="2"/>
        </w:numPr>
        <w:spacing w:after="100" w:line="360"/>
      </w:pPr>
      <w:r>
        <w:rPr>
          <w:b/>
          <w:bCs/>
        </w:rPr>
        <w:t xml:space="preserve">PageRank &amp; Katz Algorithms: </w:t>
      </w:r>
      <w:r>
        <w:t xml:space="preserve">Importance scoring reflecting downstream impact and reachability in directed networks</w:t>
      </w:r>
    </w:p>
    <w:p>
      <w:pPr>
        <w:pStyle w:val="ListParagraph"/>
        <w:numPr>
          <w:ilvl w:val="0"/>
          <w:numId w:val="2"/>
        </w:numPr>
        <w:spacing w:after="100" w:line="360"/>
      </w:pPr>
      <w:r>
        <w:rPr>
          <w:b/>
          <w:bCs/>
        </w:rPr>
        <w:t xml:space="preserve">KEGG/Reactome Pathway Analysis: </w:t>
      </w:r>
      <w:r>
        <w:t xml:space="preserve">Gene set enrichment computations quantifying upstream dominance in pathway regulation</w:t>
      </w:r>
    </w:p>
    <w:p>
      <w:pPr>
        <w:pStyle w:val="ListParagraph"/>
        <w:numPr>
          <w:ilvl w:val="0"/>
          <w:numId w:val="2"/>
        </w:numPr>
        <w:spacing w:after="100" w:line="360"/>
      </w:pPr>
      <w:r>
        <w:rPr>
          <w:b/>
          <w:bCs/>
        </w:rPr>
        <w:t xml:space="preserve">Flux-Balance Analysis: </w:t>
      </w:r>
      <w:r>
        <w:t xml:space="preserve">For metabolic networks, constraint-based modeling identifying rate-limiting nodes</w:t>
      </w:r>
    </w:p>
    <w:p>
      <w:pPr>
        <w:pStyle w:val="ListParagraph"/>
        <w:numPr>
          <w:ilvl w:val="0"/>
          <w:numId w:val="2"/>
        </w:numPr>
        <w:spacing w:after="100" w:line="360"/>
      </w:pPr>
      <w:r>
        <w:rPr>
          <w:b/>
          <w:bCs/>
        </w:rPr>
        <w:t xml:space="preserve">Sapphire Downstream Corrector: </w:t>
      </w:r>
      <w:r>
        <w:t xml:space="preserve">Algorithm simulating cascade effects of node perturbation on distal network regions</w:t>
      </w:r>
    </w:p>
    <w:p>
      <w:pPr>
        <w:spacing w:after="120"/>
      </w:pPr>
      <w:r>
        <w:rPr>
          <w:b/>
          <w:bCs/>
        </w:rPr>
        <w:t xml:space="preserve">Exemplary Sub-Prompts:</w:t>
      </w:r>
    </w:p>
    <w:p>
      <w:pPr>
        <w:pStyle w:val="ListParagraph"/>
        <w:numPr>
          <w:ilvl w:val="0"/>
          <w:numId w:val="2"/>
        </w:numPr>
        <w:spacing w:after="100" w:line="360"/>
      </w:pPr>
      <w:r>
        <w:t xml:space="preserve">Calculate betweenness and closeness centrality for all nodes in the disease network and identify bottleneck nodes.</w:t>
      </w:r>
    </w:p>
    <w:p>
      <w:pPr>
        <w:pStyle w:val="ListParagraph"/>
        <w:numPr>
          <w:ilvl w:val="0"/>
          <w:numId w:val="2"/>
        </w:numPr>
        <w:spacing w:after="100" w:line="360"/>
      </w:pPr>
      <w:r>
        <w:t xml:space="preserve">For each candidate node, simulate knockout or knockdown and predict downstream impact on all connected dysregulated genes.</w:t>
      </w:r>
    </w:p>
    <w:p>
      <w:pPr>
        <w:pStyle w:val="ListParagraph"/>
        <w:numPr>
          <w:ilvl w:val="0"/>
          <w:numId w:val="2"/>
        </w:numPr>
        <w:spacing w:after="100" w:line="360"/>
      </w:pPr>
      <w:r>
        <w:t xml:space="preserve">Compute disease-specific leverage scores weighting centrality by degree of dysregulation in patient tissues.</w:t>
      </w:r>
    </w:p>
    <w:p>
      <w:pPr>
        <w:pStyle w:val="ListParagraph"/>
        <w:numPr>
          <w:ilvl w:val="0"/>
          <w:numId w:val="2"/>
        </w:numPr>
        <w:spacing w:after="100" w:line="360"/>
      </w:pPr>
      <w:r>
        <w:t xml:space="preserve">Identify master regulators by measuring fraction of disease-dysregulated genes falling downstream of each node.</w:t>
      </w:r>
    </w:p>
    <w:p>
      <w:pPr>
        <w:pStyle w:val="ListParagraph"/>
        <w:numPr>
          <w:ilvl w:val="0"/>
          <w:numId w:val="2"/>
        </w:numPr>
        <w:spacing w:after="100" w:line="360"/>
      </w:pPr>
      <w:r>
        <w:t xml:space="preserve">Perform pathway perturbation simulations to identify nodes whose intervention most comprehensively restores healthy pathway flux.</w:t>
      </w:r>
    </w:p>
    <w:p>
      <w:pPr>
        <w:spacing w:after="120"/>
      </w:pPr>
      <w:r>
        <w:rPr>
          <w:b/>
          <w:bCs/>
        </w:rPr>
        <w:t xml:space="preserve">Expected Outputs:</w:t>
      </w:r>
    </w:p>
    <w:p>
      <w:pPr>
        <w:pStyle w:val="ListParagraph"/>
        <w:numPr>
          <w:ilvl w:val="0"/>
          <w:numId w:val="2"/>
        </w:numPr>
        <w:spacing w:after="100" w:line="360"/>
      </w:pPr>
      <w:r>
        <w:t xml:space="preserve">Comprehensive centrality metrics table: betweenness, closeness, eigenvector, degree, PageRank scores for all nodes</w:t>
      </w:r>
    </w:p>
    <w:p>
      <w:pPr>
        <w:pStyle w:val="ListParagraph"/>
        <w:numPr>
          <w:ilvl w:val="0"/>
          <w:numId w:val="2"/>
        </w:numPr>
        <w:spacing w:after="100" w:line="360"/>
      </w:pPr>
      <w:r>
        <w:t xml:space="preserve">Disease-specific leverage scores ranking all nodes by predicted downstream correction potential with confidence intervals</w:t>
      </w:r>
    </w:p>
    <w:p>
      <w:pPr>
        <w:pStyle w:val="ListParagraph"/>
        <w:numPr>
          <w:ilvl w:val="0"/>
          <w:numId w:val="2"/>
        </w:numPr>
        <w:spacing w:after="100" w:line="360"/>
      </w:pPr>
      <w:r>
        <w:t xml:space="preserve">Master regulator identification: genes controlling expression of 10%+ of disease-dysregulated genes downstream</w:t>
      </w:r>
    </w:p>
    <w:p>
      <w:pPr>
        <w:pStyle w:val="ListParagraph"/>
        <w:numPr>
          <w:ilvl w:val="0"/>
          <w:numId w:val="2"/>
        </w:numPr>
        <w:spacing w:after="100" w:line="360"/>
      </w:pPr>
      <w:r>
        <w:t xml:space="preserve">Simulation outputs: predicted transcriptome shifts following perturbation of top candidate nodes with pathway-level corrections</w:t>
      </w:r>
    </w:p>
    <w:p>
      <w:pPr>
        <w:pStyle w:val="ListParagraph"/>
        <w:numPr>
          <w:ilvl w:val="0"/>
          <w:numId w:val="2"/>
        </w:numPr>
        <w:spacing w:after="100" w:line="360"/>
      </w:pPr>
      <w:r>
        <w:t xml:space="preserve">Bottleneck analysis: identification of narrow chokepoints in pathways where single intervention controls multiple branches</w:t>
      </w:r>
    </w:p>
    <w:p>
      <w:pPr>
        <w:pStyle w:val="ListParagraph"/>
        <w:numPr>
          <w:ilvl w:val="0"/>
          <w:numId w:val="2"/>
        </w:numPr>
        <w:spacing w:after="100" w:line="360"/>
      </w:pPr>
      <w:r>
        <w:t xml:space="preserve">Ranked candidate list: top 10-20 nodes with predicted efficacy as single-intervention targets with rationales</w:t>
      </w:r>
    </w:p>
    <w:p>
      <w:pPr>
        <w:spacing w:after="200" w:line="360"/>
      </w:pPr>
      <w:r>
        <w:rPr>
          <w:b/>
          <w:bCs/>
        </w:rPr>
        <w:t xml:space="preserve">Format: </w:t>
      </w:r>
      <w:r>
        <w:t xml:space="preserve">Centrality metrics tables, leverage score rankings, pathway perturbation predictions, and network prioritization visualizations.</w:t>
      </w:r>
    </w:p>
    <w:p>
      <w:pPr>
        <w:pStyle w:val="Heading2"/>
      </w:pPr>
      <w:r>
        <w:t xml:space="preserve">Stage 4: Perturbation Modeling &amp; Cascade Simulation</w:t>
      </w:r>
    </w:p>
    <w:p>
      <w:pPr>
        <w:spacing w:after="200" w:line="360"/>
      </w:pPr>
      <w:r>
        <w:rPr>
          <w:b/>
          <w:bCs/>
        </w:rPr>
        <w:t xml:space="preserve">Purpose: </w:t>
      </w:r>
      <w:r>
        <w:t xml:space="preserve">Computationally simulate the cascade effects of targeting each candidate pathway node, predicting the magnitude and direction of transcriptome changes, protein activity shifts, and phenotypic corrections throughout the network.</w:t>
      </w:r>
    </w:p>
    <w:p>
      <w:pPr>
        <w:spacing w:after="120"/>
      </w:pPr>
      <w:r>
        <w:rPr>
          <w:b/>
          <w:bCs/>
        </w:rPr>
        <w:t xml:space="preserve">Inputs:</w:t>
      </w:r>
    </w:p>
    <w:p>
      <w:pPr>
        <w:pStyle w:val="ListParagraph"/>
        <w:numPr>
          <w:ilvl w:val="0"/>
          <w:numId w:val="2"/>
        </w:numPr>
        <w:spacing w:after="100" w:line="360"/>
      </w:pPr>
      <w:r>
        <w:t xml:space="preserve">Signaling pathway models (BNGL, SBML formats) with kinetic parameters and reaction rate constants</w:t>
      </w:r>
    </w:p>
    <w:p>
      <w:pPr>
        <w:pStyle w:val="ListParagraph"/>
        <w:numPr>
          <w:ilvl w:val="0"/>
          <w:numId w:val="2"/>
        </w:numPr>
        <w:spacing w:after="100" w:line="360"/>
      </w:pPr>
      <w:r>
        <w:t xml:space="preserve">Gene regulatory network (GRN) models with transcription factor binding sites and regulatory logic gates</w:t>
      </w:r>
    </w:p>
    <w:p>
      <w:pPr>
        <w:pStyle w:val="ListParagraph"/>
        <w:numPr>
          <w:ilvl w:val="0"/>
          <w:numId w:val="2"/>
        </w:numPr>
        <w:spacing w:after="100" w:line="360"/>
      </w:pPr>
      <w:r>
        <w:t xml:space="preserve">Expression data from perturbed systems (CRISPR knockouts, small molecule inhibitors) for model parameter fitting</w:t>
      </w:r>
    </w:p>
    <w:p>
      <w:pPr>
        <w:pStyle w:val="ListParagraph"/>
        <w:numPr>
          <w:ilvl w:val="0"/>
          <w:numId w:val="2"/>
        </w:numPr>
        <w:spacing w:after="100" w:line="360"/>
      </w:pPr>
      <w:r>
        <w:t xml:space="preserve">Disease state baseline expression profiles defining the dysregulated starting conditions for perturbation simulations</w:t>
      </w:r>
    </w:p>
    <w:p>
      <w:pPr>
        <w:pStyle w:val="ListParagraph"/>
        <w:numPr>
          <w:ilvl w:val="0"/>
          <w:numId w:val="2"/>
        </w:numPr>
        <w:spacing w:after="100" w:line="360"/>
      </w:pPr>
      <w:r>
        <w:t xml:space="preserve">Feedback loop structures and compensatory mechanisms that may dampen or enhance primary perturbation effects</w:t>
      </w:r>
    </w:p>
    <w:p>
      <w:pPr>
        <w:spacing w:after="120"/>
      </w:pPr>
      <w:r>
        <w:rPr>
          <w:b/>
          <w:bCs/>
        </w:rPr>
        <w:t xml:space="preserve">Tools &amp; Databases Called:</w:t>
      </w:r>
    </w:p>
    <w:p>
      <w:pPr>
        <w:pStyle w:val="ListParagraph"/>
        <w:numPr>
          <w:ilvl w:val="0"/>
          <w:numId w:val="2"/>
        </w:numPr>
        <w:spacing w:after="100" w:line="360"/>
      </w:pPr>
      <w:r>
        <w:rPr>
          <w:b/>
          <w:bCs/>
        </w:rPr>
        <w:t xml:space="preserve">BioNetGen &amp; NFSim: </w:t>
      </w:r>
      <w:r>
        <w:t xml:space="preserve">Rule-based modeling of biochemical reaction systems with stochastic simulation</w:t>
      </w:r>
    </w:p>
    <w:p>
      <w:pPr>
        <w:pStyle w:val="ListParagraph"/>
        <w:numPr>
          <w:ilvl w:val="0"/>
          <w:numId w:val="2"/>
        </w:numPr>
        <w:spacing w:after="100" w:line="360"/>
      </w:pPr>
      <w:r>
        <w:rPr>
          <w:b/>
          <w:bCs/>
        </w:rPr>
        <w:t xml:space="preserve">Sapphire Cascade Predictor: </w:t>
      </w:r>
      <w:r>
        <w:t xml:space="preserve">Platform-specific tool for simulating multi-node pathway perturbations with cascade effect predictions</w:t>
      </w:r>
    </w:p>
    <w:p>
      <w:pPr>
        <w:pStyle w:val="ListParagraph"/>
        <w:numPr>
          <w:ilvl w:val="0"/>
          <w:numId w:val="2"/>
        </w:numPr>
        <w:spacing w:after="100" w:line="360"/>
      </w:pPr>
      <w:r>
        <w:rPr>
          <w:b/>
          <w:bCs/>
        </w:rPr>
        <w:t xml:space="preserve">StdLasso &amp; Elastic Net: </w:t>
      </w:r>
      <w:r>
        <w:t xml:space="preserve">Sparse regression methods for inferring regulatory interactions from perturbation transcriptomics</w:t>
      </w:r>
    </w:p>
    <w:p>
      <w:pPr>
        <w:pStyle w:val="ListParagraph"/>
        <w:numPr>
          <w:ilvl w:val="0"/>
          <w:numId w:val="2"/>
        </w:numPr>
        <w:spacing w:after="100" w:line="360"/>
      </w:pPr>
      <w:r>
        <w:rPr>
          <w:b/>
          <w:bCs/>
        </w:rPr>
        <w:t xml:space="preserve">Boolean Network Simulator: </w:t>
      </w:r>
      <w:r>
        <w:t xml:space="preserve">Simplified discrete-state models for rapid exploration of perturbation effects</w:t>
      </w:r>
    </w:p>
    <w:p>
      <w:pPr>
        <w:pStyle w:val="ListParagraph"/>
        <w:numPr>
          <w:ilvl w:val="0"/>
          <w:numId w:val="2"/>
        </w:numPr>
        <w:spacing w:after="100" w:line="360"/>
      </w:pPr>
      <w:r>
        <w:rPr>
          <w:b/>
          <w:bCs/>
        </w:rPr>
        <w:t xml:space="preserve">COPASI &amp; VirtualCell: </w:t>
      </w:r>
      <w:r>
        <w:t xml:space="preserve">Biochemical simulation engines for ODE and stochastic modeling of signaling cascades</w:t>
      </w:r>
    </w:p>
    <w:p>
      <w:pPr>
        <w:pStyle w:val="ListParagraph"/>
        <w:numPr>
          <w:ilvl w:val="0"/>
          <w:numId w:val="2"/>
        </w:numPr>
        <w:spacing w:after="100" w:line="360"/>
      </w:pPr>
      <w:r>
        <w:rPr>
          <w:b/>
          <w:bCs/>
        </w:rPr>
        <w:t xml:space="preserve">Sapphire Phenotype Propagator: </w:t>
      </w:r>
      <w:r>
        <w:t xml:space="preserve">Machine learning model predicting cellular and organismal phenotypic changes from molecular cascade simulations</w:t>
      </w:r>
    </w:p>
    <w:p>
      <w:pPr>
        <w:spacing w:after="120"/>
      </w:pPr>
      <w:r>
        <w:rPr>
          <w:b/>
          <w:bCs/>
        </w:rPr>
        <w:t xml:space="preserve">Exemplary Sub-Prompts:</w:t>
      </w:r>
    </w:p>
    <w:p>
      <w:pPr>
        <w:pStyle w:val="ListParagraph"/>
        <w:numPr>
          <w:ilvl w:val="0"/>
          <w:numId w:val="2"/>
        </w:numPr>
        <w:spacing w:after="100" w:line="360"/>
      </w:pPr>
      <w:r>
        <w:t xml:space="preserve">Simulate knockdown of each candidate node in the GRN/signaling model and predict transcriptome-wide changes.</w:t>
      </w:r>
    </w:p>
    <w:p>
      <w:pPr>
        <w:pStyle w:val="ListParagraph"/>
        <w:numPr>
          <w:ilvl w:val="0"/>
          <w:numId w:val="2"/>
        </w:numPr>
        <w:spacing w:after="100" w:line="360"/>
      </w:pPr>
      <w:r>
        <w:t xml:space="preserve">For top candidates, model perturbation at varying doses and measure dose-response curves for disease-relevant gene sets.</w:t>
      </w:r>
    </w:p>
    <w:p>
      <w:pPr>
        <w:pStyle w:val="ListParagraph"/>
        <w:numPr>
          <w:ilvl w:val="0"/>
          <w:numId w:val="2"/>
        </w:numPr>
        <w:spacing w:after="100" w:line="360"/>
      </w:pPr>
      <w:r>
        <w:t xml:space="preserve">Predict feedback loop engagement and compensatory response timecourses following target perturbation.</w:t>
      </w:r>
    </w:p>
    <w:p>
      <w:pPr>
        <w:pStyle w:val="ListParagraph"/>
        <w:numPr>
          <w:ilvl w:val="0"/>
          <w:numId w:val="2"/>
        </w:numPr>
        <w:spacing w:after="100" w:line="360"/>
      </w:pPr>
      <w:r>
        <w:t xml:space="preserve">Identify off-target cascade effects: dysregulation of unrelated pathways or cell type-specific effects of perturbation.</w:t>
      </w:r>
    </w:p>
    <w:p>
      <w:pPr>
        <w:pStyle w:val="ListParagraph"/>
        <w:numPr>
          <w:ilvl w:val="0"/>
          <w:numId w:val="2"/>
        </w:numPr>
        <w:spacing w:after="100" w:line="360"/>
      </w:pPr>
      <w:r>
        <w:t xml:space="preserve">Simulate temporal dynamics of cascade recovery to identify optimal treatment duration and dosing windows.</w:t>
      </w:r>
    </w:p>
    <w:p>
      <w:pPr>
        <w:spacing w:after="120"/>
      </w:pPr>
      <w:r>
        <w:rPr>
          <w:b/>
          <w:bCs/>
        </w:rPr>
        <w:t xml:space="preserve">Expected Outputs:</w:t>
      </w:r>
    </w:p>
    <w:p>
      <w:pPr>
        <w:pStyle w:val="ListParagraph"/>
        <w:numPr>
          <w:ilvl w:val="0"/>
          <w:numId w:val="2"/>
        </w:numPr>
        <w:spacing w:after="100" w:line="360"/>
      </w:pPr>
      <w:r>
        <w:t xml:space="preserve">Cascade simulation predictions: genome-wide transcriptome changes following perturbation of each candidate node</w:t>
      </w:r>
    </w:p>
    <w:p>
      <w:pPr>
        <w:pStyle w:val="ListParagraph"/>
        <w:numPr>
          <w:ilvl w:val="0"/>
          <w:numId w:val="2"/>
        </w:numPr>
        <w:spacing w:after="100" w:line="360"/>
      </w:pPr>
      <w:r>
        <w:t xml:space="preserve">Correction magnitude scores: quantified restoration of dysregulated genes toward healthy state levels for each perturbation</w:t>
      </w:r>
    </w:p>
    <w:p>
      <w:pPr>
        <w:pStyle w:val="ListParagraph"/>
        <w:numPr>
          <w:ilvl w:val="0"/>
          <w:numId w:val="2"/>
        </w:numPr>
        <w:spacing w:after="100" w:line="360"/>
      </w:pPr>
      <w:r>
        <w:t xml:space="preserve">Dose-response curves showing disease marker correction as function of knockdown/inhibition strength</w:t>
      </w:r>
    </w:p>
    <w:p>
      <w:pPr>
        <w:pStyle w:val="ListParagraph"/>
        <w:numPr>
          <w:ilvl w:val="0"/>
          <w:numId w:val="2"/>
        </w:numPr>
        <w:spacing w:after="100" w:line="360"/>
      </w:pPr>
      <w:r>
        <w:t xml:space="preserve">Feedback dynamics: predicted timecourse of compensation mechanisms and potential late-stage disease relapse or drug resistance</w:t>
      </w:r>
    </w:p>
    <w:p>
      <w:pPr>
        <w:pStyle w:val="ListParagraph"/>
        <w:numPr>
          <w:ilvl w:val="0"/>
          <w:numId w:val="2"/>
        </w:numPr>
        <w:spacing w:after="100" w:line="360"/>
      </w:pPr>
      <w:r>
        <w:t xml:space="preserve">Off-target effect predictions: unintended dysregulation of healthy pathways or adverse phenotypic changes</w:t>
      </w:r>
    </w:p>
    <w:p>
      <w:pPr>
        <w:pStyle w:val="ListParagraph"/>
        <w:numPr>
          <w:ilvl w:val="0"/>
          <w:numId w:val="2"/>
        </w:numPr>
        <w:spacing w:after="100" w:line="360"/>
      </w:pPr>
      <w:r>
        <w:t xml:space="preserve">Network-wide restoration index: comprehensive score measuring degree of correction across all disease-dysregulated genes</w:t>
      </w:r>
    </w:p>
    <w:p>
      <w:pPr>
        <w:spacing w:after="200" w:line="360"/>
      </w:pPr>
      <w:r>
        <w:rPr>
          <w:b/>
          <w:bCs/>
        </w:rPr>
        <w:t xml:space="preserve">Format: </w:t>
      </w:r>
      <w:r>
        <w:t xml:space="preserve">Cascade simulation trajectories, correction magnitude tables, dose-response curves, feedback timecourses, and off-target effect predictions.</w:t>
      </w:r>
    </w:p>
    <w:p>
      <w:pPr>
        <w:pStyle w:val="Heading2"/>
      </w:pPr>
      <w:r>
        <w:t xml:space="preserve">Stage 5: Therapeutic Target Discovery &amp; Druggability Assessment</w:t>
      </w:r>
    </w:p>
    <w:p>
      <w:pPr>
        <w:spacing w:after="200" w:line="360"/>
      </w:pPr>
      <w:r>
        <w:rPr>
          <w:b/>
          <w:bCs/>
        </w:rPr>
        <w:t xml:space="preserve">Purpose: </w:t>
      </w:r>
      <w:r>
        <w:t xml:space="preserve">For top-ranked pathway nodes from Stage 4, assess feasibility of therapeutic intervention by evaluating druggability, available inhibitor/modulator chemotypes, CNS penetration, and clinical translation potential.</w:t>
      </w:r>
    </w:p>
    <w:p>
      <w:pPr>
        <w:spacing w:after="120"/>
      </w:pPr>
      <w:r>
        <w:rPr>
          <w:b/>
          <w:bCs/>
        </w:rPr>
        <w:t xml:space="preserve">Inputs:</w:t>
      </w:r>
    </w:p>
    <w:p>
      <w:pPr>
        <w:pStyle w:val="ListParagraph"/>
        <w:numPr>
          <w:ilvl w:val="0"/>
          <w:numId w:val="2"/>
        </w:numPr>
        <w:spacing w:after="100" w:line="360"/>
      </w:pPr>
      <w:r>
        <w:t xml:space="preserve">Target protein structures (PDB, AlphaFold) and ligand binding site predictions for druggability assessment</w:t>
      </w:r>
    </w:p>
    <w:p>
      <w:pPr>
        <w:pStyle w:val="ListParagraph"/>
        <w:numPr>
          <w:ilvl w:val="0"/>
          <w:numId w:val="2"/>
        </w:numPr>
        <w:spacing w:after="100" w:line="360"/>
      </w:pPr>
      <w:r>
        <w:t xml:space="preserve">Existing ligand libraries from ChEMBL, DrugBank, and screening collections with activity profiles against candidate targets</w:t>
      </w:r>
    </w:p>
    <w:p>
      <w:pPr>
        <w:pStyle w:val="ListParagraph"/>
        <w:numPr>
          <w:ilvl w:val="0"/>
          <w:numId w:val="2"/>
        </w:numPr>
        <w:spacing w:after="100" w:line="360"/>
      </w:pPr>
      <w:r>
        <w:t xml:space="preserve">Off-target binding profiles of candidate inhibitors across kinome, GPCR, and ion channel families</w:t>
      </w:r>
    </w:p>
    <w:p>
      <w:pPr>
        <w:pStyle w:val="ListParagraph"/>
        <w:numPr>
          <w:ilvl w:val="0"/>
          <w:numId w:val="2"/>
        </w:numPr>
        <w:spacing w:after="100" w:line="360"/>
      </w:pPr>
      <w:r>
        <w:t xml:space="preserve">Tissue distribution data for candidate targets including CNS expression and blood-brain barrier accessibility</w:t>
      </w:r>
    </w:p>
    <w:p>
      <w:pPr>
        <w:pStyle w:val="ListParagraph"/>
        <w:numPr>
          <w:ilvl w:val="0"/>
          <w:numId w:val="2"/>
        </w:numPr>
        <w:spacing w:after="100" w:line="360"/>
      </w:pPr>
      <w:r>
        <w:t xml:space="preserve">Clinical outcome data from trials of available inhibitors targeting the candidate nodes or related proteins</w:t>
      </w:r>
    </w:p>
    <w:p>
      <w:pPr>
        <w:spacing w:after="120"/>
      </w:pPr>
      <w:r>
        <w:rPr>
          <w:b/>
          <w:bCs/>
        </w:rPr>
        <w:t xml:space="preserve">Tools &amp; Databases Called:</w:t>
      </w:r>
    </w:p>
    <w:p>
      <w:pPr>
        <w:pStyle w:val="ListParagraph"/>
        <w:numPr>
          <w:ilvl w:val="0"/>
          <w:numId w:val="2"/>
        </w:numPr>
        <w:spacing w:after="100" w:line="360"/>
      </w:pPr>
      <w:r>
        <w:rPr>
          <w:b/>
          <w:bCs/>
        </w:rPr>
        <w:t xml:space="preserve">FuzzyDock &amp; SiteComp: </w:t>
      </w:r>
      <w:r>
        <w:t xml:space="preserve">Protein structure analysis tools identifying ligand binding pockets and druggability scores</w:t>
      </w:r>
    </w:p>
    <w:p>
      <w:pPr>
        <w:pStyle w:val="ListParagraph"/>
        <w:numPr>
          <w:ilvl w:val="0"/>
          <w:numId w:val="2"/>
        </w:numPr>
        <w:spacing w:after="100" w:line="360"/>
      </w:pPr>
      <w:r>
        <w:rPr>
          <w:b/>
          <w:bCs/>
        </w:rPr>
        <w:t xml:space="preserve">DrugBank &amp; ChEMBL: </w:t>
      </w:r>
      <w:r>
        <w:t xml:space="preserve">Comprehensive compound databases with annotated targets and bioactivity data</w:t>
      </w:r>
    </w:p>
    <w:p>
      <w:pPr>
        <w:pStyle w:val="ListParagraph"/>
        <w:numPr>
          <w:ilvl w:val="0"/>
          <w:numId w:val="2"/>
        </w:numPr>
        <w:spacing w:after="100" w:line="360"/>
      </w:pPr>
      <w:r>
        <w:rPr>
          <w:b/>
          <w:bCs/>
        </w:rPr>
        <w:t xml:space="preserve">Sapphire Druggability Scorer: </w:t>
      </w:r>
      <w:r>
        <w:t xml:space="preserve">Machine learning model predicting druggability and translation potential based on target properties</w:t>
      </w:r>
    </w:p>
    <w:p>
      <w:pPr>
        <w:pStyle w:val="ListParagraph"/>
        <w:numPr>
          <w:ilvl w:val="0"/>
          <w:numId w:val="2"/>
        </w:numPr>
        <w:spacing w:after="100" w:line="360"/>
      </w:pPr>
      <w:r>
        <w:rPr>
          <w:b/>
          <w:bCs/>
        </w:rPr>
        <w:t xml:space="preserve">SEA &amp; BLAST2: </w:t>
      </w:r>
      <w:r>
        <w:t xml:space="preserve">Similarity Ensemble approaches for off-target prediction across protein families</w:t>
      </w:r>
    </w:p>
    <w:p>
      <w:pPr>
        <w:pStyle w:val="ListParagraph"/>
        <w:numPr>
          <w:ilvl w:val="0"/>
          <w:numId w:val="2"/>
        </w:numPr>
        <w:spacing w:after="100" w:line="360"/>
      </w:pPr>
      <w:r>
        <w:rPr>
          <w:b/>
          <w:bCs/>
        </w:rPr>
        <w:t xml:space="preserve">REOS &amp; Lipinski Rules: </w:t>
      </w:r>
      <w:r>
        <w:t xml:space="preserve">Drug-likeness assessment and synthetic feasibility evaluation</w:t>
      </w:r>
    </w:p>
    <w:p>
      <w:pPr>
        <w:pStyle w:val="ListParagraph"/>
        <w:numPr>
          <w:ilvl w:val="0"/>
          <w:numId w:val="2"/>
        </w:numPr>
        <w:spacing w:after="100" w:line="360"/>
      </w:pPr>
      <w:r>
        <w:rPr>
          <w:b/>
          <w:bCs/>
        </w:rPr>
        <w:t xml:space="preserve">ClinicalTrials.gov &amp; FDA Approvals: </w:t>
      </w:r>
      <w:r>
        <w:t xml:space="preserve">Clinical outcome tracking for known inhibitors of candidate target proteins</w:t>
      </w:r>
    </w:p>
    <w:p>
      <w:pPr>
        <w:spacing w:after="120"/>
      </w:pPr>
      <w:r>
        <w:rPr>
          <w:b/>
          <w:bCs/>
        </w:rPr>
        <w:t xml:space="preserve">Exemplary Sub-Prompts:</w:t>
      </w:r>
    </w:p>
    <w:p>
      <w:pPr>
        <w:pStyle w:val="ListParagraph"/>
        <w:numPr>
          <w:ilvl w:val="0"/>
          <w:numId w:val="2"/>
        </w:numPr>
        <w:spacing w:after="100" w:line="360"/>
      </w:pPr>
      <w:r>
        <w:t xml:space="preserve">For each top candidate node protein, analyze PDB structures or AlphaFold predictions to identify druggable binding pockets.</w:t>
      </w:r>
    </w:p>
    <w:p>
      <w:pPr>
        <w:pStyle w:val="ListParagraph"/>
        <w:numPr>
          <w:ilvl w:val="0"/>
          <w:numId w:val="2"/>
        </w:numPr>
        <w:spacing w:after="100" w:line="360"/>
      </w:pPr>
      <w:r>
        <w:t xml:space="preserve">Search literature and compound databases for existing small molecule inhibitors or modulators of candidate targets.</w:t>
      </w:r>
    </w:p>
    <w:p>
      <w:pPr>
        <w:pStyle w:val="ListParagraph"/>
        <w:numPr>
          <w:ilvl w:val="0"/>
          <w:numId w:val="2"/>
        </w:numPr>
        <w:spacing w:after="100" w:line="360"/>
      </w:pPr>
      <w:r>
        <w:t xml:space="preserve">Predict off-target binding profiles of existing inhibitors and rank by selectivity for the intended target.</w:t>
      </w:r>
    </w:p>
    <w:p>
      <w:pPr>
        <w:pStyle w:val="ListParagraph"/>
        <w:numPr>
          <w:ilvl w:val="0"/>
          <w:numId w:val="2"/>
        </w:numPr>
        <w:spacing w:after="100" w:line="360"/>
      </w:pPr>
      <w:r>
        <w:t xml:space="preserve">Evaluate clinical development status and prior safety experience with inhibitors of candidate targets.</w:t>
      </w:r>
    </w:p>
    <w:p>
      <w:pPr>
        <w:pStyle w:val="ListParagraph"/>
        <w:numPr>
          <w:ilvl w:val="0"/>
          <w:numId w:val="2"/>
        </w:numPr>
        <w:spacing w:after="100" w:line="360"/>
      </w:pPr>
      <w:r>
        <w:t xml:space="preserve">Assess CNS penetration capability and optimal pharmacokinetic properties for treating disease in nervous system tissues.</w:t>
      </w:r>
    </w:p>
    <w:p>
      <w:pPr>
        <w:spacing w:after="120"/>
      </w:pPr>
      <w:r>
        <w:rPr>
          <w:b/>
          <w:bCs/>
        </w:rPr>
        <w:t xml:space="preserve">Expected Outputs:</w:t>
      </w:r>
    </w:p>
    <w:p>
      <w:pPr>
        <w:pStyle w:val="ListParagraph"/>
        <w:numPr>
          <w:ilvl w:val="0"/>
          <w:numId w:val="2"/>
        </w:numPr>
        <w:spacing w:after="100" w:line="360"/>
      </w:pPr>
      <w:r>
        <w:t xml:space="preserve">Druggability assessment report for each candidate target: binding pocket characteristics and predicted ligandability scores</w:t>
      </w:r>
    </w:p>
    <w:p>
      <w:pPr>
        <w:pStyle w:val="ListParagraph"/>
        <w:numPr>
          <w:ilvl w:val="0"/>
          <w:numId w:val="2"/>
        </w:numPr>
        <w:spacing w:after="100" w:line="360"/>
      </w:pPr>
      <w:r>
        <w:t xml:space="preserve">Inhibitor inventory: existing compounds with IC50 values, selectivity profiles, and synthesis complexity rankings</w:t>
      </w:r>
    </w:p>
    <w:p>
      <w:pPr>
        <w:pStyle w:val="ListParagraph"/>
        <w:numPr>
          <w:ilvl w:val="0"/>
          <w:numId w:val="2"/>
        </w:numPr>
        <w:spacing w:after="100" w:line="360"/>
      </w:pPr>
      <w:r>
        <w:t xml:space="preserve">Off-target binding predictions: potential liabilities including cardiac, hepatic, and other safety-relevant interactions</w:t>
      </w:r>
    </w:p>
    <w:p>
      <w:pPr>
        <w:pStyle w:val="ListParagraph"/>
        <w:numPr>
          <w:ilvl w:val="0"/>
          <w:numId w:val="2"/>
        </w:numPr>
        <w:spacing w:after="100" w:line="360"/>
      </w:pPr>
      <w:r>
        <w:t xml:space="preserve">Clinical translation potential: summary of prior trials with related inhibitors and predicted human efficacy based on preclinical data</w:t>
      </w:r>
    </w:p>
    <w:p>
      <w:pPr>
        <w:pStyle w:val="ListParagraph"/>
        <w:numPr>
          <w:ilvl w:val="0"/>
          <w:numId w:val="2"/>
        </w:numPr>
        <w:spacing w:after="100" w:line="360"/>
      </w:pPr>
      <w:r>
        <w:t xml:space="preserve">CNS penetration optimization recommendations: molecular properties and formulation strategies for disease-relevant tissue targeting</w:t>
      </w:r>
    </w:p>
    <w:p>
      <w:pPr>
        <w:pStyle w:val="ListParagraph"/>
        <w:numPr>
          <w:ilvl w:val="0"/>
          <w:numId w:val="2"/>
        </w:numPr>
        <w:spacing w:after="100" w:line="360"/>
      </w:pPr>
      <w:r>
        <w:t xml:space="preserve">Final target prioritization ranking combining leverage score with druggability and clinical feasibility metrics</w:t>
      </w:r>
    </w:p>
    <w:p>
      <w:pPr>
        <w:spacing w:after="200" w:line="360"/>
      </w:pPr>
      <w:r>
        <w:rPr>
          <w:b/>
          <w:bCs/>
        </w:rPr>
        <w:t xml:space="preserve">Format: </w:t>
      </w:r>
      <w:r>
        <w:t xml:space="preserve">Druggability reports, compound library summaries, off-target predictions, clinical translation assessments, and integrated target rankings.</w:t>
      </w:r>
    </w:p>
    <w:p>
      <w:pPr>
        <w:pStyle w:val="Heading2"/>
      </w:pPr>
      <w:r>
        <w:t xml:space="preserve">Stage 6: Safety Pharmacology &amp; Validation</w:t>
      </w:r>
    </w:p>
    <w:p>
      <w:pPr>
        <w:spacing w:after="200" w:line="360"/>
      </w:pPr>
      <w:r>
        <w:rPr>
          <w:b/>
          <w:bCs/>
        </w:rPr>
        <w:t xml:space="preserve">Purpose: </w:t>
      </w:r>
      <w:r>
        <w:t xml:space="preserve">Comprehensively assess safety liabilities of targeting the optimal pathway node, predicting on-target and off-target adverse effects across tissues and incorporating validation experiments to confirm computational predictions.</w:t>
      </w:r>
    </w:p>
    <w:p>
      <w:pPr>
        <w:spacing w:after="120"/>
      </w:pPr>
      <w:r>
        <w:rPr>
          <w:b/>
          <w:bCs/>
        </w:rPr>
        <w:t xml:space="preserve">Inputs:</w:t>
      </w:r>
    </w:p>
    <w:p>
      <w:pPr>
        <w:pStyle w:val="ListParagraph"/>
        <w:numPr>
          <w:ilvl w:val="0"/>
          <w:numId w:val="2"/>
        </w:numPr>
        <w:spacing w:after="100" w:line="360"/>
      </w:pPr>
      <w:r>
        <w:t xml:space="preserve">Target protein expression profiles across tissues and developmental stages from GTEx, HPA, and single-cell atlases</w:t>
      </w:r>
    </w:p>
    <w:p>
      <w:pPr>
        <w:pStyle w:val="ListParagraph"/>
        <w:numPr>
          <w:ilvl w:val="0"/>
          <w:numId w:val="2"/>
        </w:numPr>
        <w:spacing w:after="100" w:line="360"/>
      </w:pPr>
      <w:r>
        <w:t xml:space="preserve">Off-target kinase/receptor panels and toxicity screening data for available inhibitors of candidate targets</w:t>
      </w:r>
    </w:p>
    <w:p>
      <w:pPr>
        <w:pStyle w:val="ListParagraph"/>
        <w:numPr>
          <w:ilvl w:val="0"/>
          <w:numId w:val="2"/>
        </w:numPr>
        <w:spacing w:after="100" w:line="360"/>
      </w:pPr>
      <w:r>
        <w:t xml:space="preserve">Genetic association data linking target genes to adverse phenotypes or disease sensitivity in population studies</w:t>
      </w:r>
    </w:p>
    <w:p>
      <w:pPr>
        <w:pStyle w:val="ListParagraph"/>
        <w:numPr>
          <w:ilvl w:val="0"/>
          <w:numId w:val="2"/>
        </w:numPr>
        <w:spacing w:after="100" w:line="360"/>
      </w:pPr>
      <w:r>
        <w:t xml:space="preserve">Animal toxicology data from prior studies with target inhibitors including organ-specific safety endpoints</w:t>
      </w:r>
    </w:p>
    <w:p>
      <w:pPr>
        <w:pStyle w:val="ListParagraph"/>
        <w:numPr>
          <w:ilvl w:val="0"/>
          <w:numId w:val="2"/>
        </w:numPr>
        <w:spacing w:after="100" w:line="360"/>
      </w:pPr>
      <w:r>
        <w:t xml:space="preserve">Biomarker signature datasets for hepatotoxicity, nephrotoxicity, cardiotoxicity, and neurotoxicity predictions</w:t>
      </w:r>
    </w:p>
    <w:p>
      <w:pPr>
        <w:spacing w:after="120"/>
      </w:pPr>
      <w:r>
        <w:rPr>
          <w:b/>
          <w:bCs/>
        </w:rPr>
        <w:t xml:space="preserve">Tools &amp; Databases Called:</w:t>
      </w:r>
    </w:p>
    <w:p>
      <w:pPr>
        <w:pStyle w:val="ListParagraph"/>
        <w:numPr>
          <w:ilvl w:val="0"/>
          <w:numId w:val="2"/>
        </w:numPr>
        <w:spacing w:after="100" w:line="360"/>
      </w:pPr>
      <w:r>
        <w:rPr>
          <w:b/>
          <w:bCs/>
        </w:rPr>
        <w:t xml:space="preserve">LINCS L1000: </w:t>
      </w:r>
      <w:r>
        <w:t xml:space="preserve">Large-scale perturbational drug and genetic screening with transcriptomic signatures for toxicity prediction</w:t>
      </w:r>
    </w:p>
    <w:p>
      <w:pPr>
        <w:pStyle w:val="ListParagraph"/>
        <w:numPr>
          <w:ilvl w:val="0"/>
          <w:numId w:val="2"/>
        </w:numPr>
        <w:spacing w:after="100" w:line="360"/>
      </w:pPr>
      <w:r>
        <w:rPr>
          <w:b/>
          <w:bCs/>
        </w:rPr>
        <w:t xml:space="preserve">eTOX &amp; REOS: </w:t>
      </w:r>
      <w:r>
        <w:t xml:space="preserve">Toxicity prediction models trained on historical safety data and adverse event databases</w:t>
      </w:r>
    </w:p>
    <w:p>
      <w:pPr>
        <w:pStyle w:val="ListParagraph"/>
        <w:numPr>
          <w:ilvl w:val="0"/>
          <w:numId w:val="2"/>
        </w:numPr>
        <w:spacing w:after="100" w:line="360"/>
      </w:pPr>
      <w:r>
        <w:rPr>
          <w:b/>
          <w:bCs/>
        </w:rPr>
        <w:t xml:space="preserve">Sapphire Safety Predictor: </w:t>
      </w:r>
      <w:r>
        <w:t xml:space="preserve">Integrated module predicting organ-specific toxicity, genetic liability interactions, and long-term safety concerns</w:t>
      </w:r>
    </w:p>
    <w:p>
      <w:pPr>
        <w:pStyle w:val="ListParagraph"/>
        <w:numPr>
          <w:ilvl w:val="0"/>
          <w:numId w:val="2"/>
        </w:numPr>
        <w:spacing w:after="100" w:line="360"/>
      </w:pPr>
      <w:r>
        <w:rPr>
          <w:b/>
          <w:bCs/>
        </w:rPr>
        <w:t xml:space="preserve">FDA FAERS &amp; Vigibase: </w:t>
      </w:r>
      <w:r>
        <w:t xml:space="preserve">Adverse event reporting systems for signals from prior drug therapy in related target spaces</w:t>
      </w:r>
    </w:p>
    <w:p>
      <w:pPr>
        <w:pStyle w:val="ListParagraph"/>
        <w:numPr>
          <w:ilvl w:val="0"/>
          <w:numId w:val="2"/>
        </w:numPr>
        <w:spacing w:after="100" w:line="360"/>
      </w:pPr>
      <w:r>
        <w:rPr>
          <w:b/>
          <w:bCs/>
        </w:rPr>
        <w:t xml:space="preserve">GTEx &amp; HPA: </w:t>
      </w:r>
      <w:r>
        <w:t xml:space="preserve">Tissue expression databases identifying off-target tissues vulnerable to therapeutic intervention</w:t>
      </w:r>
    </w:p>
    <w:p>
      <w:pPr>
        <w:pStyle w:val="ListParagraph"/>
        <w:numPr>
          <w:ilvl w:val="0"/>
          <w:numId w:val="2"/>
        </w:numPr>
        <w:spacing w:after="100" w:line="360"/>
      </w:pPr>
      <w:r>
        <w:rPr>
          <w:b/>
          <w:bCs/>
        </w:rPr>
        <w:t xml:space="preserve">Sapphire Validation Designer: </w:t>
      </w:r>
      <w:r>
        <w:t xml:space="preserve">Tool generating experimental protocols to validate computational safety and efficacy predictions</w:t>
      </w:r>
    </w:p>
    <w:p>
      <w:pPr>
        <w:spacing w:after="120"/>
      </w:pPr>
      <w:r>
        <w:rPr>
          <w:b/>
          <w:bCs/>
        </w:rPr>
        <w:t xml:space="preserve">Exemplary Sub-Prompts:</w:t>
      </w:r>
    </w:p>
    <w:p>
      <w:pPr>
        <w:pStyle w:val="ListParagraph"/>
        <w:numPr>
          <w:ilvl w:val="0"/>
          <w:numId w:val="2"/>
        </w:numPr>
        <w:spacing w:after="100" w:line="360"/>
      </w:pPr>
      <w:r>
        <w:t xml:space="preserve">Map candidate target protein expression across tissues and identify vulnerable organs where inhibition could cause adverse effects.</w:t>
      </w:r>
    </w:p>
    <w:p>
      <w:pPr>
        <w:pStyle w:val="ListParagraph"/>
        <w:numPr>
          <w:ilvl w:val="0"/>
          <w:numId w:val="2"/>
        </w:numPr>
        <w:spacing w:after="100" w:line="360"/>
      </w:pPr>
      <w:r>
        <w:t xml:space="preserve">Predict genetic interactions: populations or individuals with polymorphisms affecting target function may show differential toxicity.</w:t>
      </w:r>
    </w:p>
    <w:p>
      <w:pPr>
        <w:pStyle w:val="ListParagraph"/>
        <w:numPr>
          <w:ilvl w:val="0"/>
          <w:numId w:val="2"/>
        </w:numPr>
        <w:spacing w:after="100" w:line="360"/>
      </w:pPr>
      <w:r>
        <w:t xml:space="preserve">Analyze LINCS perturbational data for toxicity signatures associated with target inhibition in various cell types.</w:t>
      </w:r>
    </w:p>
    <w:p>
      <w:pPr>
        <w:pStyle w:val="ListParagraph"/>
        <w:numPr>
          <w:ilvl w:val="0"/>
          <w:numId w:val="2"/>
        </w:numPr>
        <w:spacing w:after="100" w:line="360"/>
      </w:pPr>
      <w:r>
        <w:t xml:space="preserve">Design experimental validation plan: iPSC-derived organoids, mouse models, and ex vivo tissue assays to confirm safety predictions.</w:t>
      </w:r>
    </w:p>
    <w:p>
      <w:pPr>
        <w:pStyle w:val="ListParagraph"/>
        <w:numPr>
          <w:ilvl w:val="0"/>
          <w:numId w:val="2"/>
        </w:numPr>
        <w:spacing w:after="100" w:line="360"/>
      </w:pPr>
      <w:r>
        <w:t xml:space="preserve">Establish acceptable efficacy/safety windows and dose ranges compatible with therapeutic benefit without prohibitive toxicity.</w:t>
      </w:r>
    </w:p>
    <w:p>
      <w:pPr>
        <w:spacing w:after="120"/>
      </w:pPr>
      <w:r>
        <w:rPr>
          <w:b/>
          <w:bCs/>
        </w:rPr>
        <w:t xml:space="preserve">Expected Outputs:</w:t>
      </w:r>
    </w:p>
    <w:p>
      <w:pPr>
        <w:pStyle w:val="ListParagraph"/>
        <w:numPr>
          <w:ilvl w:val="0"/>
          <w:numId w:val="2"/>
        </w:numPr>
        <w:spacing w:after="100" w:line="360"/>
      </w:pPr>
      <w:r>
        <w:t xml:space="preserve">Safety assessment report: tissue-specific expression patterns and predicted organ vulnerability to target inhibition</w:t>
      </w:r>
    </w:p>
    <w:p>
      <w:pPr>
        <w:pStyle w:val="ListParagraph"/>
        <w:numPr>
          <w:ilvl w:val="0"/>
          <w:numId w:val="2"/>
        </w:numPr>
        <w:spacing w:after="100" w:line="360"/>
      </w:pPr>
      <w:r>
        <w:t xml:space="preserve">Off-target toxicity predictions: kinome/GPCR profiling results and scoring of potential adverse events</w:t>
      </w:r>
    </w:p>
    <w:p>
      <w:pPr>
        <w:pStyle w:val="ListParagraph"/>
        <w:numPr>
          <w:ilvl w:val="0"/>
          <w:numId w:val="2"/>
        </w:numPr>
        <w:spacing w:after="100" w:line="360"/>
      </w:pPr>
      <w:r>
        <w:t xml:space="preserve">Biomarker signatures for hepatotoxicity, nephrotoxicity, cardiotoxicity, and CNS effects with predictive accuracy assessments</w:t>
      </w:r>
    </w:p>
    <w:p>
      <w:pPr>
        <w:pStyle w:val="ListParagraph"/>
        <w:numPr>
          <w:ilvl w:val="0"/>
          <w:numId w:val="2"/>
        </w:numPr>
        <w:spacing w:after="100" w:line="360"/>
      </w:pPr>
      <w:r>
        <w:t xml:space="preserve">Genetic liability assessment: population-specific risk variants modifying response to target inhibition</w:t>
      </w:r>
    </w:p>
    <w:p>
      <w:pPr>
        <w:pStyle w:val="ListParagraph"/>
        <w:numPr>
          <w:ilvl w:val="0"/>
          <w:numId w:val="2"/>
        </w:numPr>
        <w:spacing w:after="100" w:line="360"/>
      </w:pPr>
      <w:r>
        <w:t xml:space="preserve">Experimental validation protocol: iPSC organoids, transgenic models, and tissue culture assays with specific readouts</w:t>
      </w:r>
    </w:p>
    <w:p>
      <w:pPr>
        <w:pStyle w:val="ListParagraph"/>
        <w:numPr>
          <w:ilvl w:val="0"/>
          <w:numId w:val="2"/>
        </w:numPr>
        <w:spacing w:after="100" w:line="360"/>
      </w:pPr>
      <w:r>
        <w:t xml:space="preserve">Therapeutic window definition: efficacious dose ranges, safety margins, and patient monitoring recommendations</w:t>
      </w:r>
    </w:p>
    <w:p>
      <w:pPr>
        <w:spacing w:after="200" w:line="360"/>
      </w:pPr>
      <w:r>
        <w:rPr>
          <w:b/>
          <w:bCs/>
        </w:rPr>
        <w:t xml:space="preserve">Format: </w:t>
      </w:r>
      <w:r>
        <w:t xml:space="preserve">Safety assessment documents, organ-specific toxicity tables, validation protocols, biomarker predictions, and therapeutic window summaries.</w:t>
      </w:r>
    </w:p>
    <w:p>
      <w:pPr>
        <w:pStyle w:val="Heading2"/>
      </w:pPr>
      <w:r>
        <w:t xml:space="preserve">Tools &amp; Databases Summary</w:t>
      </w:r>
    </w:p>
    <w:p>
      <w:pPr>
        <w:pStyle w:val="ListParagraph"/>
        <w:numPr>
          <w:ilvl w:val="0"/>
          <w:numId w:val="2"/>
        </w:numPr>
        <w:spacing w:after="100" w:line="360"/>
      </w:pPr>
      <w:r>
        <w:t xml:space="preserve">STRING &amp; BioGRID: Protein-protein interaction databases with experimental evidence and confidence scoring</w:t>
      </w:r>
    </w:p>
    <w:p>
      <w:pPr>
        <w:pStyle w:val="ListParagraph"/>
        <w:numPr>
          <w:ilvl w:val="0"/>
          <w:numId w:val="2"/>
        </w:numPr>
        <w:spacing w:after="100" w:line="360"/>
      </w:pPr>
      <w:r>
        <w:t xml:space="preserve">KEGG &amp; Reactome: Pathway databases with pathway maps, enzyme annotations, and regulatory information</w:t>
      </w:r>
    </w:p>
    <w:p>
      <w:pPr>
        <w:pStyle w:val="ListParagraph"/>
        <w:numPr>
          <w:ilvl w:val="0"/>
          <w:numId w:val="2"/>
        </w:numPr>
        <w:spacing w:after="100" w:line="360"/>
      </w:pPr>
      <w:r>
        <w:t xml:space="preserve">GTEx Portal: Tissue-specific gene expression and expression quantitative trait loci across 50+ tissues</w:t>
      </w:r>
    </w:p>
    <w:p>
      <w:pPr>
        <w:pStyle w:val="ListParagraph"/>
        <w:numPr>
          <w:ilvl w:val="0"/>
          <w:numId w:val="2"/>
        </w:numPr>
        <w:spacing w:after="100" w:line="360"/>
      </w:pPr>
      <w:r>
        <w:t xml:space="preserve">DisGeNET &amp; GWAS Catalog: Disease-gene associations and genome-wide significant variants for trait mapping</w:t>
      </w:r>
    </w:p>
    <w:p>
      <w:pPr>
        <w:pStyle w:val="ListParagraph"/>
        <w:numPr>
          <w:ilvl w:val="0"/>
          <w:numId w:val="2"/>
        </w:numPr>
        <w:spacing w:after="100" w:line="360"/>
      </w:pPr>
      <w:r>
        <w:t xml:space="preserve">MR-Base: Mendelian randomization platform with GWAS summary statistics and causal inference tools</w:t>
      </w:r>
    </w:p>
    <w:p>
      <w:pPr>
        <w:pStyle w:val="ListParagraph"/>
        <w:numPr>
          <w:ilvl w:val="0"/>
          <w:numId w:val="2"/>
        </w:numPr>
        <w:spacing w:after="100" w:line="360"/>
      </w:pPr>
      <w:r>
        <w:t xml:space="preserve">DepMap &amp; RNAi Consortium: Large-scale genetic perturbation screens with transcriptomic readouts</w:t>
      </w:r>
    </w:p>
    <w:p>
      <w:pPr>
        <w:pStyle w:val="ListParagraph"/>
        <w:numPr>
          <w:ilvl w:val="0"/>
          <w:numId w:val="2"/>
        </w:numPr>
        <w:spacing w:after="100" w:line="360"/>
      </w:pPr>
      <w:r>
        <w:t xml:space="preserve">NetworkX &amp; igraph: Graph analysis libraries for network topology analysis and centrality computations</w:t>
      </w:r>
    </w:p>
    <w:p>
      <w:pPr>
        <w:pStyle w:val="ListParagraph"/>
        <w:numPr>
          <w:ilvl w:val="0"/>
          <w:numId w:val="2"/>
        </w:numPr>
        <w:spacing w:after="100" w:line="360"/>
      </w:pPr>
      <w:r>
        <w:t xml:space="preserve">BioNetGen &amp; COPASI: Biochemical network simulation software for ODE and stochastic modeling</w:t>
      </w:r>
    </w:p>
    <w:p>
      <w:pPr>
        <w:pStyle w:val="ListParagraph"/>
        <w:numPr>
          <w:ilvl w:val="0"/>
          <w:numId w:val="2"/>
        </w:numPr>
        <w:spacing w:after="100" w:line="360"/>
      </w:pPr>
      <w:r>
        <w:t xml:space="preserve">PDB &amp; AlphaFold: Protein structure databases for druggability assessment and target characterization</w:t>
      </w:r>
    </w:p>
    <w:p>
      <w:pPr>
        <w:pStyle w:val="ListParagraph"/>
        <w:numPr>
          <w:ilvl w:val="0"/>
          <w:numId w:val="2"/>
        </w:numPr>
        <w:spacing w:after="100" w:line="360"/>
      </w:pPr>
      <w:r>
        <w:t xml:space="preserve">ChEMBL &amp; DrugBank: Chemical compound and drug databases with bioactivity and target annotations</w:t>
      </w:r>
    </w:p>
    <w:p>
      <w:pPr>
        <w:pStyle w:val="ListParagraph"/>
        <w:numPr>
          <w:ilvl w:val="0"/>
          <w:numId w:val="2"/>
        </w:numPr>
        <w:spacing w:after="100" w:line="360"/>
      </w:pPr>
      <w:r>
        <w:t xml:space="preserve">LINCS L1000: Large-scale perturbational drug and genetic screening with expression signatures</w:t>
      </w:r>
    </w:p>
    <w:p>
      <w:pPr>
        <w:pStyle w:val="ListParagraph"/>
        <w:numPr>
          <w:ilvl w:val="0"/>
          <w:numId w:val="2"/>
        </w:numPr>
        <w:spacing w:after="100" w:line="360"/>
      </w:pPr>
      <w:r>
        <w:t xml:space="preserve">eTOX &amp; REOS: Toxicity and drug-likeness prediction tools for safety assessment</w:t>
      </w:r>
    </w:p>
    <w:p>
      <w:pPr>
        <w:pStyle w:val="ListParagraph"/>
        <w:numPr>
          <w:ilvl w:val="0"/>
          <w:numId w:val="2"/>
        </w:numPr>
        <w:spacing w:after="100" w:line="360"/>
      </w:pPr>
      <w:r>
        <w:t xml:space="preserve">ClinicalTrials.gov: Clinical trial registry with patient cohort characteristics and outcome data</w:t>
      </w:r>
    </w:p>
    <w:p>
      <w:pPr>
        <w:pStyle w:val="ListParagraph"/>
        <w:numPr>
          <w:ilvl w:val="0"/>
          <w:numId w:val="2"/>
        </w:numPr>
        <w:spacing w:after="100" w:line="360"/>
      </w:pPr>
      <w:r>
        <w:t xml:space="preserve">HPA &amp; Allen Brain Atlas: Tissue and cell type-specific protein expression and localization data</w:t>
      </w:r>
    </w:p>
    <w:p>
      <w:pPr>
        <w:pStyle w:val="ListParagraph"/>
        <w:numPr>
          <w:ilvl w:val="0"/>
          <w:numId w:val="2"/>
        </w:numPr>
        <w:spacing w:after="100" w:line="360"/>
      </w:pPr>
      <w:r>
        <w:t xml:space="preserve">Sapphire Platform: Quiver Bioscience's integrated system combining all preceding tools for complete pathway node identification and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2026-03-02T00:46:13.054Z</dcterms:created>
  <dcterms:modified xsi:type="dcterms:W3CDTF">2026-03-02T00:46:13.054Z</dcterms:modified>
</cp:coreProperties>
</file>

<file path=docProps/custom.xml><?xml version="1.0" encoding="utf-8"?>
<Properties xmlns="http://schemas.openxmlformats.org/officeDocument/2006/custom-properties" xmlns:vt="http://schemas.openxmlformats.org/officeDocument/2006/docPropsVTypes"/>
</file>