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r>
        <w:rPr>
          <w:b/>
          <w:bCs/>
        </w:rPr>
        <w:t xml:space="preserve">Prompt: </w:t>
      </w:r>
      <w:r>
        <w:t xml:space="preserve">"Predict multi-target strategy outperforming mTOR inhibition alone in TSC."</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The Sapphire pipeline identifies optimal multi-target combination strategies for tuberous sclerosis complex (TSC) by analyzing mTOR-dependent and mTOR-independent disease mechanisms across TSC1/TSC2 loss-of-function contexts. The platform systematically evaluates synergistic drug combinations that circumvent adaptive feedback, target parallel signaling branches, and address distinct cellular phenotypes (hamartoma growth, seizure susceptibility, renal cyst formation) simultaneously. Integration of systems pharmacology, pathway network analysis, and predictive biomarker discovery enables rational design of combinations superior to single-agent mTOR inhibition.</w:t>
      </w:r>
    </w:p>
    <w:p>
      <w:pPr>
        <w:spacing w:after="200" w:line="360"/>
      </w:pPr>
      <w:r>
        <w:t xml:space="preserve">Execution proceeds through molecular mechanism profiling, adaptive feedback identification, synergy prediction, multi-target optimization, biomarker-driven stratification, and clinical translation stages. Each stage leverages TSC disease cohorts, patient-derived cell models, and comprehensive omics datasets to define combination strategies with predicted superior efficacy and manageable safety profiles. Outputs include ranked multi-target combinations with quantified synergy metrics, patient stratification biomarkers, expected efficacy improvements, and translatable clinical trial designs.</w:t>
      </w:r>
    </w:p>
    <w:p>
      <w:pPr>
        <w:pStyle w:val="Heading2"/>
      </w:pPr>
      <w:r>
        <w:t xml:space="preserve">Stage 1: TSC Pathophysiology &amp; Molecular Mechanism Profiling</w:t>
      </w:r>
    </w:p>
    <w:p>
      <w:pPr>
        <w:spacing w:after="200" w:line="360"/>
      </w:pPr>
      <w:r>
        <w:rPr>
          <w:b/>
          <w:bCs/>
        </w:rPr>
        <w:t xml:space="preserve">Purpose: </w:t>
      </w:r>
      <w:r>
        <w:t xml:space="preserve">Comprehensively characterize TSC1/TSC2 loss-of-function molecular phenotypes beyond mTOR hyperactivation, identifying parallel dysregulated pathways and phenotypic vulnerabilities targetable with combination approaches.</w:t>
      </w:r>
    </w:p>
    <w:p>
      <w:pPr>
        <w:spacing w:after="120"/>
      </w:pPr>
      <w:r>
        <w:rPr>
          <w:b/>
          <w:bCs/>
        </w:rPr>
        <w:t xml:space="preserve">Inputs:</w:t>
      </w:r>
    </w:p>
    <w:p>
      <w:pPr>
        <w:pStyle w:val="ListParagraph"/>
        <w:numPr>
          <w:ilvl w:val="0"/>
          <w:numId w:val="2"/>
        </w:numPr>
        <w:spacing w:after="100" w:line="360"/>
      </w:pPr>
      <w:r>
        <w:t xml:space="preserve">Multi-omics datasets from TSC patient tissues, TSC2-knockout cell lines, and mouse models: transcriptomics, proteomics, phosphoproteomics, metabolomics</w:t>
      </w:r>
    </w:p>
    <w:p>
      <w:pPr>
        <w:pStyle w:val="ListParagraph"/>
        <w:numPr>
          <w:ilvl w:val="0"/>
          <w:numId w:val="2"/>
        </w:numPr>
        <w:spacing w:after="100" w:line="360"/>
      </w:pPr>
      <w:r>
        <w:t xml:space="preserve">Pathway analysis of mTOR-independent effects including autophagy, immunosurveillance, metabolic rewiring, and epigenetic changes</w:t>
      </w:r>
    </w:p>
    <w:p>
      <w:pPr>
        <w:pStyle w:val="ListParagraph"/>
        <w:numPr>
          <w:ilvl w:val="0"/>
          <w:numId w:val="2"/>
        </w:numPr>
        <w:spacing w:after="100" w:line="360"/>
      </w:pPr>
      <w:r>
        <w:t xml:space="preserve">Clinical phenotype data: angiomyolipoma burden, renal cyst progression, seizure frequency, tumorigenesis in TSC cohorts</w:t>
      </w:r>
    </w:p>
    <w:p>
      <w:pPr>
        <w:pStyle w:val="ListParagraph"/>
        <w:numPr>
          <w:ilvl w:val="0"/>
          <w:numId w:val="2"/>
        </w:numPr>
        <w:spacing w:after="100" w:line="360"/>
      </w:pPr>
      <w:r>
        <w:t xml:space="preserve">Biochemical characterization of TSC complex structure and GAP activity on RHEB with pharmacological and genetic perturbations</w:t>
      </w:r>
    </w:p>
    <w:p>
      <w:pPr>
        <w:pStyle w:val="ListParagraph"/>
        <w:numPr>
          <w:ilvl w:val="0"/>
          <w:numId w:val="2"/>
        </w:numPr>
        <w:spacing w:after="100" w:line="360"/>
      </w:pPr>
      <w:r>
        <w:t xml:space="preserve">Literature on mTOR-independent mechanisms: AMPK suppression, GATOR1/2 feedback, amino acid sensing disruption, lipid metabolism alterations</w:t>
      </w:r>
    </w:p>
    <w:p>
      <w:pPr>
        <w:spacing w:after="120"/>
      </w:pPr>
      <w:r>
        <w:rPr>
          <w:b/>
          <w:bCs/>
        </w:rPr>
        <w:t xml:space="preserve">Tools &amp; Databases Called:</w:t>
      </w:r>
    </w:p>
    <w:p>
      <w:pPr>
        <w:pStyle w:val="ListParagraph"/>
        <w:numPr>
          <w:ilvl w:val="0"/>
          <w:numId w:val="2"/>
        </w:numPr>
        <w:spacing w:after="100" w:line="360"/>
      </w:pPr>
      <w:r>
        <w:rPr>
          <w:b/>
          <w:bCs/>
        </w:rPr>
        <w:t xml:space="preserve">GEO &amp; TCGA: </w:t>
      </w:r>
      <w:r>
        <w:t xml:space="preserve">Gene expression data from TSC tumors and control tissues for pathway dysregulation identification</w:t>
      </w:r>
    </w:p>
    <w:p>
      <w:pPr>
        <w:pStyle w:val="ListParagraph"/>
        <w:numPr>
          <w:ilvl w:val="0"/>
          <w:numId w:val="2"/>
        </w:numPr>
        <w:spacing w:after="100" w:line="360"/>
      </w:pPr>
      <w:r>
        <w:rPr>
          <w:b/>
          <w:bCs/>
        </w:rPr>
        <w:t xml:space="preserve">PhosphoSitePlus &amp; SIGNOR: </w:t>
      </w:r>
      <w:r>
        <w:t xml:space="preserve">Phosphoproteome databases mapping mTOR-dependent and independent signaling cascades</w:t>
      </w:r>
    </w:p>
    <w:p>
      <w:pPr>
        <w:pStyle w:val="ListParagraph"/>
        <w:numPr>
          <w:ilvl w:val="0"/>
          <w:numId w:val="2"/>
        </w:numPr>
        <w:spacing w:after="100" w:line="360"/>
      </w:pPr>
      <w:r>
        <w:rPr>
          <w:b/>
          <w:bCs/>
        </w:rPr>
        <w:t xml:space="preserve">KEGG &amp; Reactome: </w:t>
      </w:r>
      <w:r>
        <w:t xml:space="preserve">Signaling pathway maps annotating mTOR, AMPK, growth factor, and metabolic networks</w:t>
      </w:r>
    </w:p>
    <w:p>
      <w:pPr>
        <w:pStyle w:val="ListParagraph"/>
        <w:numPr>
          <w:ilvl w:val="0"/>
          <w:numId w:val="2"/>
        </w:numPr>
        <w:spacing w:after="100" w:line="360"/>
      </w:pPr>
      <w:r>
        <w:rPr>
          <w:b/>
          <w:bCs/>
        </w:rPr>
        <w:t xml:space="preserve">Sapphire TSC Mechanism Analyzer: </w:t>
      </w:r>
      <w:r>
        <w:t xml:space="preserve">Custom platform tool integrating omics data to identify disease-driving dysregulation patterns</w:t>
      </w:r>
    </w:p>
    <w:p>
      <w:pPr>
        <w:pStyle w:val="ListParagraph"/>
        <w:numPr>
          <w:ilvl w:val="0"/>
          <w:numId w:val="2"/>
        </w:numPr>
        <w:spacing w:after="100" w:line="360"/>
      </w:pPr>
      <w:r>
        <w:rPr>
          <w:b/>
          <w:bCs/>
        </w:rPr>
        <w:t xml:space="preserve">Human Protein Atlas: </w:t>
      </w:r>
      <w:r>
        <w:t xml:space="preserve">Protein expression in normal and TSC-affected tissues, immunohistochemistry correlations</w:t>
      </w:r>
    </w:p>
    <w:p>
      <w:pPr>
        <w:pStyle w:val="ListParagraph"/>
        <w:numPr>
          <w:ilvl w:val="0"/>
          <w:numId w:val="2"/>
        </w:numPr>
        <w:spacing w:after="100" w:line="360"/>
      </w:pPr>
      <w:r>
        <w:rPr>
          <w:b/>
          <w:bCs/>
        </w:rPr>
        <w:t xml:space="preserve">MetaboAnalyst: </w:t>
      </w:r>
      <w:r>
        <w:t xml:space="preserve">Metabolomics pathway analysis for identifying dysregulated metabolic dependencies</w:t>
      </w:r>
    </w:p>
    <w:p>
      <w:pPr>
        <w:spacing w:after="120"/>
      </w:pPr>
      <w:r>
        <w:rPr>
          <w:b/>
          <w:bCs/>
        </w:rPr>
        <w:t xml:space="preserve">Exemplary Sub-Prompts:</w:t>
      </w:r>
    </w:p>
    <w:p>
      <w:pPr>
        <w:pStyle w:val="ListParagraph"/>
        <w:numPr>
          <w:ilvl w:val="0"/>
          <w:numId w:val="2"/>
        </w:numPr>
        <w:spacing w:after="100" w:line="360"/>
      </w:pPr>
      <w:r>
        <w:t xml:space="preserve">Map mTOR-independent dysregulation in TSC2-null cells: what pathways are hyperactivated beyond mTORC1/C2?</w:t>
      </w:r>
    </w:p>
    <w:p>
      <w:pPr>
        <w:pStyle w:val="ListParagraph"/>
        <w:numPr>
          <w:ilvl w:val="0"/>
          <w:numId w:val="2"/>
        </w:numPr>
        <w:spacing w:after="100" w:line="360"/>
      </w:pPr>
      <w:r>
        <w:t xml:space="preserve">Characterize TSC-specific cellular phenotypes: EMT, stemness, angiogenic potential, immune evasion, metabolic shifts.</w:t>
      </w:r>
    </w:p>
    <w:p>
      <w:pPr>
        <w:pStyle w:val="ListParagraph"/>
        <w:numPr>
          <w:ilvl w:val="0"/>
          <w:numId w:val="2"/>
        </w:numPr>
        <w:spacing w:after="100" w:line="360"/>
      </w:pPr>
      <w:r>
        <w:t xml:space="preserve">Compare mTOR inhibitor-sensitive versus resistant TSC cell populations to identify resistance mechanisms.</w:t>
      </w:r>
    </w:p>
    <w:p>
      <w:pPr>
        <w:pStyle w:val="ListParagraph"/>
        <w:numPr>
          <w:ilvl w:val="0"/>
          <w:numId w:val="2"/>
        </w:numPr>
        <w:spacing w:after="100" w:line="360"/>
      </w:pPr>
      <w:r>
        <w:t xml:space="preserve">Analyze metabolic dependencies: lipogenesis, nucleotide synthesis, amino acid uptake in TSC models.</w:t>
      </w:r>
    </w:p>
    <w:p>
      <w:pPr>
        <w:pStyle w:val="ListParagraph"/>
        <w:numPr>
          <w:ilvl w:val="0"/>
          <w:numId w:val="2"/>
        </w:numPr>
        <w:spacing w:after="100" w:line="360"/>
      </w:pPr>
      <w:r>
        <w:t xml:space="preserve">Profile immune infiltration patterns in TSC lesions and identify immune evasion mechanisms targetable by combination therapy.</w:t>
      </w:r>
    </w:p>
    <w:p>
      <w:pPr>
        <w:spacing w:after="120"/>
      </w:pPr>
      <w:r>
        <w:rPr>
          <w:b/>
          <w:bCs/>
        </w:rPr>
        <w:t xml:space="preserve">Expected Outputs:</w:t>
      </w:r>
    </w:p>
    <w:p>
      <w:pPr>
        <w:pStyle w:val="ListParagraph"/>
        <w:numPr>
          <w:ilvl w:val="0"/>
          <w:numId w:val="2"/>
        </w:numPr>
        <w:spacing w:after="100" w:line="360"/>
      </w:pPr>
      <w:r>
        <w:t xml:space="preserve">Comprehensive pathway dysregulation map for TSC: mTOR-dependent and independent mechanisms with quantified effect sizes</w:t>
      </w:r>
    </w:p>
    <w:p>
      <w:pPr>
        <w:pStyle w:val="ListParagraph"/>
        <w:numPr>
          <w:ilvl w:val="0"/>
          <w:numId w:val="2"/>
        </w:numPr>
        <w:spacing w:after="100" w:line="360"/>
      </w:pPr>
      <w:r>
        <w:t xml:space="preserve">Cellular phenotype characterization: proliferation, differentiation, invasion, migration, metabolism scores for TSC cells</w:t>
      </w:r>
    </w:p>
    <w:p>
      <w:pPr>
        <w:pStyle w:val="ListParagraph"/>
        <w:numPr>
          <w:ilvl w:val="0"/>
          <w:numId w:val="2"/>
        </w:numPr>
        <w:spacing w:after="100" w:line="360"/>
      </w:pPr>
      <w:r>
        <w:t xml:space="preserve">mTOR inhibitor resistance mechanisms: pathway reactivation, compensatory signaling, phenotypic switching patterns</w:t>
      </w:r>
    </w:p>
    <w:p>
      <w:pPr>
        <w:pStyle w:val="ListParagraph"/>
        <w:numPr>
          <w:ilvl w:val="0"/>
          <w:numId w:val="2"/>
        </w:numPr>
        <w:spacing w:after="100" w:line="360"/>
      </w:pPr>
      <w:r>
        <w:t xml:space="preserve">Metabolic dependency analysis: essential nutrient uptake, biosynthetic pathways, and druggable metabolic vulnerabilities</w:t>
      </w:r>
    </w:p>
    <w:p>
      <w:pPr>
        <w:pStyle w:val="ListParagraph"/>
        <w:numPr>
          <w:ilvl w:val="0"/>
          <w:numId w:val="2"/>
        </w:numPr>
        <w:spacing w:after="100" w:line="360"/>
      </w:pPr>
      <w:r>
        <w:t xml:space="preserve">Immune landscape characterization: infiltrating cell types, checkpoint expression, cytokine milieu in TSC lesions</w:t>
      </w:r>
    </w:p>
    <w:p>
      <w:pPr>
        <w:pStyle w:val="ListParagraph"/>
        <w:numPr>
          <w:ilvl w:val="0"/>
          <w:numId w:val="2"/>
        </w:numPr>
        <w:spacing w:after="100" w:line="360"/>
      </w:pPr>
      <w:r>
        <w:t xml:space="preserve">Ranked list of therapeutic opportunities beyond mTOR with supporting mechanistic evidence</w:t>
      </w:r>
    </w:p>
    <w:p>
      <w:pPr>
        <w:spacing w:after="200" w:line="360"/>
      </w:pPr>
      <w:r>
        <w:rPr>
          <w:b/>
          <w:bCs/>
        </w:rPr>
        <w:t xml:space="preserve">Format: </w:t>
      </w:r>
      <w:r>
        <w:t xml:space="preserve">Mechanistic pathway maps, dysregulation magnitude tables, cellular phenotype scorecards, metabolic and immune profiles.</w:t>
      </w:r>
    </w:p>
    <w:p>
      <w:pPr>
        <w:pStyle w:val="Heading2"/>
      </w:pPr>
      <w:r>
        <w:t xml:space="preserve">Stage 2: Adaptive Feedback &amp; Resistance Mechanism Analysis</w:t>
      </w:r>
    </w:p>
    <w:p>
      <w:pPr>
        <w:spacing w:after="200" w:line="360"/>
      </w:pPr>
      <w:r>
        <w:rPr>
          <w:b/>
          <w:bCs/>
        </w:rPr>
        <w:t xml:space="preserve">Purpose: </w:t>
      </w:r>
      <w:r>
        <w:t xml:space="preserve">Identify feedback loops and compensatory mechanisms engaged by mTOR inhibition that limit monotherapy efficacy, enabling rational combination design to overcome resistance.</w:t>
      </w:r>
    </w:p>
    <w:p>
      <w:pPr>
        <w:spacing w:after="120"/>
      </w:pPr>
      <w:r>
        <w:rPr>
          <w:b/>
          <w:bCs/>
        </w:rPr>
        <w:t xml:space="preserve">Inputs:</w:t>
      </w:r>
    </w:p>
    <w:p>
      <w:pPr>
        <w:pStyle w:val="ListParagraph"/>
        <w:numPr>
          <w:ilvl w:val="0"/>
          <w:numId w:val="2"/>
        </w:numPr>
        <w:spacing w:after="100" w:line="360"/>
      </w:pPr>
      <w:r>
        <w:t xml:space="preserve">Time-course transcriptomics and phosphoproteomics following mTOR inhibitor treatment in TSC models</w:t>
      </w:r>
    </w:p>
    <w:p>
      <w:pPr>
        <w:pStyle w:val="ListParagraph"/>
        <w:numPr>
          <w:ilvl w:val="0"/>
          <w:numId w:val="2"/>
        </w:numPr>
        <w:spacing w:after="100" w:line="360"/>
      </w:pPr>
      <w:r>
        <w:t xml:space="preserve">Clinical response data: baseline gene expression, copy number, and mutations in responding versus resistant TSC patients</w:t>
      </w:r>
    </w:p>
    <w:p>
      <w:pPr>
        <w:pStyle w:val="ListParagraph"/>
        <w:numPr>
          <w:ilvl w:val="0"/>
          <w:numId w:val="2"/>
        </w:numPr>
        <w:spacing w:after="100" w:line="360"/>
      </w:pPr>
      <w:r>
        <w:t xml:space="preserve">Signaling feedback loop databases and mechanistic literature on mTOR inhibitor-induced pathway reactivation</w:t>
      </w:r>
    </w:p>
    <w:p>
      <w:pPr>
        <w:pStyle w:val="ListParagraph"/>
        <w:numPr>
          <w:ilvl w:val="0"/>
          <w:numId w:val="2"/>
        </w:numPr>
        <w:spacing w:after="100" w:line="360"/>
      </w:pPr>
      <w:r>
        <w:t xml:space="preserve">MAPK/ERK reactivation patterns and IGF1R/insulin signaling compensation following mTOR blockade</w:t>
      </w:r>
    </w:p>
    <w:p>
      <w:pPr>
        <w:pStyle w:val="ListParagraph"/>
        <w:numPr>
          <w:ilvl w:val="0"/>
          <w:numId w:val="2"/>
        </w:numPr>
        <w:spacing w:after="100" w:line="360"/>
      </w:pPr>
      <w:r>
        <w:t xml:space="preserve">S6K-mediated negative feedback on insulin/IGF1 signaling and relief of feedback inhibition upon mTOR suppression</w:t>
      </w:r>
    </w:p>
    <w:p>
      <w:pPr>
        <w:spacing w:after="120"/>
      </w:pPr>
      <w:r>
        <w:rPr>
          <w:b/>
          <w:bCs/>
        </w:rPr>
        <w:t xml:space="preserve">Tools &amp; Databases Called:</w:t>
      </w:r>
    </w:p>
    <w:p>
      <w:pPr>
        <w:pStyle w:val="ListParagraph"/>
        <w:numPr>
          <w:ilvl w:val="0"/>
          <w:numId w:val="2"/>
        </w:numPr>
        <w:spacing w:after="100" w:line="360"/>
      </w:pPr>
      <w:r>
        <w:rPr>
          <w:b/>
          <w:bCs/>
        </w:rPr>
        <w:t xml:space="preserve">TCGA &amp; GEO: </w:t>
      </w:r>
      <w:r>
        <w:t xml:space="preserve">Longitudinal expression data from TSC patient biopsies before/during mTOR inhibitor therapy</w:t>
      </w:r>
    </w:p>
    <w:p>
      <w:pPr>
        <w:pStyle w:val="ListParagraph"/>
        <w:numPr>
          <w:ilvl w:val="0"/>
          <w:numId w:val="2"/>
        </w:numPr>
        <w:spacing w:after="100" w:line="360"/>
      </w:pPr>
      <w:r>
        <w:rPr>
          <w:b/>
          <w:bCs/>
        </w:rPr>
        <w:t xml:space="preserve">PhosphoSitePlus: </w:t>
      </w:r>
      <w:r>
        <w:t xml:space="preserve">Phosphorylation site-specific feedback relationships and S6K targets</w:t>
      </w:r>
    </w:p>
    <w:p>
      <w:pPr>
        <w:pStyle w:val="ListParagraph"/>
        <w:numPr>
          <w:ilvl w:val="0"/>
          <w:numId w:val="2"/>
        </w:numPr>
        <w:spacing w:after="100" w:line="360"/>
      </w:pPr>
      <w:r>
        <w:rPr>
          <w:b/>
          <w:bCs/>
        </w:rPr>
        <w:t xml:space="preserve">Sapphire Feedback Analyzer: </w:t>
      </w:r>
      <w:r>
        <w:t xml:space="preserve">Time-series analysis of feedback loop engagement and resistance acquisition patterns</w:t>
      </w:r>
    </w:p>
    <w:p>
      <w:pPr>
        <w:pStyle w:val="ListParagraph"/>
        <w:numPr>
          <w:ilvl w:val="0"/>
          <w:numId w:val="2"/>
        </w:numPr>
        <w:spacing w:after="100" w:line="360"/>
      </w:pPr>
      <w:r>
        <w:rPr>
          <w:b/>
          <w:bCs/>
        </w:rPr>
        <w:t xml:space="preserve">STRING &amp; BioPAX: </w:t>
      </w:r>
      <w:r>
        <w:t xml:space="preserve">Signaling network databases with feedback loop annotations and crosstalk information</w:t>
      </w:r>
    </w:p>
    <w:p>
      <w:pPr>
        <w:pStyle w:val="ListParagraph"/>
        <w:numPr>
          <w:ilvl w:val="0"/>
          <w:numId w:val="2"/>
        </w:numPr>
        <w:spacing w:after="100" w:line="360"/>
      </w:pPr>
      <w:r>
        <w:rPr>
          <w:b/>
          <w:bCs/>
        </w:rPr>
        <w:t xml:space="preserve">NOTEARS &amp; Causal Discovery: </w:t>
      </w:r>
      <w:r>
        <w:t xml:space="preserve">Causal inference algorithms identifying feedback causal relationships from omics data</w:t>
      </w:r>
    </w:p>
    <w:p>
      <w:pPr>
        <w:pStyle w:val="ListParagraph"/>
        <w:numPr>
          <w:ilvl w:val="0"/>
          <w:numId w:val="2"/>
        </w:numPr>
        <w:spacing w:after="100" w:line="360"/>
      </w:pPr>
      <w:r>
        <w:rPr>
          <w:b/>
          <w:bCs/>
        </w:rPr>
        <w:t xml:space="preserve">LINCS L1000: </w:t>
      </w:r>
      <w:r>
        <w:t xml:space="preserve">Transcriptomic signatures following mTOR inhibitor treatment identifying pathway reactivation</w:t>
      </w:r>
    </w:p>
    <w:p>
      <w:pPr>
        <w:spacing w:after="120"/>
      </w:pPr>
      <w:r>
        <w:rPr>
          <w:b/>
          <w:bCs/>
        </w:rPr>
        <w:t xml:space="preserve">Exemplary Sub-Prompts:</w:t>
      </w:r>
    </w:p>
    <w:p>
      <w:pPr>
        <w:pStyle w:val="ListParagraph"/>
        <w:numPr>
          <w:ilvl w:val="0"/>
          <w:numId w:val="2"/>
        </w:numPr>
        <w:spacing w:after="100" w:line="360"/>
      </w:pPr>
      <w:r>
        <w:t xml:space="preserve">Analyze transcriptome dynamics following mTOR inhibitor addition to TSC cells: early, intermediate, and late compensation responses.</w:t>
      </w:r>
    </w:p>
    <w:p>
      <w:pPr>
        <w:pStyle w:val="ListParagraph"/>
        <w:numPr>
          <w:ilvl w:val="0"/>
          <w:numId w:val="2"/>
        </w:numPr>
        <w:spacing w:after="100" w:line="360"/>
      </w:pPr>
      <w:r>
        <w:t xml:space="preserve">Identify IGF1R/insulin signaling reactivation and MAP2K/MAPK pathway upregulation as major resistance mechanisms.</w:t>
      </w:r>
    </w:p>
    <w:p>
      <w:pPr>
        <w:pStyle w:val="ListParagraph"/>
        <w:numPr>
          <w:ilvl w:val="0"/>
          <w:numId w:val="2"/>
        </w:numPr>
        <w:spacing w:after="100" w:line="360"/>
      </w:pPr>
      <w:r>
        <w:t xml:space="preserve">Map S6K-mediated feedback loops: what IRS proteins or growth factor receptors are inhibited by S6K that become reactivated?</w:t>
      </w:r>
    </w:p>
    <w:p>
      <w:pPr>
        <w:pStyle w:val="ListParagraph"/>
        <w:numPr>
          <w:ilvl w:val="0"/>
          <w:numId w:val="2"/>
        </w:numPr>
        <w:spacing w:after="100" w:line="360"/>
      </w:pPr>
      <w:r>
        <w:t xml:space="preserve">Characterize transcriptional responses: what genes are upregulated or downregulated in resistant versus responsive TSC patients?</w:t>
      </w:r>
    </w:p>
    <w:p>
      <w:pPr>
        <w:pStyle w:val="ListParagraph"/>
        <w:numPr>
          <w:ilvl w:val="0"/>
          <w:numId w:val="2"/>
        </w:numPr>
        <w:spacing w:after="100" w:line="360"/>
      </w:pPr>
      <w:r>
        <w:t xml:space="preserve">Predict which combinations will most effectively interrupt feedback loops and prevent resistance acquisition.</w:t>
      </w:r>
    </w:p>
    <w:p>
      <w:pPr>
        <w:spacing w:after="120"/>
      </w:pPr>
      <w:r>
        <w:rPr>
          <w:b/>
          <w:bCs/>
        </w:rPr>
        <w:t xml:space="preserve">Expected Outputs:</w:t>
      </w:r>
    </w:p>
    <w:p>
      <w:pPr>
        <w:pStyle w:val="ListParagraph"/>
        <w:numPr>
          <w:ilvl w:val="0"/>
          <w:numId w:val="2"/>
        </w:numPr>
        <w:spacing w:after="100" w:line="360"/>
      </w:pPr>
      <w:r>
        <w:t xml:space="preserve">Feedback loop map for TSC: identified kinase cascades, transcription factors, and nutrient sensors reactivated upon mTOR inhibition</w:t>
      </w:r>
    </w:p>
    <w:p>
      <w:pPr>
        <w:pStyle w:val="ListParagraph"/>
        <w:numPr>
          <w:ilvl w:val="0"/>
          <w:numId w:val="2"/>
        </w:numPr>
        <w:spacing w:after="100" w:line="360"/>
      </w:pPr>
      <w:r>
        <w:t xml:space="preserve">Time-dependent compensation analysis: kinetics of feedback engagement with quantified reactivation magnitudes</w:t>
      </w:r>
    </w:p>
    <w:p>
      <w:pPr>
        <w:pStyle w:val="ListParagraph"/>
        <w:numPr>
          <w:ilvl w:val="0"/>
          <w:numId w:val="2"/>
        </w:numPr>
        <w:spacing w:after="100" w:line="360"/>
      </w:pPr>
      <w:r>
        <w:t xml:space="preserve">Resistance-associated signatures: transcriptomic patterns distinguishing mTOR inhibitor-sensitive from resistant TSC populations</w:t>
      </w:r>
    </w:p>
    <w:p>
      <w:pPr>
        <w:pStyle w:val="ListParagraph"/>
        <w:numPr>
          <w:ilvl w:val="0"/>
          <w:numId w:val="2"/>
        </w:numPr>
        <w:spacing w:after="100" w:line="360"/>
      </w:pPr>
      <w:r>
        <w:t xml:space="preserve">Mechanistic resistance hierarchy: ranked list of feedback mechanisms by contribution to overall monotherapy resistance</w:t>
      </w:r>
    </w:p>
    <w:p>
      <w:pPr>
        <w:pStyle w:val="ListParagraph"/>
        <w:numPr>
          <w:ilvl w:val="0"/>
          <w:numId w:val="2"/>
        </w:numPr>
        <w:spacing w:after="100" w:line="360"/>
      </w:pPr>
      <w:r>
        <w:t xml:space="preserve">Predicted combination strategies: top feedback-interrupting combinations with quantified expected resistance suppression</w:t>
      </w:r>
    </w:p>
    <w:p>
      <w:pPr>
        <w:pStyle w:val="ListParagraph"/>
        <w:numPr>
          <w:ilvl w:val="0"/>
          <w:numId w:val="2"/>
        </w:numPr>
        <w:spacing w:after="100" w:line="360"/>
      </w:pPr>
      <w:r>
        <w:t xml:space="preserve">Clinical biomarkers for resistance prediction: gene expression or protein activity signatures identifying at-risk patients</w:t>
      </w:r>
    </w:p>
    <w:p>
      <w:pPr>
        <w:spacing w:after="200" w:line="360"/>
      </w:pPr>
      <w:r>
        <w:rPr>
          <w:b/>
          <w:bCs/>
        </w:rPr>
        <w:t xml:space="preserve">Format: </w:t>
      </w:r>
      <w:r>
        <w:t xml:space="preserve">Feedback mechanism maps, time-course trajectories, resistance biomarker signatures, and hierarchical resistance rankings.</w:t>
      </w:r>
    </w:p>
    <w:p>
      <w:pPr>
        <w:pStyle w:val="Heading2"/>
      </w:pPr>
      <w:r>
        <w:t xml:space="preserve">Stage 3: Synergy Prediction &amp; Multi-Target Identification</w:t>
      </w:r>
    </w:p>
    <w:p>
      <w:pPr>
        <w:spacing w:after="200" w:line="360"/>
      </w:pPr>
      <w:r>
        <w:rPr>
          <w:b/>
          <w:bCs/>
        </w:rPr>
        <w:t xml:space="preserve">Purpose: </w:t>
      </w:r>
      <w:r>
        <w:t xml:space="preserve">Systematically evaluate all possible pairwise and higher-order drug combinations to identify synergistic multi-target strategies with predicted efficacy superior to mTOR inhibition alone.</w:t>
      </w:r>
    </w:p>
    <w:p>
      <w:pPr>
        <w:spacing w:after="120"/>
      </w:pPr>
      <w:r>
        <w:rPr>
          <w:b/>
          <w:bCs/>
        </w:rPr>
        <w:t xml:space="preserve">Inputs:</w:t>
      </w:r>
    </w:p>
    <w:p>
      <w:pPr>
        <w:pStyle w:val="ListParagraph"/>
        <w:numPr>
          <w:ilvl w:val="0"/>
          <w:numId w:val="2"/>
        </w:numPr>
        <w:spacing w:after="100" w:line="360"/>
      </w:pPr>
      <w:r>
        <w:t xml:space="preserve">Drug-target interaction databases and biochemical parameters for mTOR inhibitors, PI3K/Akt, MEK, IGF1R, and metabolic enzyme inhibitors</w:t>
      </w:r>
    </w:p>
    <w:p>
      <w:pPr>
        <w:pStyle w:val="ListParagraph"/>
        <w:numPr>
          <w:ilvl w:val="0"/>
          <w:numId w:val="2"/>
        </w:numPr>
        <w:spacing w:after="100" w:line="360"/>
      </w:pPr>
      <w:r>
        <w:t xml:space="preserve">TSC cell-based assays of proliferation, migration, invasion under single and combination drug treatments</w:t>
      </w:r>
    </w:p>
    <w:p>
      <w:pPr>
        <w:pStyle w:val="ListParagraph"/>
        <w:numPr>
          <w:ilvl w:val="0"/>
          <w:numId w:val="2"/>
        </w:numPr>
        <w:spacing w:after="100" w:line="360"/>
      </w:pPr>
      <w:r>
        <w:t xml:space="preserve">High-throughput screening data: synergy matrices from systematic drug combination screens in TSC models</w:t>
      </w:r>
    </w:p>
    <w:p>
      <w:pPr>
        <w:pStyle w:val="ListParagraph"/>
        <w:numPr>
          <w:ilvl w:val="0"/>
          <w:numId w:val="2"/>
        </w:numPr>
        <w:spacing w:after="100" w:line="360"/>
      </w:pPr>
      <w:r>
        <w:t xml:space="preserve">Network pharmacology simulations: predicted pathway flux changes under single and combined perturbations</w:t>
      </w:r>
    </w:p>
    <w:p>
      <w:pPr>
        <w:pStyle w:val="ListParagraph"/>
        <w:numPr>
          <w:ilvl w:val="0"/>
          <w:numId w:val="2"/>
        </w:numPr>
        <w:spacing w:after="100" w:line="360"/>
      </w:pPr>
      <w:r>
        <w:t xml:space="preserve">Clinical outcome data: efficacy and safety signals from single and combination therapies in TSC patients or related diseases</w:t>
      </w:r>
    </w:p>
    <w:p>
      <w:pPr>
        <w:spacing w:after="120"/>
      </w:pPr>
      <w:r>
        <w:rPr>
          <w:b/>
          <w:bCs/>
        </w:rPr>
        <w:t xml:space="preserve">Tools &amp; Databases Called:</w:t>
      </w:r>
    </w:p>
    <w:p>
      <w:pPr>
        <w:pStyle w:val="ListParagraph"/>
        <w:numPr>
          <w:ilvl w:val="0"/>
          <w:numId w:val="2"/>
        </w:numPr>
        <w:spacing w:after="100" w:line="360"/>
      </w:pPr>
      <w:r>
        <w:rPr>
          <w:b/>
          <w:bCs/>
        </w:rPr>
        <w:t xml:space="preserve">Sapphire Synergy Predictor: </w:t>
      </w:r>
      <w:r>
        <w:t xml:space="preserve">Machine learning platform predicting drug-drug synergy from pathway topology and perturbation simulations</w:t>
      </w:r>
    </w:p>
    <w:p>
      <w:pPr>
        <w:pStyle w:val="ListParagraph"/>
        <w:numPr>
          <w:ilvl w:val="0"/>
          <w:numId w:val="2"/>
        </w:numPr>
        <w:spacing w:after="100" w:line="360"/>
      </w:pPr>
      <w:r>
        <w:rPr>
          <w:b/>
          <w:bCs/>
        </w:rPr>
        <w:t xml:space="preserve">OncoKB &amp; CIViC: </w:t>
      </w:r>
      <w:r>
        <w:t xml:space="preserve">Cancer genomics knowledge bases with drug-target-cancer associations and combination therapy evidence</w:t>
      </w:r>
    </w:p>
    <w:p>
      <w:pPr>
        <w:pStyle w:val="ListParagraph"/>
        <w:numPr>
          <w:ilvl w:val="0"/>
          <w:numId w:val="2"/>
        </w:numPr>
        <w:spacing w:after="100" w:line="360"/>
      </w:pPr>
      <w:r>
        <w:rPr>
          <w:b/>
          <w:bCs/>
        </w:rPr>
        <w:t xml:space="preserve">GENIE &amp; DREAM: </w:t>
      </w:r>
      <w:r>
        <w:t xml:space="preserve">Drug-response predictive models trained on cell line and patient-derived data</w:t>
      </w:r>
    </w:p>
    <w:p>
      <w:pPr>
        <w:pStyle w:val="ListParagraph"/>
        <w:numPr>
          <w:ilvl w:val="0"/>
          <w:numId w:val="2"/>
        </w:numPr>
        <w:spacing w:after="100" w:line="360"/>
      </w:pPr>
      <w:r>
        <w:rPr>
          <w:b/>
          <w:bCs/>
        </w:rPr>
        <w:t xml:space="preserve">Network Propagation Algorithms: </w:t>
      </w:r>
      <w:r>
        <w:t xml:space="preserve">Quantify cascade effects and crosstalk between pathways under combination treatments</w:t>
      </w:r>
    </w:p>
    <w:p>
      <w:pPr>
        <w:pStyle w:val="ListParagraph"/>
        <w:numPr>
          <w:ilvl w:val="0"/>
          <w:numId w:val="2"/>
        </w:numPr>
        <w:spacing w:after="100" w:line="360"/>
      </w:pPr>
      <w:r>
        <w:rPr>
          <w:b/>
          <w:bCs/>
        </w:rPr>
        <w:t xml:space="preserve">Pathway Commons &amp; SIGNOR: </w:t>
      </w:r>
      <w:r>
        <w:t xml:space="preserve">Pathway databases for simulating drug-induced perturbations across interacting networks</w:t>
      </w:r>
    </w:p>
    <w:p>
      <w:pPr>
        <w:pStyle w:val="ListParagraph"/>
        <w:numPr>
          <w:ilvl w:val="0"/>
          <w:numId w:val="2"/>
        </w:numPr>
        <w:spacing w:after="100" w:line="360"/>
      </w:pPr>
      <w:r>
        <w:rPr>
          <w:b/>
          <w:bCs/>
        </w:rPr>
        <w:t xml:space="preserve">LINCS Perturbational Genomics: </w:t>
      </w:r>
      <w:r>
        <w:t xml:space="preserve">Large-scale transcriptomic signatures for single and combination drug treatments</w:t>
      </w:r>
    </w:p>
    <w:p>
      <w:pPr>
        <w:spacing w:after="120"/>
      </w:pPr>
      <w:r>
        <w:rPr>
          <w:b/>
          <w:bCs/>
        </w:rPr>
        <w:t xml:space="preserve">Exemplary Sub-Prompts:</w:t>
      </w:r>
    </w:p>
    <w:p>
      <w:pPr>
        <w:pStyle w:val="ListParagraph"/>
        <w:numPr>
          <w:ilvl w:val="0"/>
          <w:numId w:val="2"/>
        </w:numPr>
        <w:spacing w:after="100" w:line="360"/>
      </w:pPr>
      <w:r>
        <w:t xml:space="preserve">Predict synergy scores for all pairwise combinations of mTOR inhibitor with MEK inhibitors, IGF1R antagonists, and metabolic inhibitors.</w:t>
      </w:r>
    </w:p>
    <w:p>
      <w:pPr>
        <w:pStyle w:val="ListParagraph"/>
        <w:numPr>
          <w:ilvl w:val="0"/>
          <w:numId w:val="2"/>
        </w:numPr>
        <w:spacing w:after="100" w:line="360"/>
      </w:pPr>
      <w:r>
        <w:t xml:space="preserve">Evaluate triple combinations: mTOR inhibitor plus two additional agents to block multiple feedback loops simultaneously.</w:t>
      </w:r>
    </w:p>
    <w:p>
      <w:pPr>
        <w:pStyle w:val="ListParagraph"/>
        <w:numPr>
          <w:ilvl w:val="0"/>
          <w:numId w:val="2"/>
        </w:numPr>
        <w:spacing w:after="100" w:line="360"/>
      </w:pPr>
      <w:r>
        <w:t xml:space="preserve">Simulate pathway crosstalk: how effectively do combinations suppress growth signaling, metabolic support, and immune evasion?</w:t>
      </w:r>
    </w:p>
    <w:p>
      <w:pPr>
        <w:pStyle w:val="ListParagraph"/>
        <w:numPr>
          <w:ilvl w:val="0"/>
          <w:numId w:val="2"/>
        </w:numPr>
        <w:spacing w:after="100" w:line="360"/>
      </w:pPr>
      <w:r>
        <w:t xml:space="preserve">Calculate synergy using Loewe, Bliss, and multiplicative models to identify robust synergistic combinations.</w:t>
      </w:r>
    </w:p>
    <w:p>
      <w:pPr>
        <w:pStyle w:val="ListParagraph"/>
        <w:numPr>
          <w:ilvl w:val="0"/>
          <w:numId w:val="2"/>
        </w:numPr>
        <w:spacing w:after="100" w:line="360"/>
      </w:pPr>
      <w:r>
        <w:t xml:space="preserve">Identify off-target beneficial and detrimental interactions among combination drugs.</w:t>
      </w:r>
    </w:p>
    <w:p>
      <w:pPr>
        <w:spacing w:after="120"/>
      </w:pPr>
      <w:r>
        <w:rPr>
          <w:b/>
          <w:bCs/>
        </w:rPr>
        <w:t xml:space="preserve">Expected Outputs:</w:t>
      </w:r>
    </w:p>
    <w:p>
      <w:pPr>
        <w:pStyle w:val="ListParagraph"/>
        <w:numPr>
          <w:ilvl w:val="0"/>
          <w:numId w:val="2"/>
        </w:numPr>
        <w:spacing w:after="100" w:line="360"/>
      </w:pPr>
      <w:r>
        <w:t xml:space="preserve">Synergy matrix: ranked pairwise and higher-order drug combinations with quantified synergy scores and confidence levels</w:t>
      </w:r>
    </w:p>
    <w:p>
      <w:pPr>
        <w:pStyle w:val="ListParagraph"/>
        <w:numPr>
          <w:ilvl w:val="0"/>
          <w:numId w:val="2"/>
        </w:numPr>
        <w:spacing w:after="100" w:line="360"/>
      </w:pPr>
      <w:r>
        <w:t xml:space="preserve">Predicted efficacy improvements: expected growth suppression, cell death, or tumor shrinkage for top combinations versus monotherapy</w:t>
      </w:r>
    </w:p>
    <w:p>
      <w:pPr>
        <w:pStyle w:val="ListParagraph"/>
        <w:numPr>
          <w:ilvl w:val="0"/>
          <w:numId w:val="2"/>
        </w:numPr>
        <w:spacing w:after="100" w:line="360"/>
      </w:pPr>
      <w:r>
        <w:t xml:space="preserve">Mechanistic synergy explanations: for each top combination, describe how constituent drugs interrupt distinct pathways to achieve synergy</w:t>
      </w:r>
    </w:p>
    <w:p>
      <w:pPr>
        <w:pStyle w:val="ListParagraph"/>
        <w:numPr>
          <w:ilvl w:val="0"/>
          <w:numId w:val="2"/>
        </w:numPr>
        <w:spacing w:after="100" w:line="360"/>
      </w:pPr>
      <w:r>
        <w:t xml:space="preserve">Pathway-level simulations: transcriptome and signaling landscapes under top combinations showing comprehensive dysregulation correction</w:t>
      </w:r>
    </w:p>
    <w:p>
      <w:pPr>
        <w:pStyle w:val="ListParagraph"/>
        <w:numPr>
          <w:ilvl w:val="0"/>
          <w:numId w:val="2"/>
        </w:numPr>
        <w:spacing w:after="100" w:line="360"/>
      </w:pPr>
      <w:r>
        <w:t xml:space="preserve">Triple combination evaluation: rankings of three-drug combinations with predicted additive and synergistic benefit</w:t>
      </w:r>
    </w:p>
    <w:p>
      <w:pPr>
        <w:pStyle w:val="ListParagraph"/>
        <w:numPr>
          <w:ilvl w:val="0"/>
          <w:numId w:val="2"/>
        </w:numPr>
        <w:spacing w:after="100" w:line="360"/>
      </w:pPr>
      <w:r>
        <w:t xml:space="preserve">Off-target interaction assessment: beneficial cooperative effects and detrimental adverse interactions for top candidates</w:t>
      </w:r>
    </w:p>
    <w:p>
      <w:pPr>
        <w:spacing w:after="200" w:line="360"/>
      </w:pPr>
      <w:r>
        <w:rPr>
          <w:b/>
          <w:bCs/>
        </w:rPr>
        <w:t xml:space="preserve">Format: </w:t>
      </w:r>
      <w:r>
        <w:t xml:space="preserve">Synergy matrices, efficacy comparison tables, mechanistic explanations, pathway simulations, and triple-combination rankings.</w:t>
      </w:r>
    </w:p>
    <w:p>
      <w:pPr>
        <w:pStyle w:val="Heading2"/>
      </w:pPr>
      <w:r>
        <w:t xml:space="preserve">Stage 4: Biomarker-Driven Patient Stratification</w:t>
      </w:r>
    </w:p>
    <w:p>
      <w:pPr>
        <w:spacing w:after="200" w:line="360"/>
      </w:pPr>
      <w:r>
        <w:rPr>
          <w:b/>
          <w:bCs/>
        </w:rPr>
        <w:t xml:space="preserve">Purpose: </w:t>
      </w:r>
      <w:r>
        <w:t xml:space="preserve">Identify molecular biomarkers predicting optimal combination therapy response, enabling patient stratification for personalized multi-target approaches.</w:t>
      </w:r>
    </w:p>
    <w:p>
      <w:pPr>
        <w:spacing w:after="120"/>
      </w:pPr>
      <w:r>
        <w:rPr>
          <w:b/>
          <w:bCs/>
        </w:rPr>
        <w:t xml:space="preserve">Inputs:</w:t>
      </w:r>
    </w:p>
    <w:p>
      <w:pPr>
        <w:pStyle w:val="ListParagraph"/>
        <w:numPr>
          <w:ilvl w:val="0"/>
          <w:numId w:val="2"/>
        </w:numPr>
        <w:spacing w:after="100" w:line="360"/>
      </w:pPr>
      <w:r>
        <w:t xml:space="preserve">TSC patient cohort genomic data: mutations, copy number, somatic variants, germline polymorphisms</w:t>
      </w:r>
    </w:p>
    <w:p>
      <w:pPr>
        <w:pStyle w:val="ListParagraph"/>
        <w:numPr>
          <w:ilvl w:val="0"/>
          <w:numId w:val="2"/>
        </w:numPr>
        <w:spacing w:after="100" w:line="360"/>
      </w:pPr>
      <w:r>
        <w:t xml:space="preserve">Gene expression profiles: RNA-seq from TSC lesions, responders versus non-responders to mTOR inhibitor monotherapy</w:t>
      </w:r>
    </w:p>
    <w:p>
      <w:pPr>
        <w:pStyle w:val="ListParagraph"/>
        <w:numPr>
          <w:ilvl w:val="0"/>
          <w:numId w:val="2"/>
        </w:numPr>
        <w:spacing w:after="100" w:line="360"/>
      </w:pPr>
      <w:r>
        <w:t xml:space="preserve">Protein phosphorylation and signaling activity data distinguishing baseline pathway activation across patients</w:t>
      </w:r>
    </w:p>
    <w:p>
      <w:pPr>
        <w:pStyle w:val="ListParagraph"/>
        <w:numPr>
          <w:ilvl w:val="0"/>
          <w:numId w:val="2"/>
        </w:numPr>
        <w:spacing w:after="100" w:line="360"/>
      </w:pPr>
      <w:r>
        <w:t xml:space="preserve">Imaging biomarkers: lesion size, density, enhancement characteristics, and growth kinetics correlating with molecular profiles</w:t>
      </w:r>
    </w:p>
    <w:p>
      <w:pPr>
        <w:pStyle w:val="ListParagraph"/>
        <w:numPr>
          <w:ilvl w:val="0"/>
          <w:numId w:val="2"/>
        </w:numPr>
        <w:spacing w:after="100" w:line="360"/>
      </w:pPr>
      <w:r>
        <w:t xml:space="preserve">Clinical outcomes: seizure frequency, renal function, angiomyolipoma progression, correlation with molecular and imaging features</w:t>
      </w:r>
    </w:p>
    <w:p>
      <w:pPr>
        <w:spacing w:after="120"/>
      </w:pPr>
      <w:r>
        <w:rPr>
          <w:b/>
          <w:bCs/>
        </w:rPr>
        <w:t xml:space="preserve">Tools &amp; Databases Called:</w:t>
      </w:r>
    </w:p>
    <w:p>
      <w:pPr>
        <w:pStyle w:val="ListParagraph"/>
        <w:numPr>
          <w:ilvl w:val="0"/>
          <w:numId w:val="2"/>
        </w:numPr>
        <w:spacing w:after="100" w:line="360"/>
      </w:pPr>
      <w:r>
        <w:rPr>
          <w:b/>
          <w:bCs/>
        </w:rPr>
        <w:t xml:space="preserve">Sapphire Biomarker Discoverer: </w:t>
      </w:r>
      <w:r>
        <w:t xml:space="preserve">Machine learning platform identifying treatment-response predictive biomarkers via ensemble methods</w:t>
      </w:r>
    </w:p>
    <w:p>
      <w:pPr>
        <w:pStyle w:val="ListParagraph"/>
        <w:numPr>
          <w:ilvl w:val="0"/>
          <w:numId w:val="2"/>
        </w:numPr>
        <w:spacing w:after="100" w:line="360"/>
      </w:pPr>
      <w:r>
        <w:rPr>
          <w:b/>
          <w:bCs/>
        </w:rPr>
        <w:t xml:space="preserve">TCGA &amp; cBioPortal: </w:t>
      </w:r>
      <w:r>
        <w:t xml:space="preserve">Cancer genomics databases with mutation and expression correlation to clinical outcomes</w:t>
      </w:r>
    </w:p>
    <w:p>
      <w:pPr>
        <w:pStyle w:val="ListParagraph"/>
        <w:numPr>
          <w:ilvl w:val="0"/>
          <w:numId w:val="2"/>
        </w:numPr>
        <w:spacing w:after="100" w:line="360"/>
      </w:pPr>
      <w:r>
        <w:rPr>
          <w:b/>
          <w:bCs/>
        </w:rPr>
        <w:t xml:space="preserve">Random Forest &amp; XGBoost: </w:t>
      </w:r>
      <w:r>
        <w:t xml:space="preserve">Machine learning classifiers for biomarker discovery from high-dimensional omics data</w:t>
      </w:r>
    </w:p>
    <w:p>
      <w:pPr>
        <w:pStyle w:val="ListParagraph"/>
        <w:numPr>
          <w:ilvl w:val="0"/>
          <w:numId w:val="2"/>
        </w:numPr>
        <w:spacing w:after="100" w:line="360"/>
      </w:pPr>
      <w:r>
        <w:rPr>
          <w:b/>
          <w:bCs/>
        </w:rPr>
        <w:t xml:space="preserve">LASSO &amp; Elastic Net: </w:t>
      </w:r>
      <w:r>
        <w:t xml:space="preserve">Sparse regression for identifying minimal biomarker panels with predictive power</w:t>
      </w:r>
    </w:p>
    <w:p>
      <w:pPr>
        <w:pStyle w:val="ListParagraph"/>
        <w:numPr>
          <w:ilvl w:val="0"/>
          <w:numId w:val="2"/>
        </w:numPr>
        <w:spacing w:after="100" w:line="360"/>
      </w:pPr>
      <w:r>
        <w:rPr>
          <w:b/>
          <w:bCs/>
        </w:rPr>
        <w:t xml:space="preserve">ROC &amp; AUC Analysis: </w:t>
      </w:r>
      <w:r>
        <w:t xml:space="preserve">Performance metrics for biomarker sensitivity, specificity, and clinical utility assessment</w:t>
      </w:r>
    </w:p>
    <w:p>
      <w:pPr>
        <w:pStyle w:val="ListParagraph"/>
        <w:numPr>
          <w:ilvl w:val="0"/>
          <w:numId w:val="2"/>
        </w:numPr>
        <w:spacing w:after="100" w:line="360"/>
      </w:pPr>
      <w:r>
        <w:rPr>
          <w:b/>
          <w:bCs/>
        </w:rPr>
        <w:t xml:space="preserve">Sapphire Stratification Engine: </w:t>
      </w:r>
      <w:r>
        <w:t xml:space="preserve">Algorithm defining clinically actionable patient subgroups with distinct combination therapy recommendations</w:t>
      </w:r>
    </w:p>
    <w:p>
      <w:pPr>
        <w:spacing w:after="120"/>
      </w:pPr>
      <w:r>
        <w:rPr>
          <w:b/>
          <w:bCs/>
        </w:rPr>
        <w:t xml:space="preserve">Exemplary Sub-Prompts:</w:t>
      </w:r>
    </w:p>
    <w:p>
      <w:pPr>
        <w:pStyle w:val="ListParagraph"/>
        <w:numPr>
          <w:ilvl w:val="0"/>
          <w:numId w:val="2"/>
        </w:numPr>
        <w:spacing w:after="100" w:line="360"/>
      </w:pPr>
      <w:r>
        <w:t xml:space="preserve">Identify TSC1 versus TSC2 loss-of-function mutation-specific differences in pathway activation and optimal combination strategies.</w:t>
      </w:r>
    </w:p>
    <w:p>
      <w:pPr>
        <w:pStyle w:val="ListParagraph"/>
        <w:numPr>
          <w:ilvl w:val="0"/>
          <w:numId w:val="2"/>
        </w:numPr>
        <w:spacing w:after="100" w:line="360"/>
      </w:pPr>
      <w:r>
        <w:t xml:space="preserve">Discover gene expression signatures predictive of mTOR inhibitor monotherapy response versus resistance.</w:t>
      </w:r>
    </w:p>
    <w:p>
      <w:pPr>
        <w:pStyle w:val="ListParagraph"/>
        <w:numPr>
          <w:ilvl w:val="0"/>
          <w:numId w:val="2"/>
        </w:numPr>
        <w:spacing w:after="100" w:line="360"/>
      </w:pPr>
      <w:r>
        <w:t xml:space="preserve">Define biomarker cutoffs (e.g., IGF1R expression, phospho-ERK levels) stratifying patients into combination therapy cohorts.</w:t>
      </w:r>
    </w:p>
    <w:p>
      <w:pPr>
        <w:pStyle w:val="ListParagraph"/>
        <w:numPr>
          <w:ilvl w:val="0"/>
          <w:numId w:val="2"/>
        </w:numPr>
        <w:spacing w:after="100" w:line="360"/>
      </w:pPr>
      <w:r>
        <w:t xml:space="preserve">Validate biomarkers in independent cohorts and assess clinical actionability for therapy selection.</w:t>
      </w:r>
    </w:p>
    <w:p>
      <w:pPr>
        <w:pStyle w:val="ListParagraph"/>
        <w:numPr>
          <w:ilvl w:val="0"/>
          <w:numId w:val="2"/>
        </w:numPr>
        <w:spacing w:after="100" w:line="360"/>
      </w:pPr>
      <w:r>
        <w:t xml:space="preserve">Correlate imaging phenotypes with molecular biomarkers to predict lesion responsiveness to multi-target combinations.</w:t>
      </w:r>
    </w:p>
    <w:p>
      <w:pPr>
        <w:spacing w:after="120"/>
      </w:pPr>
      <w:r>
        <w:rPr>
          <w:b/>
          <w:bCs/>
        </w:rPr>
        <w:t xml:space="preserve">Expected Outputs:</w:t>
      </w:r>
    </w:p>
    <w:p>
      <w:pPr>
        <w:pStyle w:val="ListParagraph"/>
        <w:numPr>
          <w:ilvl w:val="0"/>
          <w:numId w:val="2"/>
        </w:numPr>
        <w:spacing w:after="100" w:line="360"/>
      </w:pPr>
      <w:r>
        <w:t xml:space="preserve">Predictive biomarker panel: minimal set of genomic/proteomic markers identifying optimal combination therapy for each patient</w:t>
      </w:r>
    </w:p>
    <w:p>
      <w:pPr>
        <w:pStyle w:val="ListParagraph"/>
        <w:numPr>
          <w:ilvl w:val="0"/>
          <w:numId w:val="2"/>
        </w:numPr>
        <w:spacing w:after="100" w:line="360"/>
      </w:pPr>
      <w:r>
        <w:t xml:space="preserve">Patient stratification algorithm: decision tree or probabilistic model assigning combinations based on biomarker status</w:t>
      </w:r>
    </w:p>
    <w:p>
      <w:pPr>
        <w:pStyle w:val="ListParagraph"/>
        <w:numPr>
          <w:ilvl w:val="0"/>
          <w:numId w:val="2"/>
        </w:numPr>
        <w:spacing w:after="100" w:line="360"/>
      </w:pPr>
      <w:r>
        <w:t xml:space="preserve">Validation metrics: sensitivity, specificity, AUC, and positive/negative predictive values for biomarker performance</w:t>
      </w:r>
    </w:p>
    <w:p>
      <w:pPr>
        <w:pStyle w:val="ListParagraph"/>
        <w:numPr>
          <w:ilvl w:val="0"/>
          <w:numId w:val="2"/>
        </w:numPr>
        <w:spacing w:after="100" w:line="360"/>
      </w:pPr>
      <w:r>
        <w:t xml:space="preserve">Mutation-specific recommendations: TSC1 versus TSC2 loss-of-function optimal combinations with supporting evidence</w:t>
      </w:r>
    </w:p>
    <w:p>
      <w:pPr>
        <w:pStyle w:val="ListParagraph"/>
        <w:numPr>
          <w:ilvl w:val="0"/>
          <w:numId w:val="2"/>
        </w:numPr>
        <w:spacing w:after="100" w:line="360"/>
      </w:pPr>
      <w:r>
        <w:t xml:space="preserve">Imaging-molecular correlation: lesion imaging features predictive of combination responsiveness</w:t>
      </w:r>
    </w:p>
    <w:p>
      <w:pPr>
        <w:pStyle w:val="ListParagraph"/>
        <w:numPr>
          <w:ilvl w:val="0"/>
          <w:numId w:val="2"/>
        </w:numPr>
        <w:spacing w:after="100" w:line="360"/>
      </w:pPr>
      <w:r>
        <w:t xml:space="preserve">Clinical trial design: inclusion/exclusion criteria based on biomarkers and enrichment strategy for responsive populations</w:t>
      </w:r>
    </w:p>
    <w:p>
      <w:pPr>
        <w:spacing w:after="200" w:line="360"/>
      </w:pPr>
      <w:r>
        <w:rPr>
          <w:b/>
          <w:bCs/>
        </w:rPr>
        <w:t xml:space="preserve">Format: </w:t>
      </w:r>
      <w:r>
        <w:t xml:space="preserve">Biomarker discovery reports, stratification algorithms, validation performance tables, and enrichment strategies.</w:t>
      </w:r>
    </w:p>
    <w:p>
      <w:pPr>
        <w:pStyle w:val="Heading2"/>
      </w:pPr>
      <w:r>
        <w:t xml:space="preserve">Stage 5: Safety &amp; Tolerability Profiling</w:t>
      </w:r>
    </w:p>
    <w:p>
      <w:pPr>
        <w:spacing w:after="200" w:line="360"/>
      </w:pPr>
      <w:r>
        <w:rPr>
          <w:b/>
          <w:bCs/>
        </w:rPr>
        <w:t xml:space="preserve">Purpose: </w:t>
      </w:r>
      <w:r>
        <w:t xml:space="preserve">Comprehensively assess safety and tolerability of multi-target combinations compared to mTOR inhibition alone, predicting off-target effects, drug-drug interactions, and manageable adverse event profiles.</w:t>
      </w:r>
    </w:p>
    <w:p>
      <w:pPr>
        <w:spacing w:after="120"/>
      </w:pPr>
      <w:r>
        <w:rPr>
          <w:b/>
          <w:bCs/>
        </w:rPr>
        <w:t xml:space="preserve">Inputs:</w:t>
      </w:r>
    </w:p>
    <w:p>
      <w:pPr>
        <w:pStyle w:val="ListParagraph"/>
        <w:numPr>
          <w:ilvl w:val="0"/>
          <w:numId w:val="2"/>
        </w:numPr>
        <w:spacing w:after="100" w:line="360"/>
      </w:pPr>
      <w:r>
        <w:t xml:space="preserve">Off-target binding profiles and kinome selectivity data for all constituent drugs in top combination candidates</w:t>
      </w:r>
    </w:p>
    <w:p>
      <w:pPr>
        <w:pStyle w:val="ListParagraph"/>
        <w:numPr>
          <w:ilvl w:val="0"/>
          <w:numId w:val="2"/>
        </w:numPr>
        <w:spacing w:after="100" w:line="360"/>
      </w:pPr>
      <w:r>
        <w:t xml:space="preserve">Safety pharmacology data: cardiac, hepatic, renal, hematologic, immune toxicity for single drugs and combination interactions</w:t>
      </w:r>
    </w:p>
    <w:p>
      <w:pPr>
        <w:pStyle w:val="ListParagraph"/>
        <w:numPr>
          <w:ilvl w:val="0"/>
          <w:numId w:val="2"/>
        </w:numPr>
        <w:spacing w:after="100" w:line="360"/>
      </w:pPr>
      <w:r>
        <w:t xml:space="preserve">Pharmacokinetic interactions: CYP450 enzyme inhibition, transporter interactions, bioavailability effects in combinations</w:t>
      </w:r>
    </w:p>
    <w:p>
      <w:pPr>
        <w:pStyle w:val="ListParagraph"/>
        <w:numPr>
          <w:ilvl w:val="0"/>
          <w:numId w:val="2"/>
        </w:numPr>
        <w:spacing w:after="100" w:line="360"/>
      </w:pPr>
      <w:r>
        <w:t xml:space="preserve">Clinical adverse event data: known safety signals from single drugs, combined therapy reports from literature and trial data</w:t>
      </w:r>
    </w:p>
    <w:p>
      <w:pPr>
        <w:pStyle w:val="ListParagraph"/>
        <w:numPr>
          <w:ilvl w:val="0"/>
          <w:numId w:val="2"/>
        </w:numPr>
        <w:spacing w:after="100" w:line="360"/>
      </w:pPr>
      <w:r>
        <w:t xml:space="preserve">Biomarker predictions for toxicity: transcriptomic signatures, serum markers, and imaging findings predicting adverse events</w:t>
      </w:r>
    </w:p>
    <w:p>
      <w:pPr>
        <w:spacing w:after="120"/>
      </w:pPr>
      <w:r>
        <w:rPr>
          <w:b/>
          <w:bCs/>
        </w:rPr>
        <w:t xml:space="preserve">Tools &amp; Databases Called:</w:t>
      </w:r>
    </w:p>
    <w:p>
      <w:pPr>
        <w:pStyle w:val="ListParagraph"/>
        <w:numPr>
          <w:ilvl w:val="0"/>
          <w:numId w:val="2"/>
        </w:numPr>
        <w:spacing w:after="100" w:line="360"/>
      </w:pPr>
      <w:r>
        <w:rPr>
          <w:b/>
          <w:bCs/>
        </w:rPr>
        <w:t xml:space="preserve">eTOX &amp; REOS: </w:t>
      </w:r>
      <w:r>
        <w:t xml:space="preserve">Toxicity prediction and drug-likeness assessment for multi-drug combinations</w:t>
      </w:r>
    </w:p>
    <w:p>
      <w:pPr>
        <w:pStyle w:val="ListParagraph"/>
        <w:numPr>
          <w:ilvl w:val="0"/>
          <w:numId w:val="2"/>
        </w:numPr>
        <w:spacing w:after="100" w:line="360"/>
      </w:pPr>
      <w:r>
        <w:rPr>
          <w:b/>
          <w:bCs/>
        </w:rPr>
        <w:t xml:space="preserve">FDA FAERS &amp; Vigibase: </w:t>
      </w:r>
      <w:r>
        <w:t xml:space="preserve">Adverse event reporting systems identifying safety signals from clinical use</w:t>
      </w:r>
    </w:p>
    <w:p>
      <w:pPr>
        <w:pStyle w:val="ListParagraph"/>
        <w:numPr>
          <w:ilvl w:val="0"/>
          <w:numId w:val="2"/>
        </w:numPr>
        <w:spacing w:after="100" w:line="360"/>
      </w:pPr>
      <w:r>
        <w:rPr>
          <w:b/>
          <w:bCs/>
        </w:rPr>
        <w:t xml:space="preserve">Sapphire Safety Predictor: </w:t>
      </w:r>
      <w:r>
        <w:t xml:space="preserve">Machine learning model predicting organ-specific toxicity and adverse event probability</w:t>
      </w:r>
    </w:p>
    <w:p>
      <w:pPr>
        <w:pStyle w:val="ListParagraph"/>
        <w:numPr>
          <w:ilvl w:val="0"/>
          <w:numId w:val="2"/>
        </w:numPr>
        <w:spacing w:after="100" w:line="360"/>
      </w:pPr>
      <w:r>
        <w:rPr>
          <w:b/>
          <w:bCs/>
        </w:rPr>
        <w:t xml:space="preserve">DrugBank &amp; PharmaGKB: </w:t>
      </w:r>
      <w:r>
        <w:t xml:space="preserve">Drug interaction databases and pharmacogenomic associations affecting toxicity</w:t>
      </w:r>
    </w:p>
    <w:p>
      <w:pPr>
        <w:pStyle w:val="ListParagraph"/>
        <w:numPr>
          <w:ilvl w:val="0"/>
          <w:numId w:val="2"/>
        </w:numPr>
        <w:spacing w:after="100" w:line="360"/>
      </w:pPr>
      <w:r>
        <w:rPr>
          <w:b/>
          <w:bCs/>
        </w:rPr>
        <w:t xml:space="preserve">SEA &amp; Similarity Ensemble: </w:t>
      </w:r>
      <w:r>
        <w:t xml:space="preserve">Off-target binding prediction across protein families and toxicity liability assessment</w:t>
      </w:r>
    </w:p>
    <w:p>
      <w:pPr>
        <w:pStyle w:val="ListParagraph"/>
        <w:numPr>
          <w:ilvl w:val="0"/>
          <w:numId w:val="2"/>
        </w:numPr>
        <w:spacing w:after="100" w:line="360"/>
      </w:pPr>
      <w:r>
        <w:rPr>
          <w:b/>
          <w:bCs/>
        </w:rPr>
        <w:t xml:space="preserve">LINCS Toxicogenomics: </w:t>
      </w:r>
      <w:r>
        <w:t xml:space="preserve">Transcriptomic toxicity signatures for predicting adverse events from combination treatments</w:t>
      </w:r>
    </w:p>
    <w:p>
      <w:pPr>
        <w:spacing w:after="120"/>
      </w:pPr>
      <w:r>
        <w:rPr>
          <w:b/>
          <w:bCs/>
        </w:rPr>
        <w:t xml:space="preserve">Exemplary Sub-Prompts:</w:t>
      </w:r>
    </w:p>
    <w:p>
      <w:pPr>
        <w:pStyle w:val="ListParagraph"/>
        <w:numPr>
          <w:ilvl w:val="0"/>
          <w:numId w:val="2"/>
        </w:numPr>
        <w:spacing w:after="100" w:line="360"/>
      </w:pPr>
      <w:r>
        <w:t xml:space="preserve">Predict off-target effects of top multi-target combinations across kinome, phosphatases, and metabolic enzymes.</w:t>
      </w:r>
    </w:p>
    <w:p>
      <w:pPr>
        <w:pStyle w:val="ListParagraph"/>
        <w:numPr>
          <w:ilvl w:val="0"/>
          <w:numId w:val="2"/>
        </w:numPr>
        <w:spacing w:after="100" w:line="360"/>
      </w:pPr>
      <w:r>
        <w:t xml:space="preserve">Identify pharmacokinetic interactions: CYP3A4 inhibition, P-gp transporter effects, hepatic metabolism concerns.</w:t>
      </w:r>
    </w:p>
    <w:p>
      <w:pPr>
        <w:pStyle w:val="ListParagraph"/>
        <w:numPr>
          <w:ilvl w:val="0"/>
          <w:numId w:val="2"/>
        </w:numPr>
        <w:spacing w:after="100" w:line="360"/>
      </w:pPr>
      <w:r>
        <w:t xml:space="preserve">Predict combination-specific adverse events: synergistic toxicity for cardiac, hepatic, hematologic systems.</w:t>
      </w:r>
    </w:p>
    <w:p>
      <w:pPr>
        <w:pStyle w:val="ListParagraph"/>
        <w:numPr>
          <w:ilvl w:val="0"/>
          <w:numId w:val="2"/>
        </w:numPr>
        <w:spacing w:after="100" w:line="360"/>
      </w:pPr>
      <w:r>
        <w:t xml:space="preserve">Compare safety profiles of top combinations versus mTOR inhibitor monotherapy across organ systems.</w:t>
      </w:r>
    </w:p>
    <w:p>
      <w:pPr>
        <w:pStyle w:val="ListParagraph"/>
        <w:numPr>
          <w:ilvl w:val="0"/>
          <w:numId w:val="2"/>
        </w:numPr>
        <w:spacing w:after="100" w:line="360"/>
      </w:pPr>
      <w:r>
        <w:t xml:space="preserve">Define patient monitoring strategies and acceptable adverse event thresholds for clinical trials.</w:t>
      </w:r>
    </w:p>
    <w:p>
      <w:pPr>
        <w:spacing w:after="120"/>
      </w:pPr>
      <w:r>
        <w:rPr>
          <w:b/>
          <w:bCs/>
        </w:rPr>
        <w:t xml:space="preserve">Expected Outputs:</w:t>
      </w:r>
    </w:p>
    <w:p>
      <w:pPr>
        <w:pStyle w:val="ListParagraph"/>
        <w:numPr>
          <w:ilvl w:val="0"/>
          <w:numId w:val="2"/>
        </w:numPr>
        <w:spacing w:after="100" w:line="360"/>
      </w:pPr>
      <w:r>
        <w:t xml:space="preserve">Safety profile comparison: adverse event incidence predictions for top combinations versus monotherapy</w:t>
      </w:r>
    </w:p>
    <w:p>
      <w:pPr>
        <w:pStyle w:val="ListParagraph"/>
        <w:numPr>
          <w:ilvl w:val="0"/>
          <w:numId w:val="2"/>
        </w:numPr>
        <w:spacing w:after="100" w:line="360"/>
      </w:pPr>
      <w:r>
        <w:t xml:space="preserve">Off-target binding analysis: predicted liabilities including cardiac, hepatic, and immunotoxicity risks</w:t>
      </w:r>
    </w:p>
    <w:p>
      <w:pPr>
        <w:pStyle w:val="ListParagraph"/>
        <w:numPr>
          <w:ilvl w:val="0"/>
          <w:numId w:val="2"/>
        </w:numPr>
        <w:spacing w:after="100" w:line="360"/>
      </w:pPr>
      <w:r>
        <w:t xml:space="preserve">Pharmacokinetic interaction assessment: drug-drug interaction severity and dose adjustment recommendations</w:t>
      </w:r>
    </w:p>
    <w:p>
      <w:pPr>
        <w:pStyle w:val="ListParagraph"/>
        <w:numPr>
          <w:ilvl w:val="0"/>
          <w:numId w:val="2"/>
        </w:numPr>
        <w:spacing w:after="100" w:line="360"/>
      </w:pPr>
      <w:r>
        <w:t xml:space="preserve">Toxicogenomics predictions: transcriptomic signatures and biomarkers predicting organ-specific damage</w:t>
      </w:r>
    </w:p>
    <w:p>
      <w:pPr>
        <w:pStyle w:val="ListParagraph"/>
        <w:numPr>
          <w:ilvl w:val="0"/>
          <w:numId w:val="2"/>
        </w:numPr>
        <w:spacing w:after="100" w:line="360"/>
      </w:pPr>
      <w:r>
        <w:t xml:space="preserve">Patient monitoring plan: recommended safety assessments, laboratory panels, and clinical monitoring frequency</w:t>
      </w:r>
    </w:p>
    <w:p>
      <w:pPr>
        <w:pStyle w:val="ListParagraph"/>
        <w:numPr>
          <w:ilvl w:val="0"/>
          <w:numId w:val="2"/>
        </w:numPr>
        <w:spacing w:after="100" w:line="360"/>
      </w:pPr>
      <w:r>
        <w:t xml:space="preserve">Efficacy-safety tradeoff analysis: quantified benefit-risk assessment for each top combination candidate</w:t>
      </w:r>
    </w:p>
    <w:p>
      <w:pPr>
        <w:spacing w:after="200" w:line="360"/>
      </w:pPr>
      <w:r>
        <w:rPr>
          <w:b/>
          <w:bCs/>
        </w:rPr>
        <w:t xml:space="preserve">Format: </w:t>
      </w:r>
      <w:r>
        <w:t xml:space="preserve">Safety assessment reports, off-target liability summaries, PK interaction tables, toxicogenomics predictions, and monitoring protocols.</w:t>
      </w:r>
    </w:p>
    <w:p>
      <w:pPr>
        <w:pStyle w:val="Heading2"/>
      </w:pPr>
      <w:r>
        <w:t xml:space="preserve">Stage 6: Clinical Translation &amp; Trial Design</w:t>
      </w:r>
    </w:p>
    <w:p>
      <w:pPr>
        <w:spacing w:after="200" w:line="360"/>
      </w:pPr>
      <w:r>
        <w:rPr>
          <w:b/>
          <w:bCs/>
        </w:rPr>
        <w:t xml:space="preserve">Purpose: </w:t>
      </w:r>
      <w:r>
        <w:t xml:space="preserve">Translate optimal multi-target combination predictions into clinical trial designs with patient stratification strategies, endpoints, and dosing regimens predicted to demonstrate superiority over mTOR inhibition alone.</w:t>
      </w:r>
    </w:p>
    <w:p>
      <w:pPr>
        <w:spacing w:after="120"/>
      </w:pPr>
      <w:r>
        <w:rPr>
          <w:b/>
          <w:bCs/>
        </w:rPr>
        <w:t xml:space="preserve">Inputs:</w:t>
      </w:r>
    </w:p>
    <w:p>
      <w:pPr>
        <w:pStyle w:val="ListParagraph"/>
        <w:numPr>
          <w:ilvl w:val="0"/>
          <w:numId w:val="2"/>
        </w:numPr>
        <w:spacing w:after="100" w:line="360"/>
      </w:pPr>
      <w:r>
        <w:t xml:space="preserve">Prior TSC clinical trial designs: mTOR inhibitor monotherapy trials with efficacy endpoints, patient characteristics, and enrollment strategies</w:t>
      </w:r>
    </w:p>
    <w:p>
      <w:pPr>
        <w:pStyle w:val="ListParagraph"/>
        <w:numPr>
          <w:ilvl w:val="0"/>
          <w:numId w:val="2"/>
        </w:numPr>
        <w:spacing w:after="100" w:line="360"/>
      </w:pPr>
      <w:r>
        <w:t xml:space="preserve">Patient cohort sizes and natural history data enabling power calculations for superiority comparisons</w:t>
      </w:r>
    </w:p>
    <w:p>
      <w:pPr>
        <w:pStyle w:val="ListParagraph"/>
        <w:numPr>
          <w:ilvl w:val="0"/>
          <w:numId w:val="2"/>
        </w:numPr>
        <w:spacing w:after="100" w:line="360"/>
      </w:pPr>
      <w:r>
        <w:t xml:space="preserve">Validated clinical endpoints: lesion size reduction, seizure frequency, quality of life, cognitive function, renal function preservation</w:t>
      </w:r>
    </w:p>
    <w:p>
      <w:pPr>
        <w:pStyle w:val="ListParagraph"/>
        <w:numPr>
          <w:ilvl w:val="0"/>
          <w:numId w:val="2"/>
        </w:numPr>
        <w:spacing w:after="100" w:line="360"/>
      </w:pPr>
      <w:r>
        <w:t xml:space="preserve">Pharmacokinetic/pharmacodynamic models enabling dose optimization and therapeutic drug monitoring strategies</w:t>
      </w:r>
    </w:p>
    <w:p>
      <w:pPr>
        <w:pStyle w:val="ListParagraph"/>
        <w:numPr>
          <w:ilvl w:val="0"/>
          <w:numId w:val="2"/>
        </w:numPr>
        <w:spacing w:after="100" w:line="360"/>
      </w:pPr>
      <w:r>
        <w:t xml:space="preserve">Regulatory guidance documents: FDA, EMA recommendations for TSC trials and combination therapy strategies</w:t>
      </w:r>
    </w:p>
    <w:p>
      <w:pPr>
        <w:spacing w:after="120"/>
      </w:pPr>
      <w:r>
        <w:rPr>
          <w:b/>
          <w:bCs/>
        </w:rPr>
        <w:t xml:space="preserve">Tools &amp; Databases Called:</w:t>
      </w:r>
    </w:p>
    <w:p>
      <w:pPr>
        <w:pStyle w:val="ListParagraph"/>
        <w:numPr>
          <w:ilvl w:val="0"/>
          <w:numId w:val="2"/>
        </w:numPr>
        <w:spacing w:after="100" w:line="360"/>
      </w:pPr>
      <w:r>
        <w:rPr>
          <w:b/>
          <w:bCs/>
        </w:rPr>
        <w:t xml:space="preserve">ClinicalTrials.gov &amp; FDA: </w:t>
      </w:r>
      <w:r>
        <w:t xml:space="preserve">Clinical trial database and regulatory guidance for TSC and combination therapy trial designs</w:t>
      </w:r>
    </w:p>
    <w:p>
      <w:pPr>
        <w:pStyle w:val="ListParagraph"/>
        <w:numPr>
          <w:ilvl w:val="0"/>
          <w:numId w:val="2"/>
        </w:numPr>
        <w:spacing w:after="100" w:line="360"/>
      </w:pPr>
      <w:r>
        <w:rPr>
          <w:b/>
          <w:bCs/>
        </w:rPr>
        <w:t xml:space="preserve">Sapphire Trial Designer: </w:t>
      </w:r>
      <w:r>
        <w:t xml:space="preserve">Platform tool generating optimal trial protocols based on predictive efficacy and safety models</w:t>
      </w:r>
    </w:p>
    <w:p>
      <w:pPr>
        <w:pStyle w:val="ListParagraph"/>
        <w:numPr>
          <w:ilvl w:val="0"/>
          <w:numId w:val="2"/>
        </w:numPr>
        <w:spacing w:after="100" w:line="360"/>
      </w:pPr>
      <w:r>
        <w:rPr>
          <w:b/>
          <w:bCs/>
        </w:rPr>
        <w:t xml:space="preserve">PK/PD Modeling Suite: </w:t>
      </w:r>
      <w:r>
        <w:t xml:space="preserve">Population pharmacokinetic modeling for dose optimization and patient stratification</w:t>
      </w:r>
    </w:p>
    <w:p>
      <w:pPr>
        <w:pStyle w:val="ListParagraph"/>
        <w:numPr>
          <w:ilvl w:val="0"/>
          <w:numId w:val="2"/>
        </w:numPr>
        <w:spacing w:after="100" w:line="360"/>
      </w:pPr>
      <w:r>
        <w:rPr>
          <w:b/>
          <w:bCs/>
        </w:rPr>
        <w:t xml:space="preserve">Power Calculators &amp; Sample Size: </w:t>
      </w:r>
      <w:r>
        <w:t xml:space="preserve">Statistical tools for determining requisite trial size to demonstrate superiority</w:t>
      </w:r>
    </w:p>
    <w:p>
      <w:pPr>
        <w:pStyle w:val="ListParagraph"/>
        <w:numPr>
          <w:ilvl w:val="0"/>
          <w:numId w:val="2"/>
        </w:numPr>
        <w:spacing w:after="100" w:line="360"/>
      </w:pPr>
      <w:r>
        <w:rPr>
          <w:b/>
          <w:bCs/>
        </w:rPr>
        <w:t xml:space="preserve">Bayesian Adaptive Design: </w:t>
      </w:r>
      <w:r>
        <w:t xml:space="preserve">Adaptive trial methodology for efficient patient enrollment and interim analysis guidance</w:t>
      </w:r>
    </w:p>
    <w:p>
      <w:pPr>
        <w:pStyle w:val="ListParagraph"/>
        <w:numPr>
          <w:ilvl w:val="0"/>
          <w:numId w:val="2"/>
        </w:numPr>
        <w:spacing w:after="100" w:line="360"/>
      </w:pPr>
      <w:r>
        <w:rPr>
          <w:b/>
          <w:bCs/>
        </w:rPr>
        <w:t xml:space="preserve">Sapphire Clinical Validator: </w:t>
      </w:r>
      <w:r>
        <w:t xml:space="preserve">Bayesian meta-analysis integrating preclinical predictions with historical trial data for efficacy forecasting</w:t>
      </w:r>
    </w:p>
    <w:p>
      <w:pPr>
        <w:spacing w:after="120"/>
      </w:pPr>
      <w:r>
        <w:rPr>
          <w:b/>
          <w:bCs/>
        </w:rPr>
        <w:t xml:space="preserve">Exemplary Sub-Prompts:</w:t>
      </w:r>
    </w:p>
    <w:p>
      <w:pPr>
        <w:pStyle w:val="ListParagraph"/>
        <w:numPr>
          <w:ilvl w:val="0"/>
          <w:numId w:val="2"/>
        </w:numPr>
        <w:spacing w:after="100" w:line="360"/>
      </w:pPr>
      <w:r>
        <w:t xml:space="preserve">Design Phase 2 trial comparing top multi-target combination versus mTOR inhibitor monotherapy with appropriate control arm.</w:t>
      </w:r>
    </w:p>
    <w:p>
      <w:pPr>
        <w:pStyle w:val="ListParagraph"/>
        <w:numPr>
          <w:ilvl w:val="0"/>
          <w:numId w:val="2"/>
        </w:numPr>
        <w:spacing w:after="100" w:line="360"/>
      </w:pPr>
      <w:r>
        <w:t xml:space="preserve">Select primary efficacy endpoint: angiomyolipoma volume reduction, seizure frequency change, or composite outcome?</w:t>
      </w:r>
    </w:p>
    <w:p>
      <w:pPr>
        <w:pStyle w:val="ListParagraph"/>
        <w:numPr>
          <w:ilvl w:val="0"/>
          <w:numId w:val="2"/>
        </w:numPr>
        <w:spacing w:after="100" w:line="360"/>
      </w:pPr>
      <w:r>
        <w:t xml:space="preserve">Define patient stratification: enrollment only biomarker-positive patients predicted to benefit from combination therapy.</w:t>
      </w:r>
    </w:p>
    <w:p>
      <w:pPr>
        <w:pStyle w:val="ListParagraph"/>
        <w:numPr>
          <w:ilvl w:val="0"/>
          <w:numId w:val="2"/>
        </w:numPr>
        <w:spacing w:after="100" w:line="360"/>
      </w:pPr>
      <w:r>
        <w:t xml:space="preserve">Optimize dosing: what doses and schedules of each component maximize efficacy while maintaining acceptable safety?</w:t>
      </w:r>
    </w:p>
    <w:p>
      <w:pPr>
        <w:pStyle w:val="ListParagraph"/>
        <w:numPr>
          <w:ilvl w:val="0"/>
          <w:numId w:val="2"/>
        </w:numPr>
        <w:spacing w:after="100" w:line="360"/>
      </w:pPr>
      <w:r>
        <w:t xml:space="preserve">Calculate sample size: how many patients are required to demonstrate superiority of combination versus monotherapy?</w:t>
      </w:r>
    </w:p>
    <w:p>
      <w:pPr>
        <w:spacing w:after="120"/>
      </w:pPr>
      <w:r>
        <w:rPr>
          <w:b/>
          <w:bCs/>
        </w:rPr>
        <w:t xml:space="preserve">Expected Outputs:</w:t>
      </w:r>
    </w:p>
    <w:p>
      <w:pPr>
        <w:pStyle w:val="ListParagraph"/>
        <w:numPr>
          <w:ilvl w:val="0"/>
          <w:numId w:val="2"/>
        </w:numPr>
        <w:spacing w:after="100" w:line="360"/>
      </w:pPr>
      <w:r>
        <w:t xml:space="preserve">Clinical trial protocol: detailed study design including objectives, patient population, inclusion/exclusion criteria</w:t>
      </w:r>
    </w:p>
    <w:p>
      <w:pPr>
        <w:pStyle w:val="ListParagraph"/>
        <w:numPr>
          <w:ilvl w:val="0"/>
          <w:numId w:val="2"/>
        </w:numPr>
        <w:spacing w:after="100" w:line="360"/>
      </w:pPr>
      <w:r>
        <w:t xml:space="preserve">Primary and secondary efficacy endpoints: quantified with validation data and clinically meaningful definitions</w:t>
      </w:r>
    </w:p>
    <w:p>
      <w:pPr>
        <w:pStyle w:val="ListParagraph"/>
        <w:numPr>
          <w:ilvl w:val="0"/>
          <w:numId w:val="2"/>
        </w:numPr>
        <w:spacing w:after="100" w:line="360"/>
      </w:pPr>
      <w:r>
        <w:t xml:space="preserve">Patient stratification strategy: biomarker-driven enrollment enriching for predicted responders</w:t>
      </w:r>
    </w:p>
    <w:p>
      <w:pPr>
        <w:pStyle w:val="ListParagraph"/>
        <w:numPr>
          <w:ilvl w:val="0"/>
          <w:numId w:val="2"/>
        </w:numPr>
        <w:spacing w:after="100" w:line="360"/>
      </w:pPr>
      <w:r>
        <w:t xml:space="preserve">Dosing and administration: optimized doses, schedules, and dose adjustments for safety and efficacy</w:t>
      </w:r>
    </w:p>
    <w:p>
      <w:pPr>
        <w:pStyle w:val="ListParagraph"/>
        <w:numPr>
          <w:ilvl w:val="0"/>
          <w:numId w:val="2"/>
        </w:numPr>
        <w:spacing w:after="100" w:line="360"/>
      </w:pPr>
      <w:r>
        <w:t xml:space="preserve">Safety monitoring plan: adverse event grading, dose modification criteria, and stopping rules</w:t>
      </w:r>
    </w:p>
    <w:p>
      <w:pPr>
        <w:pStyle w:val="ListParagraph"/>
        <w:numPr>
          <w:ilvl w:val="0"/>
          <w:numId w:val="2"/>
        </w:numPr>
        <w:spacing w:after="100" w:line="360"/>
      </w:pPr>
      <w:r>
        <w:t xml:space="preserve">Statistical analysis plan: sample size justification, power calculations, and analysis strategies for superiority demonstration</w:t>
      </w:r>
    </w:p>
    <w:p>
      <w:pPr>
        <w:spacing w:after="200" w:line="360"/>
      </w:pPr>
      <w:r>
        <w:rPr>
          <w:b/>
          <w:bCs/>
        </w:rPr>
        <w:t xml:space="preserve">Format: </w:t>
      </w:r>
      <w:r>
        <w:t xml:space="preserve">Full clinical trial protocol, statistical analysis plan, endpoint definitions, patient stratification algorithms, and dosing recommendations.</w:t>
      </w:r>
    </w:p>
    <w:p>
      <w:pPr>
        <w:pStyle w:val="Heading2"/>
      </w:pPr>
      <w:r>
        <w:t xml:space="preserve">Tools &amp; Databases Summary</w:t>
      </w:r>
    </w:p>
    <w:p>
      <w:pPr>
        <w:pStyle w:val="ListParagraph"/>
        <w:numPr>
          <w:ilvl w:val="0"/>
          <w:numId w:val="2"/>
        </w:numPr>
        <w:spacing w:after="100" w:line="360"/>
      </w:pPr>
      <w:r>
        <w:t xml:space="preserve">KEGG &amp; Reactome: Pathway databases with mTOR signaling, metabolic pathways, and immune regulation annotations</w:t>
      </w:r>
    </w:p>
    <w:p>
      <w:pPr>
        <w:pStyle w:val="ListParagraph"/>
        <w:numPr>
          <w:ilvl w:val="0"/>
          <w:numId w:val="2"/>
        </w:numPr>
        <w:spacing w:after="100" w:line="360"/>
      </w:pPr>
      <w:r>
        <w:t xml:space="preserve">GTEx Portal: Tissue-specific gene expression in healthy and diseased TSC tissues</w:t>
      </w:r>
    </w:p>
    <w:p>
      <w:pPr>
        <w:pStyle w:val="ListParagraph"/>
        <w:numPr>
          <w:ilvl w:val="0"/>
          <w:numId w:val="2"/>
        </w:numPr>
        <w:spacing w:after="100" w:line="360"/>
      </w:pPr>
      <w:r>
        <w:t xml:space="preserve">TCGA &amp; GEO: Gene expression and clinical data from TSC patients and cancer models</w:t>
      </w:r>
    </w:p>
    <w:p>
      <w:pPr>
        <w:pStyle w:val="ListParagraph"/>
        <w:numPr>
          <w:ilvl w:val="0"/>
          <w:numId w:val="2"/>
        </w:numPr>
        <w:spacing w:after="100" w:line="360"/>
      </w:pPr>
      <w:r>
        <w:t xml:space="preserve">PhosphoSitePlus: Protein phosphorylation and feedback regulatory relationships in mTOR signaling</w:t>
      </w:r>
    </w:p>
    <w:p>
      <w:pPr>
        <w:pStyle w:val="ListParagraph"/>
        <w:numPr>
          <w:ilvl w:val="0"/>
          <w:numId w:val="2"/>
        </w:numPr>
        <w:spacing w:after="100" w:line="360"/>
      </w:pPr>
      <w:r>
        <w:t xml:space="preserve">DrugBank &amp; ChEMBL: Drug-target interactions and bioactivity data for mTOR and combination agents</w:t>
      </w:r>
    </w:p>
    <w:p>
      <w:pPr>
        <w:pStyle w:val="ListParagraph"/>
        <w:numPr>
          <w:ilvl w:val="0"/>
          <w:numId w:val="2"/>
        </w:numPr>
        <w:spacing w:after="100" w:line="360"/>
      </w:pPr>
      <w:r>
        <w:t xml:space="preserve">LINCS L1000: Large-scale perturbational transcriptomics for drug and genetic perturbations</w:t>
      </w:r>
    </w:p>
    <w:p>
      <w:pPr>
        <w:pStyle w:val="ListParagraph"/>
        <w:numPr>
          <w:ilvl w:val="0"/>
          <w:numId w:val="2"/>
        </w:numPr>
        <w:spacing w:after="100" w:line="360"/>
      </w:pPr>
      <w:r>
        <w:t xml:space="preserve">OncoKB &amp; CIViC: Cancer genomics knowledge bases with mutation-drug associations</w:t>
      </w:r>
    </w:p>
    <w:p>
      <w:pPr>
        <w:pStyle w:val="ListParagraph"/>
        <w:numPr>
          <w:ilvl w:val="0"/>
          <w:numId w:val="2"/>
        </w:numPr>
        <w:spacing w:after="100" w:line="360"/>
      </w:pPr>
      <w:r>
        <w:t xml:space="preserve">BioNetGen &amp; COPASI: Biochemical network simulation for pathway perturbation modeling</w:t>
      </w:r>
    </w:p>
    <w:p>
      <w:pPr>
        <w:pStyle w:val="ListParagraph"/>
        <w:numPr>
          <w:ilvl w:val="0"/>
          <w:numId w:val="2"/>
        </w:numPr>
        <w:spacing w:after="100" w:line="360"/>
      </w:pPr>
      <w:r>
        <w:t xml:space="preserve">Pathway Commons &amp; SIGNOR: Signaling pathway networks and protein interaction databases</w:t>
      </w:r>
    </w:p>
    <w:p>
      <w:pPr>
        <w:pStyle w:val="ListParagraph"/>
        <w:numPr>
          <w:ilvl w:val="0"/>
          <w:numId w:val="2"/>
        </w:numPr>
        <w:spacing w:after="100" w:line="360"/>
      </w:pPr>
      <w:r>
        <w:t xml:space="preserve">eTOX &amp; REOS: Toxicity and drug-likeness predictions for compound safety assessment</w:t>
      </w:r>
    </w:p>
    <w:p>
      <w:pPr>
        <w:pStyle w:val="ListParagraph"/>
        <w:numPr>
          <w:ilvl w:val="0"/>
          <w:numId w:val="2"/>
        </w:numPr>
        <w:spacing w:after="100" w:line="360"/>
      </w:pPr>
      <w:r>
        <w:t xml:space="preserve">FDA FAERS &amp; Vigibase: Pharmacovigilance databases for adverse event signals</w:t>
      </w:r>
    </w:p>
    <w:p>
      <w:pPr>
        <w:pStyle w:val="ListParagraph"/>
        <w:numPr>
          <w:ilvl w:val="0"/>
          <w:numId w:val="2"/>
        </w:numPr>
        <w:spacing w:after="100" w:line="360"/>
      </w:pPr>
      <w:r>
        <w:t xml:space="preserve">ClinicalTrials.gov: Clinical trial registry and results for TSC and related diseases</w:t>
      </w:r>
    </w:p>
    <w:p>
      <w:pPr>
        <w:pStyle w:val="ListParagraph"/>
        <w:numPr>
          <w:ilvl w:val="0"/>
          <w:numId w:val="2"/>
        </w:numPr>
        <w:spacing w:after="100" w:line="360"/>
      </w:pPr>
      <w:r>
        <w:t xml:space="preserve">Human Protein Atlas: Protein expression across tissues including TSC-affected organs</w:t>
      </w:r>
    </w:p>
    <w:p>
      <w:pPr>
        <w:pStyle w:val="ListParagraph"/>
        <w:numPr>
          <w:ilvl w:val="0"/>
          <w:numId w:val="2"/>
        </w:numPr>
        <w:spacing w:after="100" w:line="360"/>
      </w:pPr>
      <w:r>
        <w:t xml:space="preserve">MetaboAnalyst: Metabolomics analysis for identifying metabolic pathway dysregulation</w:t>
      </w:r>
    </w:p>
    <w:p>
      <w:pPr>
        <w:pStyle w:val="ListParagraph"/>
        <w:numPr>
          <w:ilvl w:val="0"/>
          <w:numId w:val="2"/>
        </w:numPr>
        <w:spacing w:after="100" w:line="360"/>
      </w:pPr>
      <w:r>
        <w:t xml:space="preserve">Sapphire Platform: Quiver Bioscience's integrated system for TSC multi-target combination discovery and translation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2026-03-02T00:47:43.980Z</dcterms:created>
  <dcterms:modified xsi:type="dcterms:W3CDTF">2026-03-02T00:47:43.980Z</dcterms:modified>
</cp:coreProperties>
</file>

<file path=docProps/custom.xml><?xml version="1.0" encoding="utf-8"?>
<Properties xmlns="http://schemas.openxmlformats.org/officeDocument/2006/custom-properties" xmlns:vt="http://schemas.openxmlformats.org/officeDocument/2006/docPropsVTypes"/>
</file>