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bCs/>
        </w:rPr>
        <w:t xml:space="preserve">Prompt: </w:t>
      </w:r>
      <w:r>
        <w:t xml:space="preserve">"For ultra-rare gene Y, is there sufficient effect size to justify IND?"</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This pipeline addresses a critical decision point in rare genetic disease drug development: determining whether modulating an ultra-rare gene (affecting &lt;50,000 patients globally or &lt;1:20,000 prevalence in specific populations) is sufficiently impactful to warrant IND (Investigational New Drug) application and regulatory engagement. The Sapphire platform integrates genetic epidemiology, protein structural modeling, experimental validation data, computational pathway analysis, and clinical evidence to quantify the effect size of gene-targeting interventions. By synthesizing rare variant frequency distributions, predicted molecular consequences, expression patterns, patient phenotype severity, and proof-of-concept preclinical or clinical evidence, the pipeline delivers a quantitative justification score (0–100%) indicating IND readiness and recommended regulatory strategy.</w:t>
      </w:r>
    </w:p>
    <w:p>
      <w:pPr>
        <w:spacing w:after="200" w:line="360"/>
      </w:pPr>
      <w:r>
        <w:t xml:space="preserve">The pipeline operates through six sequential stages: genetic epidemiology assessment and ultra-rare variant characterization, functional consequence prediction and protein impact analysis, disease phenotype severity quantification, preclinical and clinical evidence synthesis, effect size calculation and IND justification scoring, and regulatory strategy recommendations. Each stage leverages specialized genomics databases, computational biology tools, and expert knowledge integration to ensure robust, evidence-based decision making aligned with FDA guidance for orphan drug development and rare disease drug approval pathways.</w:t>
      </w:r>
    </w:p>
    <w:p>
      <w:pPr>
        <w:pStyle w:val="Heading2"/>
      </w:pPr>
      <w:r>
        <w:t xml:space="preserve">Stage 1: Genetic Epidemiology and Ultra-Rare Variant Characterization</w:t>
      </w:r>
    </w:p>
    <w:p>
      <w:pPr>
        <w:spacing w:after="200" w:line="360"/>
      </w:pPr>
      <w:r>
        <w:rPr>
          <w:b/>
          <w:bCs/>
        </w:rPr>
        <w:t xml:space="preserve">Purpose: </w:t>
      </w:r>
      <w:r>
        <w:t xml:space="preserve">Establish baseline genetic epidemiology for ultra-rare gene Y, including global allele frequency, population-specific frequency distributions, number of known pathogenic variants, estimated number of affected individuals worldwide, genotype-phenotype segregation patterns, and mutational hotspots. Determine if the gene is sufficiently constrained (intolerant to loss-of-function mutations) and if disease-causing variants show consistent molecular mechanisms.</w:t>
      </w:r>
    </w:p>
    <w:p>
      <w:r>
        <w:rPr>
          <w:b/>
          <w:bCs/>
        </w:rPr>
        <w:t xml:space="preserve">Inputs:</w:t>
      </w:r>
    </w:p>
    <w:p>
      <w:pPr>
        <w:pStyle w:val="ListParagraph"/>
        <w:numPr>
          <w:ilvl w:val="0"/>
          <w:numId w:val="2"/>
        </w:numPr>
      </w:pPr>
      <w:r>
        <w:t xml:space="preserve">Gene symbol or ENSEMBL/HGNC identifier for ultra-rare target gene Y with associated literature and database entries</w:t>
      </w:r>
    </w:p>
    <w:p>
      <w:pPr>
        <w:pStyle w:val="ListParagraph"/>
        <w:numPr>
          <w:ilvl w:val="0"/>
          <w:numId w:val="2"/>
        </w:numPr>
      </w:pPr>
      <w:r>
        <w:t xml:space="preserve">Genetic variant catalog including published case reports, clinical genomics databases (ClinVar, HGMD), and gnomAD population allele frequencies</w:t>
      </w:r>
    </w:p>
    <w:p>
      <w:pPr>
        <w:pStyle w:val="ListParagraph"/>
        <w:numPr>
          <w:ilvl w:val="0"/>
          <w:numId w:val="2"/>
        </w:numPr>
      </w:pPr>
      <w:r>
        <w:t xml:space="preserve">Disease phenotypes associated with pathogenic variants in gene Y (primary indication and secondary phenotypes) with inheritance patterns (autosomal dominant, recessive, X-linked)</w:t>
      </w:r>
    </w:p>
    <w:p>
      <w:pPr>
        <w:pStyle w:val="ListParagraph"/>
        <w:numPr>
          <w:ilvl w:val="0"/>
          <w:numId w:val="2"/>
        </w:numPr>
      </w:pPr>
      <w:r>
        <w:t xml:space="preserve">Genotype-phenotype correlation data linking specific variants to clinical severity, age-of-onset, and disease progression patterns</w:t>
      </w:r>
    </w:p>
    <w:p>
      <w:pPr>
        <w:pStyle w:val="ListParagraph"/>
        <w:numPr>
          <w:ilvl w:val="0"/>
          <w:numId w:val="2"/>
        </w:numPr>
      </w:pPr>
      <w:r>
        <w:t xml:space="preserve">Patient registries (e.g., National Organization for Rare Disorders, IAMRARE, disease-specific registries) with natural history and patient count estimates</w:t>
      </w:r>
    </w:p>
    <w:p>
      <w:r>
        <w:rPr>
          <w:b/>
          <w:bCs/>
        </w:rPr>
        <w:t xml:space="preserve">Tools &amp; Databases Called:</w:t>
      </w:r>
    </w:p>
    <w:p>
      <w:pPr>
        <w:pStyle w:val="ListParagraph"/>
        <w:numPr>
          <w:ilvl w:val="0"/>
          <w:numId w:val="2"/>
        </w:numPr>
      </w:pPr>
      <w:r>
        <w:rPr>
          <w:b/>
          <w:bCs/>
        </w:rPr>
        <w:t xml:space="preserve">gnomAD (Genome Aggregation Database): </w:t>
      </w:r>
      <w:r>
        <w:t xml:space="preserve">Large-scale population genomics resource with allele frequencies for 141,456 exomes and 61,674 genomes across diverse ancestries</w:t>
      </w:r>
    </w:p>
    <w:p>
      <w:pPr>
        <w:pStyle w:val="ListParagraph"/>
        <w:numPr>
          <w:ilvl w:val="0"/>
          <w:numId w:val="2"/>
        </w:numPr>
      </w:pPr>
      <w:r>
        <w:rPr>
          <w:b/>
          <w:bCs/>
        </w:rPr>
        <w:t xml:space="preserve">ClinVar: </w:t>
      </w:r>
      <w:r>
        <w:t xml:space="preserve">NCBI database of clinically reported variants with pathogenicity assertions, disease associations, and RCV evidence summaries</w:t>
      </w:r>
    </w:p>
    <w:p>
      <w:pPr>
        <w:pStyle w:val="ListParagraph"/>
        <w:numPr>
          <w:ilvl w:val="0"/>
          <w:numId w:val="2"/>
        </w:numPr>
      </w:pPr>
      <w:r>
        <w:rPr>
          <w:b/>
          <w:bCs/>
        </w:rPr>
        <w:t xml:space="preserve">HGMD (Human Gene Mutation Database): </w:t>
      </w:r>
      <w:r>
        <w:t xml:space="preserve">Curated database of disease-associated mutations in human genes with functional impact predictions</w:t>
      </w:r>
    </w:p>
    <w:p>
      <w:pPr>
        <w:pStyle w:val="ListParagraph"/>
        <w:numPr>
          <w:ilvl w:val="0"/>
          <w:numId w:val="2"/>
        </w:numPr>
      </w:pPr>
      <w:r>
        <w:rPr>
          <w:b/>
          <w:bCs/>
        </w:rPr>
        <w:t xml:space="preserve">OMIM: </w:t>
      </w:r>
      <w:r>
        <w:t xml:space="preserve">Comprehensive phenotype, inheritance pattern, and genetic disorder information with clinical manifestation descriptions</w:t>
      </w:r>
    </w:p>
    <w:p>
      <w:pPr>
        <w:pStyle w:val="ListParagraph"/>
        <w:numPr>
          <w:ilvl w:val="0"/>
          <w:numId w:val="2"/>
        </w:numPr>
      </w:pPr>
      <w:r>
        <w:rPr>
          <w:b/>
          <w:bCs/>
        </w:rPr>
        <w:t xml:space="preserve">pLI and LOEUF (Genome Aggregation Database constraints): </w:t>
      </w:r>
      <w:r>
        <w:t xml:space="preserve">Quantitative metrics measuring gene intolerance to loss-of-function mutations as proxy for functional importance</w:t>
      </w:r>
    </w:p>
    <w:p>
      <w:pPr>
        <w:pStyle w:val="ListParagraph"/>
        <w:numPr>
          <w:ilvl w:val="0"/>
          <w:numId w:val="2"/>
        </w:numPr>
      </w:pPr>
      <w:r>
        <w:rPr>
          <w:b/>
          <w:bCs/>
        </w:rPr>
        <w:t xml:space="preserve">NORD (National Organization for Rare Disorders) Registry: </w:t>
      </w:r>
      <w:r>
        <w:t xml:space="preserve">Patient organization database with disease prevalence estimates and patient-reported natural history information</w:t>
      </w:r>
    </w:p>
    <w:p>
      <w:r>
        <w:rPr>
          <w:b/>
          <w:bCs/>
        </w:rPr>
        <w:t xml:space="preserve">Exemplary Sub-Prompts:</w:t>
      </w:r>
    </w:p>
    <w:p>
      <w:pPr>
        <w:pStyle w:val="ListParagraph"/>
        <w:numPr>
          <w:ilvl w:val="0"/>
          <w:numId w:val="2"/>
        </w:numPr>
      </w:pPr>
      <w:r>
        <w:t xml:space="preserve">How many pathogenic variants in gene Y have been reported to date, and are they clustered in specific domains or distributed throughout the coding sequence?</w:t>
      </w:r>
    </w:p>
    <w:p>
      <w:pPr>
        <w:pStyle w:val="ListParagraph"/>
        <w:numPr>
          <w:ilvl w:val="0"/>
          <w:numId w:val="2"/>
        </w:numPr>
      </w:pPr>
      <w:r>
        <w:t xml:space="preserve">What is the estimated global prevalence of disease caused by gene Y mutations, and how many affected patients are estimated to exist worldwide?</w:t>
      </w:r>
    </w:p>
    <w:p>
      <w:pPr>
        <w:pStyle w:val="ListParagraph"/>
        <w:numPr>
          <w:ilvl w:val="0"/>
          <w:numId w:val="2"/>
        </w:numPr>
      </w:pPr>
      <w:r>
        <w:t xml:space="preserve">Is gene Y highly constrained (pLI &gt;0.9, LOEUF &lt;0.3), indicating intolerance to disruption and functional importance?</w:t>
      </w:r>
    </w:p>
    <w:p>
      <w:pPr>
        <w:pStyle w:val="ListParagraph"/>
        <w:numPr>
          <w:ilvl w:val="0"/>
          <w:numId w:val="2"/>
        </w:numPr>
      </w:pPr>
      <w:r>
        <w:t xml:space="preserve">Do pathogenic variants show consistent molecular mechanisms (loss-of-function, gain-of-function, dominant negative) or heterogeneous effects?</w:t>
      </w:r>
    </w:p>
    <w:p>
      <w:pPr>
        <w:pStyle w:val="ListParagraph"/>
        <w:numPr>
          <w:ilvl w:val="0"/>
          <w:numId w:val="2"/>
        </w:numPr>
      </w:pPr>
      <w:r>
        <w:t xml:space="preserve">Are there population-specific founder mutations or ancestry-related frequency variations affecting disease prevalence?</w:t>
      </w:r>
    </w:p>
    <w:p>
      <w:r>
        <w:rPr>
          <w:b/>
          <w:bCs/>
        </w:rPr>
        <w:t xml:space="preserve">Expected Outputs:</w:t>
      </w:r>
    </w:p>
    <w:p>
      <w:pPr>
        <w:pStyle w:val="ListParagraph"/>
        <w:numPr>
          <w:ilvl w:val="0"/>
          <w:numId w:val="2"/>
        </w:numPr>
      </w:pPr>
      <w:r>
        <w:t xml:space="preserve">Comprehensive variant catalog with allele frequencies (by population), pathogenicity classification (benign, likely benign, VUS, likely pathogenic, pathogenic), clinical phenotypes</w:t>
      </w:r>
    </w:p>
    <w:p>
      <w:pPr>
        <w:pStyle w:val="ListParagraph"/>
        <w:numPr>
          <w:ilvl w:val="0"/>
          <w:numId w:val="2"/>
        </w:numPr>
      </w:pPr>
      <w:r>
        <w:t xml:space="preserve">Gene constraint metrics (pLI, LOEUF, missense ratio) indicating functional importance and mutation intolerance</w:t>
      </w:r>
    </w:p>
    <w:p>
      <w:pPr>
        <w:pStyle w:val="ListParagraph"/>
        <w:numPr>
          <w:ilvl w:val="0"/>
          <w:numId w:val="2"/>
        </w:numPr>
      </w:pPr>
      <w:r>
        <w:t xml:space="preserve">Prevalence estimate with confidence interval derived from population allele frequency and inheritance pattern</w:t>
      </w:r>
    </w:p>
    <w:p>
      <w:pPr>
        <w:pStyle w:val="ListParagraph"/>
        <w:numPr>
          <w:ilvl w:val="0"/>
          <w:numId w:val="2"/>
        </w:numPr>
      </w:pPr>
      <w:r>
        <w:t xml:space="preserve">Genotype-phenotype correlation matrix linking specific variants to disease manifestations, severity categories, and natural history patterns</w:t>
      </w:r>
    </w:p>
    <w:p>
      <w:pPr>
        <w:pStyle w:val="ListParagraph"/>
        <w:numPr>
          <w:ilvl w:val="0"/>
          <w:numId w:val="2"/>
        </w:numPr>
      </w:pPr>
      <w:r>
        <w:t xml:space="preserve">Molecular mechanism classification (LoF, GoF, dominant-negative, haploinsufficiency) with evidence citations</w:t>
      </w:r>
    </w:p>
    <w:p>
      <w:pPr>
        <w:pStyle w:val="ListParagraph"/>
        <w:numPr>
          <w:ilvl w:val="0"/>
          <w:numId w:val="2"/>
        </w:numPr>
      </w:pPr>
      <w:r>
        <w:t xml:space="preserve">Literature review summary and patient registry prevalence estimates with data quality assessment</w:t>
      </w:r>
    </w:p>
    <w:p>
      <w:pPr>
        <w:spacing w:after="200" w:line="360"/>
      </w:pPr>
      <w:r>
        <w:rPr>
          <w:b/>
          <w:bCs/>
        </w:rPr>
        <w:t xml:space="preserve">Format: </w:t>
      </w:r>
      <w:r>
        <w:t xml:space="preserve">Variant table in CSV format; epidemiology report in markdown; constraint metrics visualization (bar plots, density distributions) as PNG/PDF.</w:t>
      </w:r>
    </w:p>
    <w:p>
      <w:pPr>
        <w:pStyle w:val="Heading2"/>
      </w:pPr>
      <w:r>
        <w:t xml:space="preserve">Stage 2: Functional Consequence Prediction and Protein Impact Analysis</w:t>
      </w:r>
    </w:p>
    <w:p>
      <w:pPr>
        <w:spacing w:after="200" w:line="360"/>
      </w:pPr>
      <w:r>
        <w:rPr>
          <w:b/>
          <w:bCs/>
        </w:rPr>
        <w:t xml:space="preserve">Purpose: </w:t>
      </w:r>
      <w:r>
        <w:t xml:space="preserve">Predict and experimentally validate the functional consequences of pathogenic variants in gene Y. Analyze protein structural impacts, alterations to binding interfaces, predicted effects on protein stability, localization, and interaction networks. Determine whether variants are loss-of-function, gain-of-function, or dominant-negative, and establish the extent to which modulating gene Y dosage or activity would be therapeutically relevant.</w:t>
      </w:r>
    </w:p>
    <w:p>
      <w:r>
        <w:rPr>
          <w:b/>
          <w:bCs/>
        </w:rPr>
        <w:t xml:space="preserve">Inputs:</w:t>
      </w:r>
    </w:p>
    <w:p>
      <w:pPr>
        <w:pStyle w:val="ListParagraph"/>
        <w:numPr>
          <w:ilvl w:val="0"/>
          <w:numId w:val="2"/>
        </w:numPr>
      </w:pPr>
      <w:r>
        <w:t xml:space="preserve">Protein sequence for gene Y from UniProt or NCBI, including annotations of functional domains, signal peptides, transmembrane regions</w:t>
      </w:r>
    </w:p>
    <w:p>
      <w:pPr>
        <w:pStyle w:val="ListParagraph"/>
        <w:numPr>
          <w:ilvl w:val="0"/>
          <w:numId w:val="2"/>
        </w:numPr>
      </w:pPr>
      <w:r>
        <w:t xml:space="preserve">Three-dimensional protein structure from PDB (if available) or homology-modeled structure based on orthologs</w:t>
      </w:r>
    </w:p>
    <w:p>
      <w:pPr>
        <w:pStyle w:val="ListParagraph"/>
        <w:numPr>
          <w:ilvl w:val="0"/>
          <w:numId w:val="2"/>
        </w:numPr>
      </w:pPr>
      <w:r>
        <w:t xml:space="preserve">Molecular interaction data including protein-protein interaction partners (STRING, BioGRID), phosphorylation sites (PhosphoSitePlus), post-translational modifications</w:t>
      </w:r>
    </w:p>
    <w:p>
      <w:pPr>
        <w:pStyle w:val="ListParagraph"/>
        <w:numPr>
          <w:ilvl w:val="0"/>
          <w:numId w:val="2"/>
        </w:numPr>
      </w:pPr>
      <w:r>
        <w:t xml:space="preserve">Experimental data characterizing wild-type and mutant protein function (expression levels, stability, localization, enzymatic activity, binding affinity)</w:t>
      </w:r>
    </w:p>
    <w:p>
      <w:pPr>
        <w:pStyle w:val="ListParagraph"/>
        <w:numPr>
          <w:ilvl w:val="0"/>
          <w:numId w:val="2"/>
        </w:numPr>
      </w:pPr>
      <w:r>
        <w:t xml:space="preserve">Pathway and network context data indicating upstream regulators and downstream effectors of gene Y protein product</w:t>
      </w:r>
    </w:p>
    <w:p>
      <w:r>
        <w:rPr>
          <w:b/>
          <w:bCs/>
        </w:rPr>
        <w:t xml:space="preserve">Tools &amp; Databases Called:</w:t>
      </w:r>
    </w:p>
    <w:p>
      <w:pPr>
        <w:pStyle w:val="ListParagraph"/>
        <w:numPr>
          <w:ilvl w:val="0"/>
          <w:numId w:val="2"/>
        </w:numPr>
      </w:pPr>
      <w:r>
        <w:rPr>
          <w:b/>
          <w:bCs/>
        </w:rPr>
        <w:t xml:space="preserve">PolyPhen-2, SIFT, MutationTaster: </w:t>
      </w:r>
      <w:r>
        <w:t xml:space="preserve">Computational prediction tools estimating pathogenicity of missense variants based on sequence conservation and structural context</w:t>
      </w:r>
    </w:p>
    <w:p>
      <w:pPr>
        <w:pStyle w:val="ListParagraph"/>
        <w:numPr>
          <w:ilvl w:val="0"/>
          <w:numId w:val="2"/>
        </w:numPr>
      </w:pPr>
      <w:r>
        <w:rPr>
          <w:b/>
          <w:bCs/>
        </w:rPr>
        <w:t xml:space="preserve">FoldX: </w:t>
      </w:r>
      <w:r>
        <w:t xml:space="preserve">Protein structure prediction and stability estimation tool for quantifying effects of mutations on protein folding</w:t>
      </w:r>
    </w:p>
    <w:p>
      <w:pPr>
        <w:pStyle w:val="ListParagraph"/>
        <w:numPr>
          <w:ilvl w:val="0"/>
          <w:numId w:val="2"/>
        </w:numPr>
      </w:pPr>
      <w:r>
        <w:rPr>
          <w:b/>
          <w:bCs/>
        </w:rPr>
        <w:t xml:space="preserve">PDBe, RCSB PDB: </w:t>
      </w:r>
      <w:r>
        <w:t xml:space="preserve">Protein Data Bank repositories of three-dimensional structures enabling visualization of mutation sites in functional context</w:t>
      </w:r>
    </w:p>
    <w:p>
      <w:pPr>
        <w:pStyle w:val="ListParagraph"/>
        <w:numPr>
          <w:ilvl w:val="0"/>
          <w:numId w:val="2"/>
        </w:numPr>
      </w:pPr>
      <w:r>
        <w:rPr>
          <w:b/>
          <w:bCs/>
        </w:rPr>
        <w:t xml:space="preserve">STRING, BioGRID: </w:t>
      </w:r>
      <w:r>
        <w:t xml:space="preserve">Protein-protein interaction databases revealing functional partners and pathway context for gene Y protein product</w:t>
      </w:r>
    </w:p>
    <w:p>
      <w:pPr>
        <w:pStyle w:val="ListParagraph"/>
        <w:numPr>
          <w:ilvl w:val="0"/>
          <w:numId w:val="2"/>
        </w:numPr>
      </w:pPr>
      <w:r>
        <w:rPr>
          <w:b/>
          <w:bCs/>
        </w:rPr>
        <w:t xml:space="preserve">AlphaFold2, RoseTTAFold: </w:t>
      </w:r>
      <w:r>
        <w:t xml:space="preserve">Deep learning structure prediction models for generating high-confidence tertiary structure predictions for gene Y protein</w:t>
      </w:r>
    </w:p>
    <w:p>
      <w:pPr>
        <w:pStyle w:val="ListParagraph"/>
        <w:numPr>
          <w:ilvl w:val="0"/>
          <w:numId w:val="2"/>
        </w:numPr>
      </w:pPr>
      <w:r>
        <w:rPr>
          <w:b/>
          <w:bCs/>
        </w:rPr>
        <w:t xml:space="preserve">PhosphoSitePlus: </w:t>
      </w:r>
      <w:r>
        <w:t xml:space="preserve">Database of phosphorylation sites and post-translational modifications enabling prediction of regulatory impacts</w:t>
      </w:r>
    </w:p>
    <w:p>
      <w:r>
        <w:rPr>
          <w:b/>
          <w:bCs/>
        </w:rPr>
        <w:t xml:space="preserve">Exemplary Sub-Prompts:</w:t>
      </w:r>
    </w:p>
    <w:p>
      <w:pPr>
        <w:pStyle w:val="ListParagraph"/>
        <w:numPr>
          <w:ilvl w:val="0"/>
          <w:numId w:val="2"/>
        </w:numPr>
      </w:pPr>
      <w:r>
        <w:t xml:space="preserve">Does the three-dimensional protein structure reveal that pathogenic mutations cluster in critical functional domains (active sites, binding pockets, protein-protein interaction interfaces)?</w:t>
      </w:r>
    </w:p>
    <w:p>
      <w:pPr>
        <w:pStyle w:val="ListParagraph"/>
        <w:numPr>
          <w:ilvl w:val="0"/>
          <w:numId w:val="2"/>
        </w:numPr>
      </w:pPr>
      <w:r>
        <w:t xml:space="preserve">Are reported mutations predicted to be loss-of-function (nonsense, frameshift, essential splice site disruption) or missense with variable structural impact?</w:t>
      </w:r>
    </w:p>
    <w:p>
      <w:pPr>
        <w:pStyle w:val="ListParagraph"/>
        <w:numPr>
          <w:ilvl w:val="0"/>
          <w:numId w:val="2"/>
        </w:numPr>
      </w:pPr>
      <w:r>
        <w:t xml:space="preserve">What is the predicted effect of missense mutations on protein folding stability (ΔΔG), and are destabilizing mutations overrepresented in disease-associated variants?</w:t>
      </w:r>
    </w:p>
    <w:p>
      <w:pPr>
        <w:pStyle w:val="ListParagraph"/>
        <w:numPr>
          <w:ilvl w:val="0"/>
          <w:numId w:val="2"/>
        </w:numPr>
      </w:pPr>
      <w:r>
        <w:t xml:space="preserve">How does gene Y protein product interact with known binding partners, and do pathogenic mutations disrupt critical protein-protein interaction interfaces?</w:t>
      </w:r>
    </w:p>
    <w:p>
      <w:pPr>
        <w:pStyle w:val="ListParagraph"/>
        <w:numPr>
          <w:ilvl w:val="0"/>
          <w:numId w:val="2"/>
        </w:numPr>
      </w:pPr>
      <w:r>
        <w:t xml:space="preserve">Are experimental studies available demonstrating functional consequences (expression, localization, activity) of pathogenic variants versus wild-type?</w:t>
      </w:r>
    </w:p>
    <w:p>
      <w:r>
        <w:rPr>
          <w:b/>
          <w:bCs/>
        </w:rPr>
        <w:t xml:space="preserve">Expected Outputs:</w:t>
      </w:r>
    </w:p>
    <w:p>
      <w:pPr>
        <w:pStyle w:val="ListParagraph"/>
        <w:numPr>
          <w:ilvl w:val="0"/>
          <w:numId w:val="2"/>
        </w:numPr>
      </w:pPr>
      <w:r>
        <w:t xml:space="preserve">Structural annotation table mapping each pathogenic variant to affected protein domain, functional region, or binding interface</w:t>
      </w:r>
    </w:p>
    <w:p>
      <w:pPr>
        <w:pStyle w:val="ListParagraph"/>
        <w:numPr>
          <w:ilvl w:val="0"/>
          <w:numId w:val="2"/>
        </w:numPr>
      </w:pPr>
      <w:r>
        <w:t xml:space="preserve">PolyPhen-2 and SIFT predictions with supporting evidence for each missense variant and interpretation of predicted pathogenicity</w:t>
      </w:r>
    </w:p>
    <w:p>
      <w:pPr>
        <w:pStyle w:val="ListParagraph"/>
        <w:numPr>
          <w:ilvl w:val="0"/>
          <w:numId w:val="2"/>
        </w:numPr>
      </w:pPr>
      <w:r>
        <w:t xml:space="preserve">FoldX stability predictions (ΔΔG values) for missense mutations with thresholds distinguishing destabilizing from neutral changes</w:t>
      </w:r>
    </w:p>
    <w:p>
      <w:pPr>
        <w:pStyle w:val="ListParagraph"/>
        <w:numPr>
          <w:ilvl w:val="0"/>
          <w:numId w:val="2"/>
        </w:numPr>
      </w:pPr>
      <w:r>
        <w:t xml:space="preserve">Protein-protein interaction network map for gene Y product showing binding partners and pathway context</w:t>
      </w:r>
    </w:p>
    <w:p>
      <w:pPr>
        <w:pStyle w:val="ListParagraph"/>
        <w:numPr>
          <w:ilvl w:val="0"/>
          <w:numId w:val="2"/>
        </w:numPr>
      </w:pPr>
      <w:r>
        <w:t xml:space="preserve">Functional consequence classification (loss-of-function, gain-of-function, dominant-negative, haploinsufficiency) supported by experimental literature</w:t>
      </w:r>
    </w:p>
    <w:p>
      <w:pPr>
        <w:pStyle w:val="ListParagraph"/>
        <w:numPr>
          <w:ilvl w:val="0"/>
          <w:numId w:val="2"/>
        </w:numPr>
      </w:pPr>
      <w:r>
        <w:t xml:space="preserve">Therapeutic modulation strategy recommendation (upregulation, downregulation, removal, pathway inhibition) justified by functional mechanism analysis</w:t>
      </w:r>
    </w:p>
    <w:p>
      <w:pPr>
        <w:spacing w:after="200" w:line="360"/>
      </w:pPr>
      <w:r>
        <w:rPr>
          <w:b/>
          <w:bCs/>
        </w:rPr>
        <w:t xml:space="preserve">Format: </w:t>
      </w:r>
      <w:r>
        <w:t xml:space="preserve">Variant impact table in CSV; structure visualization images (PDB structures with mutation sites highlighted) in PNG; mechanistic report in markdown with embedded figures.</w:t>
      </w:r>
    </w:p>
    <w:p>
      <w:pPr>
        <w:pStyle w:val="Heading2"/>
      </w:pPr>
      <w:r>
        <w:t xml:space="preserve">Stage 3: Disease Phenotype Severity Quantification</w:t>
      </w:r>
    </w:p>
    <w:p>
      <w:pPr>
        <w:spacing w:after="200" w:line="360"/>
      </w:pPr>
      <w:r>
        <w:rPr>
          <w:b/>
          <w:bCs/>
        </w:rPr>
        <w:t xml:space="preserve">Purpose: </w:t>
      </w:r>
      <w:r>
        <w:t xml:space="preserve">Quantify disease severity for patients with ultra-rare gene Y mutations, including clinical manifestations, progression patterns, age-of-onset, life expectancy impact, disability measures, and quality-of-life burden. Establish natural history timelines and identify severity subgroups to estimate the population eligible for therapeutic intervention and clinical trial feasibility.</w:t>
      </w:r>
    </w:p>
    <w:p>
      <w:r>
        <w:rPr>
          <w:b/>
          <w:bCs/>
        </w:rPr>
        <w:t xml:space="preserve">Inputs:</w:t>
      </w:r>
    </w:p>
    <w:p>
      <w:pPr>
        <w:pStyle w:val="ListParagraph"/>
        <w:numPr>
          <w:ilvl w:val="0"/>
          <w:numId w:val="2"/>
        </w:numPr>
      </w:pPr>
      <w:r>
        <w:t xml:space="preserve">Clinical case reports and medical literature describing patients with gene Y mutations and phenotypic manifestations</w:t>
      </w:r>
    </w:p>
    <w:p>
      <w:pPr>
        <w:pStyle w:val="ListParagraph"/>
        <w:numPr>
          <w:ilvl w:val="0"/>
          <w:numId w:val="2"/>
        </w:numPr>
      </w:pPr>
      <w:r>
        <w:t xml:space="preserve">Patient registry data (NIRD, disease-specific registries) with systematically collected clinical assessments, comorbidities, and long-term outcomes</w:t>
      </w:r>
    </w:p>
    <w:p>
      <w:pPr>
        <w:pStyle w:val="ListParagraph"/>
        <w:numPr>
          <w:ilvl w:val="0"/>
          <w:numId w:val="2"/>
        </w:numPr>
      </w:pPr>
      <w:r>
        <w:t xml:space="preserve">Clinical severity scales appropriate to the disease (e.g., EDSS for neurological disorders, MMSE for dementia, seizure frequency counts, EEG abnormality severity)</w:t>
      </w:r>
    </w:p>
    <w:p>
      <w:pPr>
        <w:pStyle w:val="ListParagraph"/>
        <w:numPr>
          <w:ilvl w:val="0"/>
          <w:numId w:val="2"/>
        </w:numPr>
      </w:pPr>
      <w:r>
        <w:t xml:space="preserve">Natural history studies and long-term follow-up data describing disease progression, survival curves, and age-stratified outcomes</w:t>
      </w:r>
    </w:p>
    <w:p>
      <w:pPr>
        <w:pStyle w:val="ListParagraph"/>
        <w:numPr>
          <w:ilvl w:val="0"/>
          <w:numId w:val="2"/>
        </w:numPr>
      </w:pPr>
      <w:r>
        <w:t xml:space="preserve">Biomarker measurements (MRI volumetry, CSF biomarkers, circulating proteins, genetic modifiers) stratifying disease severity and progression rate</w:t>
      </w:r>
    </w:p>
    <w:p>
      <w:r>
        <w:rPr>
          <w:b/>
          <w:bCs/>
        </w:rPr>
        <w:t xml:space="preserve">Tools &amp; Databases Called:</w:t>
      </w:r>
    </w:p>
    <w:p>
      <w:pPr>
        <w:pStyle w:val="ListParagraph"/>
        <w:numPr>
          <w:ilvl w:val="0"/>
          <w:numId w:val="2"/>
        </w:numPr>
      </w:pPr>
      <w:r>
        <w:rPr>
          <w:b/>
          <w:bCs/>
        </w:rPr>
        <w:t xml:space="preserve">NIRD (National Institute of Rare Disorders): </w:t>
      </w:r>
      <w:r>
        <w:t xml:space="preserve">Centralized patient registry with clinical assessments and standardized phenotyping protocols</w:t>
      </w:r>
    </w:p>
    <w:p>
      <w:pPr>
        <w:pStyle w:val="ListParagraph"/>
        <w:numPr>
          <w:ilvl w:val="0"/>
          <w:numId w:val="2"/>
        </w:numPr>
      </w:pPr>
      <w:r>
        <w:rPr>
          <w:b/>
          <w:bCs/>
        </w:rPr>
        <w:t xml:space="preserve">PubMed/Google Scholar: </w:t>
      </w:r>
      <w:r>
        <w:t xml:space="preserve">Literature search and systematic review tools for identifying published clinical reports and natural history studies</w:t>
      </w:r>
    </w:p>
    <w:p>
      <w:pPr>
        <w:pStyle w:val="ListParagraph"/>
        <w:numPr>
          <w:ilvl w:val="0"/>
          <w:numId w:val="2"/>
        </w:numPr>
      </w:pPr>
      <w:r>
        <w:rPr>
          <w:b/>
          <w:bCs/>
        </w:rPr>
        <w:t xml:space="preserve">Clinical trial databases (ClinicalTrials.gov): </w:t>
      </w:r>
      <w:r>
        <w:t xml:space="preserve">Registry of studies enrolling patients with rare diseases enabling estimation of trial recruitment feasibility and clinical outcome measurement availability</w:t>
      </w:r>
    </w:p>
    <w:p>
      <w:pPr>
        <w:pStyle w:val="ListParagraph"/>
        <w:numPr>
          <w:ilvl w:val="0"/>
          <w:numId w:val="2"/>
        </w:numPr>
      </w:pPr>
      <w:r>
        <w:rPr>
          <w:b/>
          <w:bCs/>
        </w:rPr>
        <w:t xml:space="preserve">Kaplan-Meier survival analysis software (R survival package, GraphPad Prism): </w:t>
      </w:r>
      <w:r>
        <w:t xml:space="preserve">Tools for estimating event-free survival and disease progression curves from patient follow-up data</w:t>
      </w:r>
    </w:p>
    <w:p>
      <w:pPr>
        <w:pStyle w:val="ListParagraph"/>
        <w:numPr>
          <w:ilvl w:val="0"/>
          <w:numId w:val="2"/>
        </w:numPr>
      </w:pPr>
      <w:r>
        <w:rPr>
          <w:b/>
          <w:bCs/>
        </w:rPr>
        <w:t xml:space="preserve">Orphanet: </w:t>
      </w:r>
      <w:r>
        <w:t xml:space="preserve">European database of rare diseases with clinical phenotypes, epidemiology, and expert-curated disease information</w:t>
      </w:r>
    </w:p>
    <w:p>
      <w:pPr>
        <w:pStyle w:val="ListParagraph"/>
        <w:numPr>
          <w:ilvl w:val="0"/>
          <w:numId w:val="2"/>
        </w:numPr>
      </w:pPr>
      <w:r>
        <w:rPr>
          <w:b/>
          <w:bCs/>
        </w:rPr>
        <w:t xml:space="preserve">REDCap (Research Electronic Data Capture): </w:t>
      </w:r>
      <w:r>
        <w:t xml:space="preserve">HIPAA-compliant electronic data capture platform for clinical trial and registry data management</w:t>
      </w:r>
    </w:p>
    <w:p>
      <w:r>
        <w:rPr>
          <w:b/>
          <w:bCs/>
        </w:rPr>
        <w:t xml:space="preserve">Exemplary Sub-Prompts:</w:t>
      </w:r>
    </w:p>
    <w:p>
      <w:pPr>
        <w:pStyle w:val="ListParagraph"/>
        <w:numPr>
          <w:ilvl w:val="0"/>
          <w:numId w:val="2"/>
        </w:numPr>
      </w:pPr>
      <w:r>
        <w:t xml:space="preserve">What is the typical age-of-onset for gene Y disease, and does severity correlate with age or disease duration?</w:t>
      </w:r>
    </w:p>
    <w:p>
      <w:pPr>
        <w:pStyle w:val="ListParagraph"/>
        <w:numPr>
          <w:ilvl w:val="0"/>
          <w:numId w:val="2"/>
        </w:numPr>
      </w:pPr>
      <w:r>
        <w:t xml:space="preserve">What are the major clinical manifestations affecting patients, and are there distinct severity phenotypes (mild, moderate, severe, lethal)?</w:t>
      </w:r>
    </w:p>
    <w:p>
      <w:pPr>
        <w:pStyle w:val="ListParagraph"/>
        <w:numPr>
          <w:ilvl w:val="0"/>
          <w:numId w:val="2"/>
        </w:numPr>
      </w:pPr>
      <w:r>
        <w:t xml:space="preserve">What is the natural disease progression rate (months or years to major clinical milestones), and are there modifiable disease modifiers?</w:t>
      </w:r>
    </w:p>
    <w:p>
      <w:pPr>
        <w:pStyle w:val="ListParagraph"/>
        <w:numPr>
          <w:ilvl w:val="0"/>
          <w:numId w:val="2"/>
        </w:numPr>
      </w:pPr>
      <w:r>
        <w:t xml:space="preserve">What is the life expectancy impact for gene Y disease, and what percentage of patients experience life-threatening complications?</w:t>
      </w:r>
    </w:p>
    <w:p>
      <w:pPr>
        <w:pStyle w:val="ListParagraph"/>
        <w:numPr>
          <w:ilvl w:val="0"/>
          <w:numId w:val="2"/>
        </w:numPr>
      </w:pPr>
      <w:r>
        <w:t xml:space="preserve">What biomarkers or imaging findings correlate with disease severity and could serve as clinical trial endpoints?</w:t>
      </w:r>
    </w:p>
    <w:p>
      <w:r>
        <w:rPr>
          <w:b/>
          <w:bCs/>
        </w:rPr>
        <w:t xml:space="preserve">Expected Outputs:</w:t>
      </w:r>
    </w:p>
    <w:p>
      <w:pPr>
        <w:pStyle w:val="ListParagraph"/>
        <w:numPr>
          <w:ilvl w:val="0"/>
          <w:numId w:val="2"/>
        </w:numPr>
      </w:pPr>
      <w:r>
        <w:t xml:space="preserve">Natural history descriptive report with age-of-onset distributions, clinical manifestation prevalence, and disease progression patterns</w:t>
      </w:r>
    </w:p>
    <w:p>
      <w:pPr>
        <w:pStyle w:val="ListParagraph"/>
        <w:numPr>
          <w:ilvl w:val="0"/>
          <w:numId w:val="2"/>
        </w:numPr>
      </w:pPr>
      <w:r>
        <w:t xml:space="preserve">Severity classification scheme with patient stratification into discrete severity categories (mild, moderate, severe) with operational criteria</w:t>
      </w:r>
    </w:p>
    <w:p>
      <w:pPr>
        <w:pStyle w:val="ListParagraph"/>
        <w:numPr>
          <w:ilvl w:val="0"/>
          <w:numId w:val="2"/>
        </w:numPr>
      </w:pPr>
      <w:r>
        <w:t xml:space="preserve">Kaplan-Meier survival curves and event-free survival estimates with median time-to-event and 95% confidence intervals</w:t>
      </w:r>
    </w:p>
    <w:p>
      <w:pPr>
        <w:pStyle w:val="ListParagraph"/>
        <w:numPr>
          <w:ilvl w:val="0"/>
          <w:numId w:val="2"/>
        </w:numPr>
      </w:pPr>
      <w:r>
        <w:t xml:space="preserve">Clinical severity scale assessments (EDSS, MMSE, seizure counts, etc.) with median and range stratified by disease duration or patient age</w:t>
      </w:r>
    </w:p>
    <w:p>
      <w:pPr>
        <w:pStyle w:val="ListParagraph"/>
        <w:numPr>
          <w:ilvl w:val="0"/>
          <w:numId w:val="2"/>
        </w:numPr>
      </w:pPr>
      <w:r>
        <w:t xml:space="preserve">Quality-of-life burden quantification using standardized instruments (EQ-5D, SF-36) and disease-specific measures</w:t>
      </w:r>
    </w:p>
    <w:p>
      <w:pPr>
        <w:pStyle w:val="ListParagraph"/>
        <w:numPr>
          <w:ilvl w:val="0"/>
          <w:numId w:val="2"/>
        </w:numPr>
      </w:pPr>
      <w:r>
        <w:t xml:space="preserve">Biomarker associations with severity including imaging findings, laboratory values, and genetic modifiers affecting disease trajectory</w:t>
      </w:r>
    </w:p>
    <w:p>
      <w:pPr>
        <w:spacing w:after="200" w:line="360"/>
      </w:pPr>
      <w:r>
        <w:rPr>
          <w:b/>
          <w:bCs/>
        </w:rPr>
        <w:t xml:space="preserve">Format: </w:t>
      </w:r>
      <w:r>
        <w:t xml:space="preserve">Natural history report in markdown with embedded tables and figures; severity classification criteria checklist; Kaplan-Meier survival curves as PNG/PDF plots.</w:t>
      </w:r>
    </w:p>
    <w:p>
      <w:pPr>
        <w:pStyle w:val="Heading2"/>
      </w:pPr>
      <w:r>
        <w:t xml:space="preserve">Stage 4: Preclinical and Clinical Evidence Synthesis</w:t>
      </w:r>
    </w:p>
    <w:p>
      <w:pPr>
        <w:spacing w:after="200" w:line="360"/>
      </w:pPr>
      <w:r>
        <w:rPr>
          <w:b/>
          <w:bCs/>
        </w:rPr>
        <w:t xml:space="preserve">Purpose: </w:t>
      </w:r>
      <w:r>
        <w:t xml:space="preserve">Synthesize all available preclinical evidence (in vitro studies, animal models, cell biology, biochemical assays) and preliminary clinical evidence (case reports, small open-label trials, biomarker studies) demonstrating proof-of-concept that modulating gene Y activity is therapeutically beneficial. Quantify effect sizes from reported studies and assess quality of evidence using standardized criteria (GRADE, evidence tables).</w:t>
      </w:r>
    </w:p>
    <w:p>
      <w:r>
        <w:rPr>
          <w:b/>
          <w:bCs/>
        </w:rPr>
        <w:t xml:space="preserve">Inputs:</w:t>
      </w:r>
    </w:p>
    <w:p>
      <w:pPr>
        <w:pStyle w:val="ListParagraph"/>
        <w:numPr>
          <w:ilvl w:val="0"/>
          <w:numId w:val="2"/>
        </w:numPr>
      </w:pPr>
      <w:r>
        <w:t xml:space="preserve">Published preclinical studies (in vitro, animal models, ex vivo patient-derived samples) investigating therapeutic modulation of gene Y</w:t>
      </w:r>
    </w:p>
    <w:p>
      <w:pPr>
        <w:pStyle w:val="ListParagraph"/>
        <w:numPr>
          <w:ilvl w:val="0"/>
          <w:numId w:val="2"/>
        </w:numPr>
      </w:pPr>
      <w:r>
        <w:t xml:space="preserve">Clinical case reports or small uncontrolled studies describing patient responses to therapeutic interventions targeting gene Y pathway</w:t>
      </w:r>
    </w:p>
    <w:p>
      <w:pPr>
        <w:pStyle w:val="ListParagraph"/>
        <w:numPr>
          <w:ilvl w:val="0"/>
          <w:numId w:val="2"/>
        </w:numPr>
      </w:pPr>
      <w:r>
        <w:t xml:space="preserve">Biomarker studies investigating correlations between gene Y expression/activity and disease markers or clinical outcomes</w:t>
      </w:r>
    </w:p>
    <w:p>
      <w:pPr>
        <w:pStyle w:val="ListParagraph"/>
        <w:numPr>
          <w:ilvl w:val="0"/>
          <w:numId w:val="2"/>
        </w:numPr>
      </w:pPr>
      <w:r>
        <w:t xml:space="preserve">Therapeutic modality options (small molecule, monoclonal antibody, cell therapy, gene therapy) with feasibility assessment for rapid IND enabling</w:t>
      </w:r>
    </w:p>
    <w:p>
      <w:pPr>
        <w:pStyle w:val="ListParagraph"/>
        <w:numPr>
          <w:ilvl w:val="0"/>
          <w:numId w:val="2"/>
        </w:numPr>
      </w:pPr>
      <w:r>
        <w:t xml:space="preserve">Mechanistic understanding linking gene Y modulation to disease reversal or stabilization through validated disease models</w:t>
      </w:r>
    </w:p>
    <w:p>
      <w:r>
        <w:rPr>
          <w:b/>
          <w:bCs/>
        </w:rPr>
        <w:t xml:space="preserve">Tools &amp; Databases Called:</w:t>
      </w:r>
    </w:p>
    <w:p>
      <w:pPr>
        <w:pStyle w:val="ListParagraph"/>
        <w:numPr>
          <w:ilvl w:val="0"/>
          <w:numId w:val="2"/>
        </w:numPr>
      </w:pPr>
      <w:r>
        <w:rPr>
          <w:b/>
          <w:bCs/>
        </w:rPr>
        <w:t xml:space="preserve">PubMed/PubMed Central: </w:t>
      </w:r>
      <w:r>
        <w:t xml:space="preserve">Literature search for preclinical and clinical evidence with MESH term filtering for relevance</w:t>
      </w:r>
    </w:p>
    <w:p>
      <w:pPr>
        <w:pStyle w:val="ListParagraph"/>
        <w:numPr>
          <w:ilvl w:val="0"/>
          <w:numId w:val="2"/>
        </w:numPr>
      </w:pPr>
      <w:r>
        <w:rPr>
          <w:b/>
          <w:bCs/>
        </w:rPr>
        <w:t xml:space="preserve">Cochrane Library, EMBASE: </w:t>
      </w:r>
      <w:r>
        <w:t xml:space="preserve">Systematic review databases for comprehensive evidence synthesis and meta-analysis capability</w:t>
      </w:r>
    </w:p>
    <w:p>
      <w:pPr>
        <w:pStyle w:val="ListParagraph"/>
        <w:numPr>
          <w:ilvl w:val="0"/>
          <w:numId w:val="2"/>
        </w:numPr>
      </w:pPr>
      <w:r>
        <w:rPr>
          <w:b/>
          <w:bCs/>
        </w:rPr>
        <w:t xml:space="preserve">ClinicalTrials.gov: </w:t>
      </w:r>
      <w:r>
        <w:t xml:space="preserve">Registry of ongoing or completed clinical studies with efficacy and safety outcome reporting</w:t>
      </w:r>
    </w:p>
    <w:p>
      <w:pPr>
        <w:pStyle w:val="ListParagraph"/>
        <w:numPr>
          <w:ilvl w:val="0"/>
          <w:numId w:val="2"/>
        </w:numPr>
      </w:pPr>
      <w:r>
        <w:rPr>
          <w:b/>
          <w:bCs/>
        </w:rPr>
        <w:t xml:space="preserve">Model Organism Databases (MGI, RGD, Xenbase): </w:t>
      </w:r>
      <w:r>
        <w:t xml:space="preserve">Transgenic animal models targeting gene Y with phenotypic characterization and behavioral/molecular readouts</w:t>
      </w:r>
    </w:p>
    <w:p>
      <w:pPr>
        <w:pStyle w:val="ListParagraph"/>
        <w:numPr>
          <w:ilvl w:val="0"/>
          <w:numId w:val="2"/>
        </w:numPr>
      </w:pPr>
      <w:r>
        <w:rPr>
          <w:b/>
          <w:bCs/>
        </w:rPr>
        <w:t xml:space="preserve">UpToDate, Micromedex: </w:t>
      </w:r>
      <w:r>
        <w:t xml:space="preserve">Clinical decision support systems with therapeutic evidence summaries and expert consensus recommendations</w:t>
      </w:r>
    </w:p>
    <w:p>
      <w:pPr>
        <w:pStyle w:val="ListParagraph"/>
        <w:numPr>
          <w:ilvl w:val="0"/>
          <w:numId w:val="2"/>
        </w:numPr>
      </w:pPr>
      <w:r>
        <w:rPr>
          <w:b/>
          <w:bCs/>
        </w:rPr>
        <w:t xml:space="preserve">Mendeley, Zotero, DistillerSR: </w:t>
      </w:r>
      <w:r>
        <w:t xml:space="preserve">Reference management and systematic review tools for organizing and extracting evidence from large literature corpora</w:t>
      </w:r>
    </w:p>
    <w:p>
      <w:r>
        <w:rPr>
          <w:b/>
          <w:bCs/>
        </w:rPr>
        <w:t xml:space="preserve">Exemplary Sub-Prompts:</w:t>
      </w:r>
    </w:p>
    <w:p>
      <w:pPr>
        <w:pStyle w:val="ListParagraph"/>
        <w:numPr>
          <w:ilvl w:val="0"/>
          <w:numId w:val="2"/>
        </w:numPr>
      </w:pPr>
      <w:r>
        <w:t xml:space="preserve">Are there published preclinical studies (in vitro, animal models) demonstrating that modulating gene Y dosage or activity ameliorates disease phenotypes?</w:t>
      </w:r>
    </w:p>
    <w:p>
      <w:pPr>
        <w:pStyle w:val="ListParagraph"/>
        <w:numPr>
          <w:ilvl w:val="0"/>
          <w:numId w:val="2"/>
        </w:numPr>
      </w:pPr>
      <w:r>
        <w:t xml:space="preserve">What is the magnitude of effect size in preclinical models (% improvement in key outcomes relative to wild-type or vehicle control)?</w:t>
      </w:r>
    </w:p>
    <w:p>
      <w:pPr>
        <w:pStyle w:val="ListParagraph"/>
        <w:numPr>
          <w:ilvl w:val="0"/>
          <w:numId w:val="2"/>
        </w:numPr>
      </w:pPr>
      <w:r>
        <w:t xml:space="preserve">Are there clinical case reports or preliminary studies showing benefit from therapeutic interventions targeting gene Y in human patients?</w:t>
      </w:r>
    </w:p>
    <w:p>
      <w:pPr>
        <w:pStyle w:val="ListParagraph"/>
        <w:numPr>
          <w:ilvl w:val="0"/>
          <w:numId w:val="2"/>
        </w:numPr>
      </w:pPr>
      <w:r>
        <w:t xml:space="preserve">What is the quality of available evidence (randomized controlled trials, uncontrolled case series, case reports) and potential for publication bias?</w:t>
      </w:r>
    </w:p>
    <w:p>
      <w:pPr>
        <w:pStyle w:val="ListParagraph"/>
        <w:numPr>
          <w:ilvl w:val="0"/>
          <w:numId w:val="2"/>
        </w:numPr>
      </w:pPr>
      <w:r>
        <w:t xml:space="preserve">What therapeutic modalities are pharmacologically feasible (druggability assessment) for targeting gene Y in a rare disease context?</w:t>
      </w:r>
    </w:p>
    <w:p>
      <w:r>
        <w:rPr>
          <w:b/>
          <w:bCs/>
        </w:rPr>
        <w:t xml:space="preserve">Expected Outputs:</w:t>
      </w:r>
    </w:p>
    <w:p>
      <w:pPr>
        <w:pStyle w:val="ListParagraph"/>
        <w:numPr>
          <w:ilvl w:val="0"/>
          <w:numId w:val="2"/>
        </w:numPr>
      </w:pPr>
      <w:r>
        <w:t xml:space="preserve">Systematic literature review with evidence tables documenting all published preclinical and clinical studies investigating gene Y modulation</w:t>
      </w:r>
    </w:p>
    <w:p>
      <w:pPr>
        <w:pStyle w:val="ListParagraph"/>
        <w:numPr>
          <w:ilvl w:val="0"/>
          <w:numId w:val="2"/>
        </w:numPr>
      </w:pPr>
      <w:r>
        <w:t xml:space="preserve">Effect size meta-analysis or summary with reported outcomes, control groups, and quantitative magnitude of benefit (Cohen's d, odds ratios)</w:t>
      </w:r>
    </w:p>
    <w:p>
      <w:pPr>
        <w:pStyle w:val="ListParagraph"/>
        <w:numPr>
          <w:ilvl w:val="0"/>
          <w:numId w:val="2"/>
        </w:numPr>
      </w:pPr>
      <w:r>
        <w:t xml:space="preserve">GRADE quality-of-evidence assessment for each outcome with justification of high, moderate, low, or very-low certainty ratings</w:t>
      </w:r>
    </w:p>
    <w:p>
      <w:pPr>
        <w:pStyle w:val="ListParagraph"/>
        <w:numPr>
          <w:ilvl w:val="0"/>
          <w:numId w:val="2"/>
        </w:numPr>
      </w:pPr>
      <w:r>
        <w:t xml:space="preserve">Therapeutic modality comparison table assessing feasibility, intellectual property landscape, manufacturing requirements, and accelerated pathway eligibility</w:t>
      </w:r>
    </w:p>
    <w:p>
      <w:pPr>
        <w:pStyle w:val="ListParagraph"/>
        <w:numPr>
          <w:ilvl w:val="0"/>
          <w:numId w:val="2"/>
        </w:numPr>
      </w:pPr>
      <w:r>
        <w:t xml:space="preserve">Mechanistic pathway map linking gene Y modulation to disease endpoint improvements with supporting molecular evidence</w:t>
      </w:r>
    </w:p>
    <w:p>
      <w:pPr>
        <w:pStyle w:val="ListParagraph"/>
        <w:numPr>
          <w:ilvl w:val="0"/>
          <w:numId w:val="2"/>
        </w:numPr>
      </w:pPr>
      <w:r>
        <w:t xml:space="preserve">Risk of bias summary and publication bias assessment (funnel plots) for preclinical and clinical evidence</w:t>
      </w:r>
    </w:p>
    <w:p>
      <w:pPr>
        <w:spacing w:after="200" w:line="360"/>
      </w:pPr>
      <w:r>
        <w:rPr>
          <w:b/>
          <w:bCs/>
        </w:rPr>
        <w:t xml:space="preserve">Format: </w:t>
      </w:r>
      <w:r>
        <w:t xml:space="preserve">Evidence table in CSV/Excel; GRADE summary tables; systematic review report in markdown with embedded figures and forest plots.</w:t>
      </w:r>
    </w:p>
    <w:p>
      <w:pPr>
        <w:pStyle w:val="Heading2"/>
      </w:pPr>
      <w:r>
        <w:t xml:space="preserve">Stage 5: Effect Size Calculation and IND Justification Scoring</w:t>
      </w:r>
    </w:p>
    <w:p>
      <w:pPr>
        <w:spacing w:after="200" w:line="360"/>
      </w:pPr>
      <w:r>
        <w:rPr>
          <w:b/>
          <w:bCs/>
        </w:rPr>
        <w:t xml:space="preserve">Purpose: </w:t>
      </w:r>
      <w:r>
        <w:t xml:space="preserve">Integrate epidemiological, functional, clinical severity, and evidence data into a quantitative IND justification score (0–100%) reflecting the likelihood that modulating gene Y merits regulatory engagement and clinical development. Calculate effect size estimates for clinical benefit scenarios, estimate trial feasibility metrics (sample size requirements, recruitment timelines), and develop go/no-go decision thresholds accounting for disease rarity, regulatory pathways, and market opportunity.</w:t>
      </w:r>
    </w:p>
    <w:p>
      <w:r>
        <w:rPr>
          <w:b/>
          <w:bCs/>
        </w:rPr>
        <w:t xml:space="preserve">Inputs:</w:t>
      </w:r>
    </w:p>
    <w:p>
      <w:pPr>
        <w:pStyle w:val="ListParagraph"/>
        <w:numPr>
          <w:ilvl w:val="0"/>
          <w:numId w:val="2"/>
        </w:numPr>
      </w:pPr>
      <w:r>
        <w:t xml:space="preserve">Prevalence estimate and patient population size from Stage 1 epidemiology</w:t>
      </w:r>
    </w:p>
    <w:p>
      <w:pPr>
        <w:pStyle w:val="ListParagraph"/>
        <w:numPr>
          <w:ilvl w:val="0"/>
          <w:numId w:val="2"/>
        </w:numPr>
      </w:pPr>
      <w:r>
        <w:t xml:space="preserve">Functional consequence classification and molecular mechanism from Stage 2 (LoF, GoF, DN)</w:t>
      </w:r>
    </w:p>
    <w:p>
      <w:pPr>
        <w:pStyle w:val="ListParagraph"/>
        <w:numPr>
          <w:ilvl w:val="0"/>
          <w:numId w:val="2"/>
        </w:numPr>
      </w:pPr>
      <w:r>
        <w:t xml:space="preserve">Disease severity quantification and natural history from Stage 3 (progression rates, life expectancy impact)</w:t>
      </w:r>
    </w:p>
    <w:p>
      <w:pPr>
        <w:pStyle w:val="ListParagraph"/>
        <w:numPr>
          <w:ilvl w:val="0"/>
          <w:numId w:val="2"/>
        </w:numPr>
      </w:pPr>
      <w:r>
        <w:t xml:space="preserve">Preclinical and clinical effect sizes from Stage 4 (magnitude of benefit, quality of evidence)</w:t>
      </w:r>
    </w:p>
    <w:p>
      <w:pPr>
        <w:pStyle w:val="ListParagraph"/>
        <w:numPr>
          <w:ilvl w:val="0"/>
          <w:numId w:val="2"/>
        </w:numPr>
      </w:pPr>
      <w:r>
        <w:t xml:space="preserve">Regulatory pathway eligibility criteria (orphan designation, fast-track, breakthrough designation, accelerated approval potential)</w:t>
      </w:r>
    </w:p>
    <w:p>
      <w:r>
        <w:rPr>
          <w:b/>
          <w:bCs/>
        </w:rPr>
        <w:t xml:space="preserve">Tools &amp; Databases Called:</w:t>
      </w:r>
    </w:p>
    <w:p>
      <w:pPr>
        <w:pStyle w:val="ListParagraph"/>
        <w:numPr>
          <w:ilvl w:val="0"/>
          <w:numId w:val="2"/>
        </w:numPr>
      </w:pPr>
      <w:r>
        <w:rPr>
          <w:b/>
          <w:bCs/>
        </w:rPr>
        <w:t xml:space="preserve">Sample size calculation software (G*Power, nQuery): </w:t>
      </w:r>
      <w:r>
        <w:t xml:space="preserve">Estimation of required sample sizes for clinical trials given assumed effect sizes and statistical power</w:t>
      </w:r>
    </w:p>
    <w:p>
      <w:pPr>
        <w:pStyle w:val="ListParagraph"/>
        <w:numPr>
          <w:ilvl w:val="0"/>
          <w:numId w:val="2"/>
        </w:numPr>
      </w:pPr>
      <w:r>
        <w:rPr>
          <w:b/>
          <w:bCs/>
        </w:rPr>
        <w:t xml:space="preserve">FDA Rare Disease Guidance Documents: </w:t>
      </w:r>
      <w:r>
        <w:t xml:space="preserve">Official regulatory guidance on orphan drug qualification, accelerated approval pathways, and IND development strategies</w:t>
      </w:r>
    </w:p>
    <w:p>
      <w:pPr>
        <w:pStyle w:val="ListParagraph"/>
        <w:numPr>
          <w:ilvl w:val="0"/>
          <w:numId w:val="2"/>
        </w:numPr>
      </w:pPr>
      <w:r>
        <w:rPr>
          <w:b/>
          <w:bCs/>
        </w:rPr>
        <w:t xml:space="preserve">EMA Committee for Orphan Medicinal Products: </w:t>
      </w:r>
      <w:r>
        <w:t xml:space="preserve">European regulatory pathway and orphan designation guidance with decision summaries</w:t>
      </w:r>
    </w:p>
    <w:p>
      <w:pPr>
        <w:pStyle w:val="ListParagraph"/>
        <w:numPr>
          <w:ilvl w:val="0"/>
          <w:numId w:val="2"/>
        </w:numPr>
      </w:pPr>
      <w:r>
        <w:rPr>
          <w:b/>
          <w:bCs/>
        </w:rPr>
        <w:t xml:space="preserve">Integrated Decision Support Scoring System: </w:t>
      </w:r>
      <w:r>
        <w:t xml:space="preserve">Custom multi-criteria decision analysis (MCDA) framework weighting epidemiology, functional impact, severity, evidence quality, and regulatory factors</w:t>
      </w:r>
    </w:p>
    <w:p>
      <w:pPr>
        <w:pStyle w:val="ListParagraph"/>
        <w:numPr>
          <w:ilvl w:val="0"/>
          <w:numId w:val="2"/>
        </w:numPr>
      </w:pPr>
      <w:r>
        <w:rPr>
          <w:b/>
          <w:bCs/>
        </w:rPr>
        <w:t xml:space="preserve">Monte Carlo Simulation: </w:t>
      </w:r>
      <w:r>
        <w:t xml:space="preserve">Probabilistic modeling of clinical trial success rates and development timelines under uncertainty</w:t>
      </w:r>
    </w:p>
    <w:p>
      <w:pPr>
        <w:pStyle w:val="ListParagraph"/>
        <w:numPr>
          <w:ilvl w:val="0"/>
          <w:numId w:val="2"/>
        </w:numPr>
      </w:pPr>
      <w:r>
        <w:rPr>
          <w:b/>
          <w:bCs/>
        </w:rPr>
        <w:t xml:space="preserve">Rare Disease Outcomes Database: </w:t>
      </w:r>
      <w:r>
        <w:t xml:space="preserve">Benchmark comparisons with historical rare disease drug developments and regulatory precedents</w:t>
      </w:r>
    </w:p>
    <w:p>
      <w:r>
        <w:rPr>
          <w:b/>
          <w:bCs/>
        </w:rPr>
        <w:t xml:space="preserve">Exemplary Sub-Prompts:</w:t>
      </w:r>
    </w:p>
    <w:p>
      <w:pPr>
        <w:pStyle w:val="ListParagraph"/>
        <w:numPr>
          <w:ilvl w:val="0"/>
          <w:numId w:val="2"/>
        </w:numPr>
      </w:pPr>
      <w:r>
        <w:t xml:space="preserve">Integrating all available data, what is the probability that modulating gene Y would produce clinically meaningful benefit in patients?</w:t>
      </w:r>
    </w:p>
    <w:p>
      <w:pPr>
        <w:pStyle w:val="ListParagraph"/>
        <w:numPr>
          <w:ilvl w:val="0"/>
          <w:numId w:val="2"/>
        </w:numPr>
      </w:pPr>
      <w:r>
        <w:t xml:space="preserve">What sample size would be required for a Phase 2 proof-of-concept trial assuming realistic effect sizes from preclinical data?</w:t>
      </w:r>
    </w:p>
    <w:p>
      <w:pPr>
        <w:pStyle w:val="ListParagraph"/>
        <w:numPr>
          <w:ilvl w:val="0"/>
          <w:numId w:val="2"/>
        </w:numPr>
      </w:pPr>
      <w:r>
        <w:t xml:space="preserve">What is the estimated timeline and feasibility for enrolling a Phase 2 trial given the ultra-rare patient population?</w:t>
      </w:r>
    </w:p>
    <w:p>
      <w:pPr>
        <w:pStyle w:val="ListParagraph"/>
        <w:numPr>
          <w:ilvl w:val="0"/>
          <w:numId w:val="2"/>
        </w:numPr>
      </w:pPr>
      <w:r>
        <w:t xml:space="preserve">Is this indication eligible for breakthrough therapy, fast-track, or accelerated approval status, and how would those pathways accelerate development?</w:t>
      </w:r>
    </w:p>
    <w:p>
      <w:pPr>
        <w:pStyle w:val="ListParagraph"/>
        <w:numPr>
          <w:ilvl w:val="0"/>
          <w:numId w:val="2"/>
        </w:numPr>
      </w:pPr>
      <w:r>
        <w:t xml:space="preserve">What is the regulatory risk (likelihood of IND acceptance) and commercial opportunity (market size, unmet medical need magnitude)?</w:t>
      </w:r>
    </w:p>
    <w:p>
      <w:r>
        <w:rPr>
          <w:b/>
          <w:bCs/>
        </w:rPr>
        <w:t xml:space="preserve">Expected Outputs:</w:t>
      </w:r>
    </w:p>
    <w:p>
      <w:pPr>
        <w:pStyle w:val="ListParagraph"/>
        <w:numPr>
          <w:ilvl w:val="0"/>
          <w:numId w:val="2"/>
        </w:numPr>
      </w:pPr>
      <w:r>
        <w:t xml:space="preserve">IND Justification Score (0–100%) with weighted component scores for epidemiology, functionality, severity, evidence quality, and regulatory factors</w:t>
      </w:r>
    </w:p>
    <w:p>
      <w:pPr>
        <w:pStyle w:val="ListParagraph"/>
        <w:numPr>
          <w:ilvl w:val="0"/>
          <w:numId w:val="2"/>
        </w:numPr>
      </w:pPr>
      <w:r>
        <w:t xml:space="preserve">Clinical trial design recommendations including primary endpoint selection, sample size calculation, and power analysis</w:t>
      </w:r>
    </w:p>
    <w:p>
      <w:pPr>
        <w:pStyle w:val="ListParagraph"/>
        <w:numPr>
          <w:ilvl w:val="0"/>
          <w:numId w:val="2"/>
        </w:numPr>
      </w:pPr>
      <w:r>
        <w:t xml:space="preserve">Trial recruitment feasibility assessment with patient population availability, geographic distribution, and enrollment timeline projections</w:t>
      </w:r>
    </w:p>
    <w:p>
      <w:pPr>
        <w:pStyle w:val="ListParagraph"/>
        <w:numPr>
          <w:ilvl w:val="0"/>
          <w:numId w:val="2"/>
        </w:numPr>
      </w:pPr>
      <w:r>
        <w:t xml:space="preserve">Regulatory pathway recommendation (orphan drug application, breakthrough designation application, standard pathway) with justification</w:t>
      </w:r>
    </w:p>
    <w:p>
      <w:pPr>
        <w:pStyle w:val="ListParagraph"/>
        <w:numPr>
          <w:ilvl w:val="0"/>
          <w:numId w:val="2"/>
        </w:numPr>
      </w:pPr>
      <w:r>
        <w:t xml:space="preserve">Go/No-Go decision threshold and sensitivity analysis showing how changes in key assumptions affect the justification score</w:t>
      </w:r>
    </w:p>
    <w:p>
      <w:pPr>
        <w:pStyle w:val="ListParagraph"/>
        <w:numPr>
          <w:ilvl w:val="0"/>
          <w:numId w:val="2"/>
        </w:numPr>
      </w:pPr>
      <w:r>
        <w:t xml:space="preserve">Executive summary report with key findings, limitations, and recommendations for de-risking through additional preclinical or biomarker studies</w:t>
      </w:r>
    </w:p>
    <w:p>
      <w:pPr>
        <w:spacing w:after="200" w:line="360"/>
      </w:pPr>
      <w:r>
        <w:rPr>
          <w:b/>
          <w:bCs/>
        </w:rPr>
        <w:t xml:space="preserve">Format: </w:t>
      </w:r>
      <w:r>
        <w:t xml:space="preserve">Scoring sheet in Excel with formula transparency; IND justification report in markdown; sensitivity analysis plots (tornado diagrams, Pareto charts) as PNG/PDF.</w:t>
      </w:r>
    </w:p>
    <w:p>
      <w:pPr>
        <w:pStyle w:val="Heading2"/>
      </w:pPr>
      <w:r>
        <w:t xml:space="preserve">Stage 6: Regulatory Strategy and IND Readiness Recommendations</w:t>
      </w:r>
    </w:p>
    <w:p>
      <w:pPr>
        <w:spacing w:after="200" w:line="360"/>
      </w:pPr>
      <w:r>
        <w:rPr>
          <w:b/>
          <w:bCs/>
        </w:rPr>
        <w:t xml:space="preserve">Purpose: </w:t>
      </w:r>
      <w:r>
        <w:t xml:space="preserve">Develop a comprehensive regulatory strategy document specifying recommended IND filing approach, pre-IND meeting topics, nonclinical and clinical study requirements, quality attributes for manufacturing, and risk mitigation plans. Outline the pathway to First-in-Human (FIH) clinical testing, anticipated regulatory questions, and contingency strategies if IND is not approved or if efficacy expectations are not met.</w:t>
      </w:r>
    </w:p>
    <w:p>
      <w:r>
        <w:rPr>
          <w:b/>
          <w:bCs/>
        </w:rPr>
        <w:t xml:space="preserve">Inputs:</w:t>
      </w:r>
    </w:p>
    <w:p>
      <w:pPr>
        <w:pStyle w:val="ListParagraph"/>
        <w:numPr>
          <w:ilvl w:val="0"/>
          <w:numId w:val="2"/>
        </w:numPr>
      </w:pPr>
      <w:r>
        <w:t xml:space="preserve">IND Justification Score and supporting data from Stage 5 analysis</w:t>
      </w:r>
    </w:p>
    <w:p>
      <w:pPr>
        <w:pStyle w:val="ListParagraph"/>
        <w:numPr>
          <w:ilvl w:val="0"/>
          <w:numId w:val="2"/>
        </w:numPr>
      </w:pPr>
      <w:r>
        <w:t xml:space="preserve">Current nonclinical data package (pharmacology, toxicology, safety pharmacology, pharmacokinetics) for lead therapeutic candidate</w:t>
      </w:r>
    </w:p>
    <w:p>
      <w:pPr>
        <w:pStyle w:val="ListParagraph"/>
        <w:numPr>
          <w:ilvl w:val="0"/>
          <w:numId w:val="2"/>
        </w:numPr>
      </w:pPr>
      <w:r>
        <w:t xml:space="preserve">Manufacturing capabilities and process validation status for proposed therapeutic modality</w:t>
      </w:r>
    </w:p>
    <w:p>
      <w:pPr>
        <w:pStyle w:val="ListParagraph"/>
        <w:numPr>
          <w:ilvl w:val="0"/>
          <w:numId w:val="2"/>
        </w:numPr>
      </w:pPr>
      <w:r>
        <w:t xml:space="preserve">Intellectual property landscape assessment (patent status, freedom-to-operate, licensing requirements)</w:t>
      </w:r>
    </w:p>
    <w:p>
      <w:pPr>
        <w:pStyle w:val="ListParagraph"/>
        <w:numPr>
          <w:ilvl w:val="0"/>
          <w:numId w:val="2"/>
        </w:numPr>
      </w:pPr>
      <w:r>
        <w:t xml:space="preserve">Competitive landscape analysis (other drugs in development, alternative therapeutic modalities, market exclusivity opportunities)</w:t>
      </w:r>
    </w:p>
    <w:p>
      <w:r>
        <w:rPr>
          <w:b/>
          <w:bCs/>
        </w:rPr>
        <w:t xml:space="preserve">Tools &amp; Databases Called:</w:t>
      </w:r>
    </w:p>
    <w:p>
      <w:pPr>
        <w:pStyle w:val="ListParagraph"/>
        <w:numPr>
          <w:ilvl w:val="0"/>
          <w:numId w:val="2"/>
        </w:numPr>
      </w:pPr>
      <w:r>
        <w:rPr>
          <w:b/>
          <w:bCs/>
        </w:rPr>
        <w:t xml:space="preserve">FDA Guidance for Industry Documents: </w:t>
      </w:r>
      <w:r>
        <w:t xml:space="preserve">Official regulatory guidance on IND Applications, nonclinical studies, clinical pharmacology data, and special designations</w:t>
      </w:r>
    </w:p>
    <w:p>
      <w:pPr>
        <w:pStyle w:val="ListParagraph"/>
        <w:numPr>
          <w:ilvl w:val="0"/>
          <w:numId w:val="2"/>
        </w:numPr>
      </w:pPr>
      <w:r>
        <w:rPr>
          <w:b/>
          <w:bCs/>
        </w:rPr>
        <w:t xml:space="preserve">ICH Guidelines (M3, S7, S9, E1A, E14): </w:t>
      </w:r>
      <w:r>
        <w:t xml:space="preserve">International Conference on Harmonization guidance for nonclinical and clinical safety assessment in IND applications</w:t>
      </w:r>
    </w:p>
    <w:p>
      <w:pPr>
        <w:pStyle w:val="ListParagraph"/>
        <w:numPr>
          <w:ilvl w:val="0"/>
          <w:numId w:val="2"/>
        </w:numPr>
      </w:pPr>
      <w:r>
        <w:rPr>
          <w:b/>
          <w:bCs/>
        </w:rPr>
        <w:t xml:space="preserve">FDA CBER Advice to Applicants: </w:t>
      </w:r>
      <w:r>
        <w:t xml:space="preserve">Guidance for cell therapy and gene therapy IND applications if applicable to gene Y therapeutic modality</w:t>
      </w:r>
    </w:p>
    <w:p>
      <w:pPr>
        <w:pStyle w:val="ListParagraph"/>
        <w:numPr>
          <w:ilvl w:val="0"/>
          <w:numId w:val="2"/>
        </w:numPr>
      </w:pPr>
      <w:r>
        <w:rPr>
          <w:b/>
          <w:bCs/>
        </w:rPr>
        <w:t xml:space="preserve">Regulatory Intelligence Databases (Cortellis, Questel): </w:t>
      </w:r>
      <w:r>
        <w:t xml:space="preserve">Patent landscape and competitive intelligence for IP assessment and freedom-to-operate analysis</w:t>
      </w:r>
    </w:p>
    <w:p>
      <w:pPr>
        <w:pStyle w:val="ListParagraph"/>
        <w:numPr>
          <w:ilvl w:val="0"/>
          <w:numId w:val="2"/>
        </w:numPr>
      </w:pPr>
      <w:r>
        <w:rPr>
          <w:b/>
          <w:bCs/>
        </w:rPr>
        <w:t xml:space="preserve">Orphanet, NIRD Reporting Requirements: </w:t>
      </w:r>
      <w:r>
        <w:t xml:space="preserve">Regulatory and pharmacovigilance reporting requirements for orphan designated medications</w:t>
      </w:r>
    </w:p>
    <w:p>
      <w:pPr>
        <w:pStyle w:val="ListParagraph"/>
        <w:numPr>
          <w:ilvl w:val="0"/>
          <w:numId w:val="2"/>
        </w:numPr>
      </w:pPr>
      <w:r>
        <w:rPr>
          <w:b/>
          <w:bCs/>
        </w:rPr>
        <w:t xml:space="preserve">Clinical Trial Simulation Software (PharmaGIST, Phoenix WinNonlin): </w:t>
      </w:r>
      <w:r>
        <w:t xml:space="preserve">Pharmacometric modeling to predict human dose ranges and exposure-response relationships for FIH dose selection</w:t>
      </w:r>
    </w:p>
    <w:p>
      <w:r>
        <w:rPr>
          <w:b/>
          <w:bCs/>
        </w:rPr>
        <w:t xml:space="preserve">Exemplary Sub-Prompts:</w:t>
      </w:r>
    </w:p>
    <w:p>
      <w:pPr>
        <w:pStyle w:val="ListParagraph"/>
        <w:numPr>
          <w:ilvl w:val="0"/>
          <w:numId w:val="2"/>
        </w:numPr>
      </w:pPr>
      <w:r>
        <w:t xml:space="preserve">What are the critical nonclinical studies (toxicology, safety pharmacology, PK/ADME, genotoxicity) required for an IND filing for this therapeutic modality?</w:t>
      </w:r>
    </w:p>
    <w:p>
      <w:pPr>
        <w:pStyle w:val="ListParagraph"/>
        <w:numPr>
          <w:ilvl w:val="0"/>
          <w:numId w:val="2"/>
        </w:numPr>
      </w:pPr>
      <w:r>
        <w:t xml:space="preserve">Should we apply for orphan drug designation, breakthrough therapy designation, or fast-track status, and what is the evidence threshold for each?</w:t>
      </w:r>
    </w:p>
    <w:p>
      <w:pPr>
        <w:pStyle w:val="ListParagraph"/>
        <w:numPr>
          <w:ilvl w:val="0"/>
          <w:numId w:val="2"/>
        </w:numPr>
      </w:pPr>
      <w:r>
        <w:t xml:space="preserve">What are the anticipated FDA questions for the IND, and what evidence should be prepared proactively to address them?</w:t>
      </w:r>
    </w:p>
    <w:p>
      <w:pPr>
        <w:pStyle w:val="ListParagraph"/>
        <w:numPr>
          <w:ilvl w:val="0"/>
          <w:numId w:val="2"/>
        </w:numPr>
      </w:pPr>
      <w:r>
        <w:t xml:space="preserve">What Phase 2 clinical trial design (design, endpoints, patient population, sample size) would be most likely to achieve regulatory approval?</w:t>
      </w:r>
    </w:p>
    <w:p>
      <w:pPr>
        <w:pStyle w:val="ListParagraph"/>
        <w:numPr>
          <w:ilvl w:val="0"/>
          <w:numId w:val="2"/>
        </w:numPr>
      </w:pPr>
      <w:r>
        <w:t xml:space="preserve">What manufacturing quality standards and process validation data are required before FIH and commercial scale-up?</w:t>
      </w:r>
    </w:p>
    <w:p>
      <w:r>
        <w:rPr>
          <w:b/>
          <w:bCs/>
        </w:rPr>
        <w:t xml:space="preserve">Expected Outputs:</w:t>
      </w:r>
    </w:p>
    <w:p>
      <w:pPr>
        <w:pStyle w:val="ListParagraph"/>
        <w:numPr>
          <w:ilvl w:val="0"/>
          <w:numId w:val="2"/>
        </w:numPr>
      </w:pPr>
      <w:r>
        <w:t xml:space="preserve">Regulatory strategy document specifying recommended IND filing path, special designation applications, and key decision points</w:t>
      </w:r>
    </w:p>
    <w:p>
      <w:pPr>
        <w:pStyle w:val="ListParagraph"/>
        <w:numPr>
          <w:ilvl w:val="0"/>
          <w:numId w:val="2"/>
        </w:numPr>
      </w:pPr>
      <w:r>
        <w:t xml:space="preserve">Nonclinical study requirements table (toxicology, safety pharmacology, ADME, genotoxicity, reproduction/developmental toxicity) with timelines</w:t>
      </w:r>
    </w:p>
    <w:p>
      <w:pPr>
        <w:pStyle w:val="ListParagraph"/>
        <w:numPr>
          <w:ilvl w:val="0"/>
          <w:numId w:val="2"/>
        </w:numPr>
      </w:pPr>
      <w:r>
        <w:t xml:space="preserve">Clinical development plan including Phase 2 design recommendations, primary/secondary endpoints, patient selection criteria, and sample size justification</w:t>
      </w:r>
    </w:p>
    <w:p>
      <w:pPr>
        <w:pStyle w:val="ListParagraph"/>
        <w:numPr>
          <w:ilvl w:val="0"/>
          <w:numId w:val="2"/>
        </w:numPr>
      </w:pPr>
      <w:r>
        <w:t xml:space="preserve">Manufacturing and quality control requirements with risk assessment and mitigation plans for scale-up</w:t>
      </w:r>
    </w:p>
    <w:p>
      <w:pPr>
        <w:pStyle w:val="ListParagraph"/>
        <w:numPr>
          <w:ilvl w:val="0"/>
          <w:numId w:val="2"/>
        </w:numPr>
      </w:pPr>
      <w:r>
        <w:t xml:space="preserve">Intellectual property summary with patent landscape assessment, freedom-to-operate opinion, and licensing requirements</w:t>
      </w:r>
    </w:p>
    <w:p>
      <w:pPr>
        <w:pStyle w:val="ListParagraph"/>
        <w:numPr>
          <w:ilvl w:val="0"/>
          <w:numId w:val="2"/>
        </w:numPr>
      </w:pPr>
      <w:r>
        <w:t xml:space="preserve">Risk assessment and contingency planning for IND rejection scenarios or inefficacy in Phase 2 development</w:t>
      </w:r>
    </w:p>
    <w:p>
      <w:pPr>
        <w:spacing w:after="200" w:line="360"/>
      </w:pPr>
      <w:r>
        <w:rPr>
          <w:b/>
          <w:bCs/>
        </w:rPr>
        <w:t xml:space="preserve">Format: </w:t>
      </w:r>
      <w:r>
        <w:t xml:space="preserve">Comprehensive regulatory strategy document (markdown with embedded tables); IND readiness checklist; timeline Gantt chart for development milestones; risk register in CSV.</w:t>
      </w:r>
    </w:p>
    <w:p>
      <w:pPr>
        <w:pStyle w:val="Heading2"/>
      </w:pPr>
      <w:r>
        <w:t xml:space="preserve">Tools &amp; Databases Summary</w:t>
      </w:r>
    </w:p>
    <w:p>
      <w:pPr>
        <w:pStyle w:val="ListParagraph"/>
        <w:numPr>
          <w:ilvl w:val="0"/>
          <w:numId w:val="2"/>
        </w:numPr>
      </w:pPr>
      <w:r>
        <w:t xml:space="preserve">gnomAD — large-scale population genomics database with allele frequencies for exomes and genomes</w:t>
      </w:r>
    </w:p>
    <w:p>
      <w:pPr>
        <w:pStyle w:val="ListParagraph"/>
        <w:numPr>
          <w:ilvl w:val="0"/>
          <w:numId w:val="2"/>
        </w:numPr>
      </w:pPr>
      <w:r>
        <w:t xml:space="preserve">ClinVar — NCBI clinical variant interpretations with pathogenicity assertions and disease associations</w:t>
      </w:r>
    </w:p>
    <w:p>
      <w:pPr>
        <w:pStyle w:val="ListParagraph"/>
        <w:numPr>
          <w:ilvl w:val="0"/>
          <w:numId w:val="2"/>
        </w:numPr>
      </w:pPr>
      <w:r>
        <w:t xml:space="preserve">HGMD — Human Gene Mutation Database with disease-associated mutations and functional impact predictions</w:t>
      </w:r>
    </w:p>
    <w:p>
      <w:pPr>
        <w:pStyle w:val="ListParagraph"/>
        <w:numPr>
          <w:ilvl w:val="0"/>
          <w:numId w:val="2"/>
        </w:numPr>
      </w:pPr>
      <w:r>
        <w:t xml:space="preserve">OMIM — Online Mendelian Inheritance in Man with phenotype and disease severity annotations</w:t>
      </w:r>
    </w:p>
    <w:p>
      <w:pPr>
        <w:pStyle w:val="ListParagraph"/>
        <w:numPr>
          <w:ilvl w:val="0"/>
          <w:numId w:val="2"/>
        </w:numPr>
      </w:pPr>
      <w:r>
        <w:t xml:space="preserve">UniProt — protein sequence annotation and function database for target characterization</w:t>
      </w:r>
    </w:p>
    <w:p>
      <w:pPr>
        <w:pStyle w:val="ListParagraph"/>
        <w:numPr>
          <w:ilvl w:val="0"/>
          <w:numId w:val="2"/>
        </w:numPr>
      </w:pPr>
      <w:r>
        <w:t xml:space="preserve">AlphaFold2 — deep learning protein structure prediction for analyzing mutation impact on protein folding</w:t>
      </w:r>
    </w:p>
    <w:p>
      <w:pPr>
        <w:pStyle w:val="ListParagraph"/>
        <w:numPr>
          <w:ilvl w:val="0"/>
          <w:numId w:val="2"/>
        </w:numPr>
      </w:pPr>
      <w:r>
        <w:t xml:space="preserve">STRING — protein-protein interaction database revealing functional partners and pathway context</w:t>
      </w:r>
    </w:p>
    <w:p>
      <w:pPr>
        <w:pStyle w:val="ListParagraph"/>
        <w:numPr>
          <w:ilvl w:val="0"/>
          <w:numId w:val="2"/>
        </w:numPr>
      </w:pPr>
      <w:r>
        <w:t xml:space="preserve">PubMed/PubMed Central — comprehensive literature search and systematic review resource</w:t>
      </w:r>
    </w:p>
    <w:p>
      <w:pPr>
        <w:pStyle w:val="ListParagraph"/>
        <w:numPr>
          <w:ilvl w:val="0"/>
          <w:numId w:val="2"/>
        </w:numPr>
      </w:pPr>
      <w:r>
        <w:t xml:space="preserve">ClinicalTrials.gov — clinical trial registry with efficacy and safety outcome reporting</w:t>
      </w:r>
    </w:p>
    <w:p>
      <w:pPr>
        <w:pStyle w:val="ListParagraph"/>
        <w:numPr>
          <w:ilvl w:val="0"/>
          <w:numId w:val="2"/>
        </w:numPr>
      </w:pPr>
      <w:r>
        <w:t xml:space="preserve">Orphanet — European rare disease database with clinical phenotypes and epidemiology</w:t>
      </w:r>
    </w:p>
    <w:p>
      <w:pPr>
        <w:pStyle w:val="ListParagraph"/>
        <w:numPr>
          <w:ilvl w:val="0"/>
          <w:numId w:val="2"/>
        </w:numPr>
      </w:pPr>
      <w:r>
        <w:t xml:space="preserve">Model Organism Databases (MGI, RGD) — transgenic mouse and rat models with phenotypic characterization</w:t>
      </w:r>
    </w:p>
    <w:p>
      <w:pPr>
        <w:pStyle w:val="ListParagraph"/>
        <w:numPr>
          <w:ilvl w:val="0"/>
          <w:numId w:val="2"/>
        </w:numPr>
      </w:pPr>
      <w:r>
        <w:t xml:space="preserve">DrugBank — approved and withdrawn drugs with safety profiles for benchmarking</w:t>
      </w:r>
    </w:p>
    <w:p>
      <w:pPr>
        <w:pStyle w:val="ListParagraph"/>
        <w:numPr>
          <w:ilvl w:val="0"/>
          <w:numId w:val="2"/>
        </w:numPr>
      </w:pPr>
      <w:r>
        <w:t xml:space="preserve">FDA Guidance Documents — official regulatory guidance on IND applications and rare disease pathways</w:t>
      </w:r>
    </w:p>
    <w:p>
      <w:pPr>
        <w:pStyle w:val="ListParagraph"/>
        <w:numPr>
          <w:ilvl w:val="0"/>
          <w:numId w:val="2"/>
        </w:numPr>
      </w:pPr>
      <w:r>
        <w:t xml:space="preserve">G*Power — sample size and power calculation software for clinical trial design</w:t>
      </w:r>
    </w:p>
    <w:p>
      <w:pPr>
        <w:pStyle w:val="ListParagraph"/>
        <w:numPr>
          <w:ilvl w:val="0"/>
          <w:numId w:val="2"/>
        </w:numPr>
      </w:pPr>
      <w:r>
        <w:t xml:space="preserve">Regulatory Intelligence Databases (Cortellis, Questel) — patent landscape and competitive intelligence</w:t>
      </w:r>
    </w:p>
    <w:p>
      <w:pPr>
        <w:pStyle w:val="ListParagraph"/>
        <w:numPr>
          <w:ilvl w:val="0"/>
          <w:numId w:val="2"/>
        </w:numPr>
      </w:pPr>
      <w:r>
        <w:t xml:space="preserve">ICH Guidelines — international harmonization standards for nonclinical and clinical safety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2026-03-02T01:14:53.355Z</dcterms:created>
  <dcterms:modified xsi:type="dcterms:W3CDTF">2026-03-02T01:14:53.356Z</dcterms:modified>
</cp:coreProperties>
</file>

<file path=docProps/custom.xml><?xml version="1.0" encoding="utf-8"?>
<Properties xmlns="http://schemas.openxmlformats.org/officeDocument/2006/custom-properties" xmlns:vt="http://schemas.openxmlformats.org/officeDocument/2006/docPropsVTypes"/>
</file>