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t xml:space="preserve">Sapphire Pipeline Workflow</w:t>
      </w:r>
    </w:p>
    <w:p>
      <w:pPr>
        <w:pStyle w:val="Heading2"/>
        <w:spacing w:after="200" w:before="200"/>
      </w:pPr>
      <w:r>
        <w:rPr>
          <w:b/>
          <w:bCs/>
        </w:rPr>
        <w:t xml:space="preserve">Prompt: </w:t>
      </w:r>
      <w:r>
        <w:t xml:space="preserve">"Rank rare disease targets by time-to-IND feasibility."</w:t>
      </w:r>
    </w:p>
    <w:p>
      <w:pPr>
        <w:spacing w:after="200" w:line="360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spacing w:after="200" w:before="200"/>
      </w:pPr>
      <w:r>
        <w:t xml:space="preserve">Pipeline Overview</w:t>
      </w:r>
    </w:p>
    <w:p>
      <w:pPr>
        <w:spacing w:after="200" w:line="360"/>
      </w:pPr>
      <w:r>
        <w:t xml:space="preserve">The Sapphire pipeline for ranking rare disease targets by time-to-IND feasibility integrates multi-dimensional data from genomic databases, patent landscapes, clinical trial registries, and regulatory precedent to compute a unified feasibility index. This pipeline orchestrates target validation scoring, development timeline modeling, intellectual property risk assessment, and biomarker availability assessment across six sequential stages, culminating in a ranked list of candidates stratified by estimated probability of meeting IND-enabling milestones within defined timeframes.</w:t>
      </w:r>
    </w:p>
    <w:p>
      <w:pPr>
        <w:spacing w:after="200" w:line="360"/>
      </w:pPr>
      <w:r>
        <w:t xml:space="preserve">Each stage builds upon prior outputs, applying domain-specific filtering, predictive modeling, and expert-curation rules to progressively narrow and refine the candidate pool. The pipeline leverages Sapphire's CNS-specific target knowledge base, rare disease classifications (Orphanet, OMIM), clinical severity metrics, target tractability assessments, and IND regulatory timelines to synthesize evidence into a transparent, auditable ranking that reflects realistic development velocity for each therapeutic hypothesis.</w:t>
      </w:r>
    </w:p>
    <w:p>
      <w:pPr>
        <w:pStyle w:val="Heading2"/>
        <w:spacing w:after="200" w:before="200"/>
      </w:pPr>
      <w:r>
        <w:t xml:space="preserve">Stage 1: Rare Disease Target Identification &amp; Classification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Identify and stratify rare disease targets (prevalence &lt;5 in 10,000) that have evidence of genetic or molecular involvement in CNS pathology, and classify them by therapeutic area, prevalence, and genetic penetrance.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Orphanet database (rare disease classifications, genes, prevalence)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OMIM (Online Mendelian Inheritance in Man) curated genetic disorder entries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Sapphire CNS target knowledge base (genes linked to neurological phenotypes)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ClinVar variants classified as pathogenic for rare neurological conditions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GWAS and linkage studies identifying novel disease loci in rare CNS disorders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Orphanet API: </w:t>
      </w:r>
      <w:r>
        <w:t xml:space="preserve">Queries rare disease classifications, gene associations, prevalence estimates, and inheritance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OMIM API: </w:t>
      </w:r>
      <w:r>
        <w:t xml:space="preserve">Retrieves phenotype-genotype relationships, molecular bases, and clinical features for rare inherited conditions.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Sapphire CNS Gene Index: </w:t>
      </w:r>
      <w:r>
        <w:t xml:space="preserve">Maps genes to CNS phenotypes, disease relevance scores, and target tractability assessments.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ClinVar Database: </w:t>
      </w:r>
      <w:r>
        <w:t xml:space="preserve">Filters variants by pathogenicity classification, rare disease association, and population frequency.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gnomAD Population Frequency Database: </w:t>
      </w:r>
      <w:r>
        <w:t xml:space="preserve">Validates rarity of disease-associated variants and filters out common polymorphisms.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Ensembl Variant Effect Predictor (VEP): </w:t>
      </w:r>
      <w:r>
        <w:t xml:space="preserve">Annotates variant consequences, conservation scores, and predicted molecular impact.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Retrieve all genes associated with rare neurodegenerative CNS disorders with prevalence &lt;1 in 100,000.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 for monogenic or oligogenic disorders with &gt;50% known molecular etiology.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 high-confidence pathogenic variants from ClinVar (class 4-5) associated with rare CNS phenotypes.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genes with recessive inheritance patterns and multiple causative variants in rare disease cohorts.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Cross-reference rare disease genes with Sapphire CNS target druggability predictions.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Curated list of 50-100 rare disease gene targets with disease classification, prevalence, and inheritance patterns.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Gene-disease associations with confidence scores based on literature evidence and clinical validation.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Pathogenic variant annotations including allele frequency, predicted consequence, and population prevalence.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Prevalence estimates, inheritance patterns, and known molecular mechanisms for each target disease.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Stratification by therapeutic area (neurodegeneration, psychiatric, developmental, etc.) and genetic complexity.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Links to clinical phenotype databases, patient registries, and natural history studies.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Structured table with columns: gene symbol, disease name, prevalence, inheritance, molecular mechanism, disease severity score, Orphanet ID, OMIM ID, confidence level.</w:t>
      </w:r>
    </w:p>
    <w:p>
      <w:pPr>
        <w:pStyle w:val="Heading2"/>
        <w:spacing w:after="200" w:before="200"/>
      </w:pPr>
      <w:r>
        <w:t xml:space="preserve">Stage 2: Target Tractability &amp; Druggability Assessment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Evaluate the tractability of each rare disease target for small molecule, biologic, or cell therapy approaches, assessing protein structure, cellular localization, pathway engagement, and existing therapeutic precedent.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 ontology and protein function annotations for identified rare disease targets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PDB crystal structures, cryo-EM data, and AlphaFold2 predicted structures for target proteins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UniProt protein characterization (localization, modifications, domains, interactions)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Sapphire tractability scoring module for CNS target assessment (binding pocket quality, solubility, permeability)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 art of drugs or clinical candidates targeting related proteins or pathways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Sapphire Tractability Module: </w:t>
      </w:r>
      <w:r>
        <w:t xml:space="preserve">Computes binding pocket druggability scores, off-target risk, and modality-specific feasibility.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PDB (Protein Data Bank): </w:t>
      </w:r>
      <w:r>
        <w:t xml:space="preserve">Retrieves experimentally determined protein structures for druggability assessment.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AlphaFold Structure Database: </w:t>
      </w:r>
      <w:r>
        <w:t xml:space="preserve">Provides high-confidence predicted structures for proteins without experimental resolution.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UniProt Knowledge Base: </w:t>
      </w:r>
      <w:r>
        <w:t xml:space="preserve">Delivers protein characterization, subcellular localization, and functional annotations.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STRING Protein Interaction Network: </w:t>
      </w:r>
      <w:r>
        <w:t xml:space="preserve">Maps protein-protein interactions and pathway context for target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DrugBank &amp; ChEMBL: </w:t>
      </w:r>
      <w:r>
        <w:t xml:space="preserve">Identifies approved drugs and clinical candidates targeting related proteins or pathways.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Assess binding pocket druggability for 50 rare disease targets using Sapphire tractability scoring.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loss-of-function targets, evaluate gene therapy, protein replacement, and cell therapy modalities.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gain-of-function targets, predict small molecule inhibition feasibility using binding site conservation.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Cross-reference target proteins with approved drugs or Phase 3 clinical candidates targeting homologs.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CNS-penetrant chemical matter or biologics targeting related pathway nodes.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Tractability scores for each target across modalities (small molecule, antibody, siRNA, gene therapy).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Mechanistic classification (loss-of-function, gain-of-function, scaffolding, pathway engagement).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Protein structure quality assessment and predicted binding pocket suitability for small molecules.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Subcellular localization, BBB permeability predictions, and CNS tissue accessibility metrics.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Precedent analysis: homologous targets with approved drugs, clinical stage programs, or published tool compounds.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factors: off-target liabilities, pathway redundancy, tissue-specific toxicity concerns.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Detailed report with druggability matrix, structure quality annotations, modality-specific feasibility scores, and precedent summaries.</w:t>
      </w:r>
    </w:p>
    <w:p>
      <w:pPr>
        <w:pStyle w:val="Heading2"/>
        <w:spacing w:after="200" w:before="200"/>
      </w:pPr>
      <w:r>
        <w:t xml:space="preserve">Stage 3: Patent Landscape &amp; Intellectual Property Risk Analysis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Map patent landscapes for rare disease targets, identify freedom-to-operate (FTO) risks, assess patent expiry timelines, and quantify IP exclusivity windows available for development.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 names, protein sequences, and therapeutic hypotheses for identified rare disease targets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WIPO, USPTO, EPO, and JPDB patent databases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Patent assignee lists and family relationships for identified patents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Competitive landscape data: known competitors developing rare disease therapeutics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Composition of matter, method of use, and formulation patent scope information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Sapphire IP Landscape Module: </w:t>
      </w:r>
      <w:r>
        <w:t xml:space="preserve">Queries patent databases and computes FTO risk scores, patent clustering, and exclusivity duration.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Patents / PatentsView: </w:t>
      </w:r>
      <w:r>
        <w:t xml:space="preserve">Retrieves indexed patent documents, citations, claims, and assignee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WIPO Global Patent Index (PATENTSCOPE): </w:t>
      </w:r>
      <w:r>
        <w:t xml:space="preserve">Accesses international PCT applications and priority filings.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Espacenet (EPO Patent Database): </w:t>
      </w:r>
      <w:r>
        <w:t xml:space="preserve">Searches European patent landscape and family relationships.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LexisNexis IP Intelligence: </w:t>
      </w:r>
      <w:r>
        <w:t xml:space="preserve">Analyzes patent strength, enforceability, and litigation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Pharmaprojects / Citeline Competitive Intelligence: </w:t>
      </w:r>
      <w:r>
        <w:t xml:space="preserve">Maps competing programs in rare disease therapeutics and identifies IP blockers.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patent landscapes for gene names, protein sequences, and disease indications.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blocking patents with claims covering target, indication, and method of 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Calculate patent expiry dates for composition-of-matter and method-of-use patents.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Assess freedom-to-operate (FTO) for small molecule, biologic, and gene therapy approaches.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white space opportunities where patent landscape is clear or patent expiry is imminent.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Patent landscape map with primary patents, family relationships, and blocking claims.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Freedom-to-operate (FTO) assessment for each therapeutic modality and indication.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Patent expiry timeline and residual exclusivity window for each target.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Competitive assignees and overlapping patent portfolios in rare disease space.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Design-around opportunities and white space for novel compositions or methods.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IP risk scores reflecting enforceability, breadth, and litigation history.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Patent landscape report with visual patent family clusters, FTO risk matrix, and timeline charts.</w:t>
      </w:r>
    </w:p>
    <w:p>
      <w:pPr>
        <w:pStyle w:val="Heading2"/>
        <w:spacing w:after="200" w:before="200"/>
      </w:pPr>
      <w:r>
        <w:t xml:space="preserve">Stage 4: Clinical &amp; Regulatory Precedent Analysis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Evaluate regulatory precedent for rare disease indications, identify pathway precedent from approved drugs for genetically related targets, and extract timelines and milestone patterns from comparable development programs.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Rare disease target list with disease classification and therapeutic modalities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FDA, EMA, and PMDA regulatory approvals in rare disease indication space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Clinical trial databases (ClinicalTrials.gov, RCTPORTAL) for ongoing and completed rare disease programs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Historical IND approval timelines, FDA feedback letters, and breakthrough designation milestones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Natural history studies and patient-reported outcome data for rare disease phenotypes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FDA CBER/CDER Regulatory Pathways Module: </w:t>
      </w:r>
      <w:r>
        <w:t xml:space="preserve">Extracts approval timelines, breakthrough designations, and conditional approval criteria for rare diseases.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ClinicalTrials.gov API: </w:t>
      </w:r>
      <w:r>
        <w:t xml:space="preserve">Queries rare disease clinical trials, recruitment status, phase distribution, and enrollment timelines.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Cortellis / Citeline RCTPORTAL: </w:t>
      </w:r>
      <w:r>
        <w:t xml:space="preserve">Accesses detailed clinical trial metadata, trial phase transitions, and regulatory milestone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Orphanet Clinical Trials Registry: </w:t>
      </w:r>
      <w:r>
        <w:t xml:space="preserve">Retrieves rare disease-specific clinical trials and natural history studies.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DrugBank Approved Drugs: </w:t>
      </w:r>
      <w:r>
        <w:t xml:space="preserve">Identifies approved drugs for rare disease indications and their regulatory pathways.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Sapphire Precedent Timeline Engine: </w:t>
      </w:r>
      <w:r>
        <w:t xml:space="preserve">Models IND approval timelines, phase transition probabilities, and regulatory success rates.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FDA-approved drugs for rare neurological indications in past 10 years.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 IND approval timelines from FDA approval packages for comparable rare disease programs.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clinical trials targeting rare disease gene targets and extract phase advancement rates.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Assess Orphan Drug Designation (ODD) eligibility and market exclusivity benefits for each target.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Extract natural history study milestones and patient stratification criteria relevant to IND-enabling studies.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 of FDA-approved drugs for rare disease indications with approval timelines and regulatory pathways.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Historical IND approval times, phase transition durations, and regulatory success probabilities.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Comparable clinical trials with enrollment feasibility, endpoint sensitivity, and phase advancement predictors.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Orphan Drug Designation eligibility assessment and 7-year market exclusivity windows.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Natural history study gap analysis and required biomarker development milestones.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 Track, Breakthrough Therapy, and Regenerative Medicine Advanced Therapy (RMAT) eligibility status.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Regulatory precedent report with approval timelines, clinical trial landscape, natural history summaries, and milestone projections.</w:t>
      </w:r>
    </w:p>
    <w:p>
      <w:pPr>
        <w:pStyle w:val="Heading2"/>
        <w:spacing w:after="200" w:before="200"/>
      </w:pPr>
      <w:r>
        <w:t xml:space="preserve">Stage 5: Biomarker Availability &amp; Patient Population Assessment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Assess availability of biomarkers for patient stratification, target engagement, and pharmacodynamic monitoring; evaluate patient population size, accessibility, and clinical trial recruitment feasibility.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Identified rare disease targets and associated genetic variants or molecular subtypes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Published biomarker literature, assay validation studies, and pharmacodynamic studies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registry data, natural history study cohorts, and population prevalence estimates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Genetic testing infrastructure, diagnostic accessibility, and turnaround times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Biofluid availability (CSF, blood, tissue) and non-invasive biomarker opportunities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PubMed / Europe PMC Literature Search: </w:t>
      </w:r>
      <w:r>
        <w:t xml:space="preserve">Identifies biomarker validation studies, pharmacodynamic markers, and clinical utility publications.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ClinicalTrials.gov Biomarker Query: </w:t>
      </w:r>
      <w:r>
        <w:t xml:space="preserve">Searches for biomarker endpoints, assay specifications, and validation status in rare disease trials.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Sapphire Biomarker Readiness Module: </w:t>
      </w:r>
      <w:r>
        <w:t xml:space="preserve">Scores biomarker maturity, assay robustness, and readiness for clinical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Orphanet Patient Registry: </w:t>
      </w:r>
      <w:r>
        <w:t xml:space="preserve">Provides patient population size estimates, geographic distribution, and registry access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Patient Advocacy Groups Database: </w:t>
      </w:r>
      <w:r>
        <w:t xml:space="preserve">Identifies disease-specific patient organizations and recruitment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GeneTests / ClinVar Genetic Testing Infrastructure: </w:t>
      </w:r>
      <w:r>
        <w:t xml:space="preserve">Maps available genetic diagnostic tests, lab quality assurance, and turnaround times.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literature for validated biomarkers and pharmacodynamic markers for each rare disease target.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Assess biofluid accessibility (blood vs. CSF) and non-invasive biomarker development feasibility.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 patient population sizes, geographic distribution, and clinical trial recruitment timelines.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Query genetic testing infrastructure for carrier screening and diagnosis of rare disease mutations.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patient advocacy groups and existing registries with recruitment potential.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Biomarker readiness assessment including literature evidence, assay maturity, and clinical validation status.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population size estimates stratified by genotype, geographic region, and recruitment accessibility.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Genetic testing infrastructure assessment: available labs, turnaround times, and carrier screening accessibility.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Biofluid availability map: invasiveness of sample collection (blood, CSF, tissue) and feasibility.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Patient advocacy group contacts and existing registry information for trial recruitment.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Biomarker development timeline and technical gaps requiring resolution before IND-enabling studies.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Biomarker and patient population readiness report with stratified patient counts, genetic testing summaries, and advocacy group contacts.</w:t>
      </w:r>
    </w:p>
    <w:p>
      <w:pPr>
        <w:pStyle w:val="Heading2"/>
        <w:spacing w:after="200" w:before="200"/>
      </w:pPr>
      <w:r>
        <w:t xml:space="preserve">Stage 6: Time-to-IND Feasibility Ranking &amp; Synthesis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Synthesize outputs from Stages 1-5 into a unified time-to-IND feasibility score for each rare disease target, incorporating tractability, IP landscape, regulatory precedent, biomarker readiness, and patient accessibility.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Tractability scores, modality-specific assessments, and druggability predictions from Stage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IP landscape analysis, FTO risk scores, and patent expiry timelines from Stage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Regulatory precedent data, IND approval timelines, and comparable trial milestones from Stage 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Biomarker readiness, patient population sizes, and recruitment feasibility from Stage 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Rare disease classification, therapeutic area prioritization, and strategic alignment criteria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Sapphire Time-to-IND Feasibility Engine: </w:t>
      </w:r>
      <w:r>
        <w:t xml:space="preserve">Integrates multi-dimensional data and applies machine learning-trained weights to compute unified feasibility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Sapphire Risk-Adjusted Timeline Modeler: </w:t>
      </w:r>
      <w:r>
        <w:t xml:space="preserve">Projects phase transition probabilities and cumulative time-to-IND distributions under varying assumptions.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Integration &amp; Synthesis Module: </w:t>
      </w:r>
      <w:r>
        <w:t xml:space="preserve">Consolidates heterogeneous outputs into normalized, comparable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Sensitivity Analysis Engine: </w:t>
      </w:r>
      <w:r>
        <w:t xml:space="preserve">Evaluates impact of input uncertainties on feasibility rankings.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Portfolio Optimization Module: </w:t>
      </w:r>
      <w:r>
        <w:t xml:space="preserve">Ranks targets by feasibility, impact, and strategic fit alignment.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Expert Curation &amp; Validation Layer: </w:t>
      </w:r>
      <w:r>
        <w:t xml:space="preserve">Applies domain expert rules, incorporates tacit knowledge, and flags outlier predictions.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 normalized feasibility scores across all dimension (tractability, IP, regulatory, biomarker, patient).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time-to-IND for top-20 ranked targets under base-case and optimistic development scenarios.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Sensitivity analysis: assess how uncertain inputs (biomarker validation, patient recruitment) impact rankings.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Stratify targets by risk profile and expected feasibility (high, medium, low).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actionable go/no-go recommendations with key de-risking milestones for each target.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Ranked list of rare disease targets with composite time-to-IND feasibility scores.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Probability distributions for time-to-IND achievement across 12-month intervals.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Stratification of targets into high-confidence fast-track, medium-confidence standard, and high-risk categories.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Sensitivity analysis showing impact of biomarker development, patient recruitment, and IP clearance on feasibility.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De-risking milestones and recommended development pathway for each target.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Executive summary with top-5 recommendations and confidence intervals for time-to-IND.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Executive summary ranking, detailed target-by-target feasibility profiles, timeline projections, and de-risking roadmaps.</w:t>
      </w:r>
    </w:p>
    <w:p>
      <w:pPr>
        <w:pStyle w:val="Heading2"/>
        <w:spacing w:after="200" w:before="200"/>
      </w:pPr>
      <w:r>
        <w:t xml:space="preserve">Tools &amp; Databases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Sapphire CNS Target Knowledge Base: Curated database of CNS-relevant genes with disease associations, tractability predictions, and phenotype ontologies.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Orphanet Database: Comprehensive rare disease classifications, gene-disease associations, prevalence estimates, and patient registry links.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OMIM (Online Mendelian Inheritance in Man): Genetic disorder phenotype-genotype relationships, molecular mechanisms, and inheritance patterns.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ClinVar: Pathogenic variant classifications, population frequencies, and clinical significance curations.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gnomAD: Population frequency database validating variant rarity and filtering common polymorphisms.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PDB (Protein Data Bank): Experimental protein structures enabling binding pocket druggability assessment.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AlphaFold Structure Database: High-confidence predicted protein structures for druggability evaluation.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UniProt Knowledge Base: Protein characterization, localization, modifications, functional domains, and interaction networks.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STRING Protein Interaction Network: Maps protein-protein interactions and pathway context for target function.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DrugBank: Approved drugs, clinical candidates, mechanisms of action, and off-target liabilities.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ChEMBL: Bioactivity data, compound structures, and target-ligand relationships for precedent assessment.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Patents / PatentsView: Indexed patent documents, citations, claims, and assignee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WIPO PATENTSCOPE: International PCT patent applications and priority filings for global IP landscape.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Espacenet (EPO): European patent landscape, family relationships, and examiner citations.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LexisNexis IP Intelligence: Patent strength analysis, enforceability assessments, and litigation risk.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Pharmaprojects / Citeline: Competitive intelligence on rare disease programs, IP blockers, and development status.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2026-03-02T01:18:50.103Z</dcterms:created>
  <dcterms:modified xsi:type="dcterms:W3CDTF">2026-03-02T01:18:50.103Z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