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t xml:space="preserve">Sapphire Pipeline Workflow</w:t>
      </w:r>
    </w:p>
    <w:p>
      <w:pPr>
        <w:pStyle w:val="Heading2"/>
        <w:spacing w:after="200" w:before="200"/>
      </w:pPr>
      <w:r>
        <w:rPr>
          <w:b/>
          <w:bCs/>
        </w:rPr>
        <w:t xml:space="preserve">Prompt: </w:t>
      </w:r>
      <w:r>
        <w:t xml:space="preserve">"Identify CRISPR perturbations rescuing severe LoF phenotypes."</w:t>
      </w:r>
    </w:p>
    <w:p>
      <w:pPr>
        <w:spacing w:after="200" w:line="360"/>
      </w:pPr>
      <w:r>
        <w:t xml:space="preserve">This document defines the complete Sapphire pipeline — the sequential stages, tools called, external datasets used, inputs, outputs, and decision logic — required to deliver a valid, actionable answer to this prompt.</w:t>
      </w:r>
    </w:p>
    <w:p>
      <w:pPr>
        <w:pStyle w:val="Heading2"/>
        <w:spacing w:after="200" w:before="200"/>
      </w:pPr>
      <w:r>
        <w:t xml:space="preserve">Pipeline Overview</w:t>
      </w:r>
    </w:p>
    <w:p>
      <w:pPr>
        <w:spacing w:after="200" w:line="360"/>
      </w:pPr>
      <w:r>
        <w:t xml:space="preserve">The Sapphire CRISPR LoF Rescue pipeline systematically identifies genetic and pharmacological perturbations capable of rescuing severe loss-of-function (LoF) phenotypes in CNS cell and animal models. This pipeline integrates functional genomics screening data, CRISPR knockout/knockdown models, pathway analysis, and therapeutic mechanism validation to discover novel treatment approaches for genetic diseases caused by protein haploinsufficiency, nonsense mutations, or pathogenic variants.</w:t>
      </w:r>
    </w:p>
    <w:p>
      <w:pPr>
        <w:spacing w:after="200" w:line="360"/>
      </w:pPr>
      <w:r>
        <w:t xml:space="preserve">The workflow progresses through systematic target characterization, CRISPR screening design and execution, hit identification and validation, mechanism-of-action deconstruction, therapeutic modality matching, and translational feasibility assessment. Each stage applies rigorous statistical filtering, orthogonal validation approaches, and expert curation to identify high-confidence therapeutic candidates with clear mechanistic bases and demonstrated efficacy in relevant LoF models.</w:t>
      </w:r>
    </w:p>
    <w:p>
      <w:pPr>
        <w:pStyle w:val="Heading2"/>
        <w:spacing w:after="200" w:before="200"/>
      </w:pPr>
      <w:r>
        <w:t xml:space="preserve">Stage 1: Loss-of-Function Target &amp; Phenotype Characterization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Comprehensively characterize the target gene, its normal function, tissue and cellular expression patterns, and the severe phenotypic consequences of loss-of-function mutations in relevant CNS cell types and animal models.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gene symbol, NCBI gene ID, and sequence coordinates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Human tissue and cell-type expression data from single-cell RNA-seq, bulk RNA-seq, and proteomics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Patient clinical phenotype data, natural history information, and disease severity scoring systems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Existing knockout/knockdown model phenotypes from literature and model organism databases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Functional assay platforms available (patch-clamp, calcium imaging, morphology, behavior) and baseline LoF phenotype measurements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NCBI Gene Database: </w:t>
      </w:r>
      <w:r>
        <w:t xml:space="preserve">Retrieves full gene annotation, transcript variants, protein sequence, and ortholog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GEO / Expression Atlas: </w:t>
      </w:r>
      <w:r>
        <w:t xml:space="preserve">Queries tissue and cell-type specific expression patterns across thousands of samples.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Human Protein Atlas: </w:t>
      </w:r>
      <w:r>
        <w:t xml:space="preserve">Provides immunohistochemistry, proteomics, and subcellular localization data for target protein.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Sapphire LoF Model Phenotype Database: </w:t>
      </w:r>
      <w:r>
        <w:t xml:space="preserve">Consolidates knockout/knockdown model phenotypes, severity scores, and functional readout measurements.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OMIM / ClinVar: </w:t>
      </w:r>
      <w:r>
        <w:t xml:space="preserve">Curates patient phenotypes, loss-of-function variant classifications, and clinical severity assessments.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Model Organism Databases (MGI, ZFIN, WormBase): </w:t>
      </w:r>
      <w:r>
        <w:t xml:space="preserve">Searches knockout phenotypes, behavioral endpoints, and tissue-specific LoF consequences in mice, zebrafish, C. elegans.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Retrieve all transcript isoforms and calculate longest open reading frame (ORF) for CRISPR targeting.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tissue and cell-type specific expression patterns, with emphasis on CNS cell types.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Compile clinical phenotypes from patient cohorts and map to functional assay readouts.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Query model organism knockout phenotypes and quantify LoF severity in relevant tissues.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optimal cell type (neurons, astrocytes, oligodendrocytes) and species model for CRISPR screening.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Comprehensive target characterization including full gene annotation, transcript isoforms, and protein sequence.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Tissue and cell-type expression atlas with emphasis on CNS expression in neurons and glial cells.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LoF phenotype compendium: patient clinical symptoms, knockout model phenotypes, and functional consequence mapping.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Subcellular localization predictions and protein domain structure analysis.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Recommended CRISPR knockout model (cell type, species) based on phenotype relevance and assay platform availability.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Baseline LoF phenotype measurements and quantitative severity scoring for screening hit validation.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Gene characterization report with expression atlas, LoF phenotype compendium, and model selection justification.</w:t>
      </w:r>
    </w:p>
    <w:p>
      <w:pPr>
        <w:pStyle w:val="Heading2"/>
        <w:spacing w:after="200" w:before="200"/>
      </w:pPr>
      <w:r>
        <w:t xml:space="preserve">Stage 2: CRISPR Screening Library Design &amp; Optimization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Design comprehensive CRISPR screening libraries targeting known and candidate rescue genes, optimize guide RNA (gRNA) selection for specificity and efficiency, and prepare multiplexed pooled or arrayed screening formats.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LoF gene and list of candidate rescue genes identified from pathway analysis and literature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Human and model organism genome sequences with reference annotations (hg38, mm10, GRCz11)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RNA-seq expression data to prioritize abundant rescue genes and minimize off-target targeting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Mechanistic models of LoF rescue (pathway compensation, dominant suppression, cellular resilience)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Available CRISPR delivery systems and cellular engineering constraints (lentiviral, adeno-associated virus, electroporation)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Benchling / Addgene Design Tool: </w:t>
      </w:r>
      <w:r>
        <w:t xml:space="preserve">Designs and validates CRISPR guide RNAs for specificity, efficiency, and off-target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CHOPCHOP / CRISPRscan: </w:t>
      </w:r>
      <w:r>
        <w:t xml:space="preserve">Predicts guide RNA specificity, efficiency scores, and optimal PAM site selection.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Cas-OFFinder / CRISPOR: </w:t>
      </w:r>
      <w:r>
        <w:t xml:space="preserve">Identifies off-target genomic sites and calculates specificity indices.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Sapphire CRISPR Library Builder: </w:t>
      </w:r>
      <w:r>
        <w:t xml:space="preserve">Integrates pathway knowledge, homology data, and expression patterns to rank rescue gene candidates.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STRING / Reactome: </w:t>
      </w:r>
      <w:r>
        <w:t xml:space="preserve">Maps protein-protein interactions and pathway compensation networks to identify rescue genes.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KEGG / Cytoscape: </w:t>
      </w:r>
      <w:r>
        <w:t xml:space="preserve">Visualizes pathway topology and identifies redundant nodes for targeted perturbation.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comprehensive CRISPR library targeting 500-1000 candidate rescue genes for pooled screening.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each rescue gene, select 5-10 optimal guide RNAs balancing efficiency and specificity.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Calculate off-target risk scores for every guide RNA and filter for high-specificity candidates.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Integrate expression data to prioritize rescue genes with appropriate tissue expression patterns.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positive and negative control guide RNAs for screening validation.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CRISPR library specification with ranked candidate rescue genes and mechanistic justification.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Guide RNA sequences, efficiency predictions, and specificity scores for all library members.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Off-target analysis report identifying potential confounding perturbations.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Library layout specifications for pooled (viral barcode) or arrayed (96/384-well) screening formats.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Positive control guide RNAs (targeting known pathway suppressors) and negative controls.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Delivery strategy recommendations and anticipated MOI (multiplicity of infection) for transduction.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CRISPR library design specification with sequence details, guide RNA rankings, and screening protocol recommendations.</w:t>
      </w:r>
    </w:p>
    <w:p>
      <w:pPr>
        <w:pStyle w:val="Heading2"/>
        <w:spacing w:after="200" w:before="200"/>
      </w:pPr>
      <w:r>
        <w:t xml:space="preserve">Stage 3: CRISPR Screening Execution &amp; Data Generation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Execute large-scale CRISPR screening in loss-of-function model cells, apply quantitative phenotypic readouts, perform deep-sequencing or arrayed data collection, and generate genome-scale perturbation maps.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CRISPR library, optimized guide RNA sequences, and cell line with LoF model engineered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Validated phenotypic readout assay (imaging, electrophysiology, cell viability, functional recovery)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Screening equipment and infrastructure (high-throughput microscopy, patch clamp, FACS, next-gen sequencing)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Baseline LoF phenotype measurements and replicate biological samples (minimum n=3 biological replicates)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quality standards (Z-factor, coefficient of variation, barcode coverage, read depth requirements)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CRISPR Screening Platform (Sapphire Lab Integration): </w:t>
      </w:r>
      <w:r>
        <w:t xml:space="preserve">Coordinates viral library transduction, phenotype selection, and data acquisition.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Illumina / 10x Genomics Sequencing: </w:t>
      </w:r>
      <w:r>
        <w:t xml:space="preserve">Deep-sequences CRISPR barcode reads from screened populations to quantify guide RNA abundance.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High-Content Imaging Platform: </w:t>
      </w:r>
      <w:r>
        <w:t xml:space="preserve">Automated microscopy for cell morphology, viability, and phenotype quantification.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Flow Cytometry / FACS: </w:t>
      </w:r>
      <w:r>
        <w:t xml:space="preserve">Sorts cells by phenotype (viability, marker expression) and populations for barcode sequencing.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Patch-Clamp Electrophysiology (Automated): </w:t>
      </w:r>
      <w:r>
        <w:t xml:space="preserve">Measures ion channel function, synaptic properties, and electrical activity in LoF rescue.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Processing Pipeline (MAGeCK, BAGEL, Sapphire Deconvolution): </w:t>
      </w:r>
      <w:r>
        <w:t xml:space="preserve">Normalizes read counts, performs statistical hit calling, and computes robust effect sizes.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Transduce LoF model cell line with CRISPR library at optimal MOI (&gt;500x coverage).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selective pressure based on phenotypic readout (rescue of LoF phenotype).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 deep-sequencing of barcode pools from selected and unselected populations.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Calculate guide RNA enrichment/depletion scores using MAGeCK or similar algorithms.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FDR-corrected statistical testing to identify rescue hits (nominal p &lt; 0.01, FDR &lt; 0.05).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Raw and normalized CRISPR barcode sequencing data with read depth and quality metrics.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Guide RNA enrichment/depletion scores for selected vs. unselected populations.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Ranked list of hit genes with effect sizes, p-values, FDR, and mechanistic annotations.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Phenotypic measurements (quantitative LoF recovery scores) for top rescue candidates.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Screen quality control metrics: Z-factor for positive/negative controls, replicate correlations, guide RNA consistency.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reproducibility assessment across biological and technical replicates.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High-dimensional screening dataset with ranked hits, quality control summaries, and preliminary mechanistic annotations.</w:t>
      </w:r>
    </w:p>
    <w:p>
      <w:pPr>
        <w:pStyle w:val="Heading2"/>
        <w:spacing w:after="200" w:before="200"/>
      </w:pPr>
      <w:r>
        <w:t xml:space="preserve">Stage 4: Hit Validation &amp; Mechanism-of-Action Deconstruction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Validate top CRISPR screening hits using orthogonal perturbation methods (RNAi, morpholinos, pharmacological inhibition), confirm mechanism-of-action through pathway analysis, and dissect compensatory pathway engagement.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 10-50 CRISPR hits ranked by effect size and statistical significance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Orthogonal perturbation tools (siRNA, morpholinos, CRISPR nickases, CRISPRi/CRISPRa)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Pathway databases (KEGG, Reactome, Cytoscape) and protein-protein interaction networks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Transcriptomics and proteomics data from rescue conditions and model organisms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Chemical tool compounds and pharmacological inhibitors targeting rescue pathways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Sapphire Orthogonal Validation Suite: </w:t>
      </w:r>
      <w:r>
        <w:t xml:space="preserve">Designs and executes RNAi, morpholino, and chemical inhibition validation experiments.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STRING / BioGRID: </w:t>
      </w:r>
      <w:r>
        <w:t xml:space="preserve">Maps protein-protein interactions and pathway partners for rescue mechanism discovery.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KEGG / Reactome: </w:t>
      </w:r>
      <w:r>
        <w:t xml:space="preserve">Analyzes pathway topology and identifies compensatory nodes.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RNA-seq / Proteomics Processing (DESeq2, Limma, iBAQ): </w:t>
      </w:r>
      <w:r>
        <w:t xml:space="preserve">Quantifies transcriptome and proteome changes upon rescue gene perturbation.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Gene Set Enrichment Analysis (GSEA, IPA, Metascape): </w:t>
      </w:r>
      <w:r>
        <w:t xml:space="preserve">Identifies pathway signatures and mechanistic biological processes.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ChEMBL / DrugBank: </w:t>
      </w:r>
      <w:r>
        <w:t xml:space="preserve">Identifies available chemical tool compounds and pharmacological inhibitors.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siRNA or morpholino knockdowns of top 20 hits and measure LoF rescue in parallel.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 protein-protein interactions and pathway partners of rescue genes.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 RNA-seq on rescue gene-perturbed cells to identify downstream pathway signatures.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pharmacological inhibitors of rescue pathway nodes for dose-dependent rescue.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Validate rescue mechanism using genetic epistasis experiments (double perturbations).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Validation report confirming hits using orthogonal perturbation approaches (RNAi, morpholino, chemistry).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Mechanistic model describing LoF rescue pathway (genes, proteins, regulatory interactions).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Transcriptomics and pathway enrichment signatures associated with successful rescue.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Epistasis analysis defining hierarchical pathway relationships and critical nodes.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Chemical tool compounds and pharmacological inhibitors with in vitro rescue activity.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Refined hit ranking based on validation data, effect size consistency, and mechanistic credibility.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Validation report with orthogonal data, mechanistic pathway diagrams, and therapeutic modality recommendations.</w:t>
      </w:r>
    </w:p>
    <w:p>
      <w:pPr>
        <w:pStyle w:val="Heading2"/>
        <w:spacing w:after="200" w:before="200"/>
      </w:pPr>
      <w:r>
        <w:t xml:space="preserve">Stage 5: Therapeutic Modality Matching &amp; Chemical Matter Identification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Match validated LoF rescue mechanisms to optimal therapeutic modalities (small molecule, biologics, gene therapy), identify available chemical matter or tool compounds, and assess druggability for therapeutic development.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Validated LoF rescue genes and characterized molecular mechanisms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Protein structure, druggability, and binding site predictions for rescue targets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Existing chemical matter: approved drugs, clinical candidates, tool compounds, and screening databases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Cellular localization and CNS penetration predictions for therapeutic modality feasibility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Clinical development timelines and regulatory precedent for each therapeutic modality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Sapphire Modality Matcher: </w:t>
      </w:r>
      <w:r>
        <w:t xml:space="preserve">Recommends optimal therapeutic modality (small molecule, antibody, siRNA, AAV) based on target properties.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PDB / AlphaFold: </w:t>
      </w:r>
      <w:r>
        <w:t xml:space="preserve">Provides protein structure for druggability assessment.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DrugBank / ChEMBL / PubChem: </w:t>
      </w:r>
      <w:r>
        <w:t xml:space="preserve">Searches for approved drugs, clinical candidates, and tool compounds targeting rescue proteins.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Broad Institute / GlaxoSmithKline Repurposing Hub: </w:t>
      </w:r>
      <w:r>
        <w:t xml:space="preserve">Identifies approved drugs with activity against rescue targets for repurposing.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TSRI / TTM Tech Compounds: </w:t>
      </w:r>
      <w:r>
        <w:t xml:space="preserve">Accesses tool compound libraries with characterized bioactivity and chemical properties.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pkCSM / AdmetSAR Prediction Tools: </w:t>
      </w:r>
      <w:r>
        <w:t xml:space="preserve">Predicts ADME properties, BBB permeability, and off-target risk for chemical matter.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Assess modality suitability (small molecule, antibody, siRNA, gene therapy) for each validated rescue gene.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approved drugs and tool compounds with activity against rescue proteins.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Predict CNS penetration and ADME properties for small molecule candidates.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Evaluate gene therapy feasibility: AAV serotype selection, biodistribution, immune tolerance.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design-around opportunities and patentable chemical scaffolds for rescue targets.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Therapeutic modality assessment for each validated rescue gene with pros/cons analysis.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Catalog of available chemical matter (approved drugs, clinical candidates, tool compounds) for rescue targets.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Druggability scores, binding site assessments, and lead optimization opportunities.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ADME predictions and CNS penetration assessments for small molecule candidates.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 therapy modality recommendations (AAV serotype, delivery route, immune tolerance strategy).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Intellectual property landscape for rescue targets and chemical matter.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Modality-matched therapeutic recommendations with chemical matter summaries and druggability assessments.</w:t>
      </w:r>
    </w:p>
    <w:p>
      <w:pPr>
        <w:pStyle w:val="Heading2"/>
        <w:spacing w:after="200" w:before="200"/>
      </w:pPr>
      <w:r>
        <w:t xml:space="preserve">Stage 6: In Vivo Validation &amp; Translational Feasibility Assessment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Validate rescue efficacy in vivo using disease models, assess target engagement and pharmacodynamic biomarkers, and evaluate safety/tolerability and translational feasibility toward clinical development.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 validated rescue genes and their associated chemical matter or genetic tools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vivo disease models (transgenic mice, induced pluripotent stem cells, zebrafish) with quantifiable LoF phenotypes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Biomarker panels for target engagement, mechanism-of-action, and efficacy assessment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Safety assessment endpoints (off-target toxicity, organ pathology, behavioral safety) in rodents or larger animals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Pharmacokinetic and biodistribution data for chemical matter or gene therapy modalities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Sapphire In Vivo Translational Module: </w:t>
      </w:r>
      <w:r>
        <w:t xml:space="preserve">Coordinates in vivo studies, collects pharmacodynamic and safety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Rodent Disease Models (Jackson Laboratory, MMRRC): </w:t>
      </w:r>
      <w:r>
        <w:t xml:space="preserve">Accesses validated transgenic and knockout mouse lines modeling target LoF phenotypes.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Behavioral Phenotyping Platforms (Morris water maze, rotarod, social interaction): </w:t>
      </w:r>
      <w:r>
        <w:t xml:space="preserve">Quantifies neurological function recovery upon rescue intervention.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Immunohistochemistry &amp; Histopathology: </w:t>
      </w:r>
      <w:r>
        <w:t xml:space="preserve">Assesses target engagement, brain penetration, and pathological changes in tissue.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Plasma &amp; CSF Biomarker Quantification (UPLC-MS/MS, immunoassay): </w:t>
      </w:r>
      <w:r>
        <w:t xml:space="preserve">Measures pharmacodynamic markers and validates mechanism-of-action.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iPS Cell-Derived Neuronal Models: </w:t>
      </w:r>
      <w:r>
        <w:t xml:space="preserve">Patient-derived cellular systems enabling mechanistic validation and personalized medicine assessment.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Conduct dose-response studies with rescue chemical matter in transgenic disease models.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Measure pharmacokinetics and brain penetration of lead rescue compounds.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Assess target engagement using imaging biomarkers (PET/SPECT) or CSF pharmacodynamic markers.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Evaluate behavioral and functional recovery endpoints in disease models.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 comprehensive safety assessment including off-target pharmacology, repeated-dose toxicology.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vivo efficacy data demonstrating LoF phenotype rescue in disease models.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Pharmacokinetic parameters (half-life, Cmax, bioavailability, CNS penetration).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Pharmacodynamic biomarker data validating target engagement and mechanism-of-action.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Behavioral and functional recovery assessment (motor, cognitive, sensory endpoints).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Safety toxicology summary: organ pathology, clinical chemistry, behavioral abnormalities.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IND-enabling package readiness assessment and regulatory path recommendation.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Translational feasibility report with in vivo efficacy data, PK/PD summaries, safety assessments, and IND readiness evaluation.</w:t>
      </w:r>
    </w:p>
    <w:p>
      <w:pPr>
        <w:pStyle w:val="Heading2"/>
        <w:spacing w:after="200" w:before="200"/>
      </w:pPr>
      <w:r>
        <w:t xml:space="preserve">Tools &amp; Databases Summary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NCBI Gene Database: Full gene annotation, transcript variants, protein sequences, and ortholog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GEO / Expression Atlas: Tissue and cell-type specific expression patterns across thousands of samples.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Human Protein Atlas: Immunohistochemistry, proteomics, and subcellular localization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Sapphire LoF Model Phenotype Database: Consolidated knockout/knockdown model phenotypes and severity scores.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OMIM / ClinVar: Patient phenotypes, LoF variant classifications, and clinical severity assessments.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 Organism Databases (MGI, ZFIN, WormBase): Knockout phenotypes, behavioral endpoints, and LoF consequences.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Benchling / Addgene Design Tool: CRISPR guide RNA design and validation.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CHOPCHOP / CRISPRscan: Guide RNA specificity and efficiency prediction.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Cas-OFFinder / CRISPOR: Off-target genomic site identification and specificity assessment.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Sapphire CRISPR Library Builder: Pathway-informed rescue gene ranking and library optimization.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STRING / Reactome: Protein-protein interactions and pathway compensation networks.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KEGG / Cytoscape: Pathway topology visualization and redundant node identification.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Illumina / 10x Genomics Sequencing: Deep-sequencing CRISPR barcode reads from screened populations.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MAGeCK / BAGEL / Sapphire Deconvolution: Statistical hit calling and effect size computation.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 Set Enrichment Analysis (GSEA, IPA, Metascape): Pathway signatures and mechanistic annotation.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2026-03-02T01:20:16.604Z</dcterms:created>
  <dcterms:modified xsi:type="dcterms:W3CDTF">2026-03-02T01:20:16.604Z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