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"For Regeneron antibody-first strategy, which extracellular CNS targets stand out?"</w:t>
      </w:r>
    </w:p>
    <w:p>
      <w:pPr>
        <w:spacing w:after="24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40" w:line="360"/>
      </w:pPr>
      <w:r>
        <w:t xml:space="preserve">The Sapphire pipeline for identifying standout extracellular CNS targets within Regeneron's antibody-first strategy integrates six sequential stages that synthesize Regeneron's therapeutic portfolio, extracellular protein topology data, CNS-specific tractability metrics, and antibody engineering feasibility assessments. The pipeline begins with comprehensive characterization of Regeneron's existing target portfolio and clinical development roadmap, leveraging internal company databases and patent literature to establish a baseline of strategic focus areas. Subsequent stages progressively filter this universe by extracellular localization criteria, assess blood-brain barrier penetration requirements and target engagement biology in CNS tissues, and evaluate the antibody-specific factors that determine technical and commercial viability.</w:t>
      </w:r>
    </w:p>
    <w:p>
      <w:pPr>
        <w:spacing w:after="240" w:line="360"/>
      </w:pPr>
      <w:r>
        <w:t xml:space="preserve">The pipeline culminates in a synthesis stage that ranks candidate targets according to Regeneron's strategic priorities—including unmet medical need in CNS indications, competitive positioning, manufacturing feasibility, and antibody specificity requirements. Throughout all stages, the pipeline incorporates machine learning models for target prioritization, integration of preclinical proof-of-concept data, and comparative analysis against competitor antibody programs (Roche, Eli Lilly, Biogen, AbbVie). The output is a ranked set of extracellular CNS target opportunities with explicit justification for why each target aligns with an antibody-first therapeutic strategy and Regeneron's core competencies in monoclonal antibody engineering.</w:t>
      </w:r>
    </w:p>
    <w:p>
      <w:pPr>
        <w:pStyle w:val="Heading2"/>
        <w:spacing w:after="200" w:before="200"/>
      </w:pPr>
      <w:r>
        <w:t xml:space="preserve">Stage 1: Regeneron Target Portfolio Characterization</w:t>
      </w:r>
    </w:p>
    <w:p>
      <w:pPr>
        <w:spacing w:after="240" w:line="360"/>
      </w:pPr>
      <w:r>
        <w:rPr>
          <w:b/>
          <w:bCs/>
        </w:rPr>
        <w:t xml:space="preserve">Purpose: </w:t>
      </w:r>
      <w:r>
        <w:t xml:space="preserve">The purpose of this stage is to systematically catalog and prioritize Regeneron's disclosed and undisclosed CNS target portfolio across therapeutic areas including neurodegenerative diseases, neuroinflammatory disorders, psychiatric conditions, and developmental neurobiology. This stage identifies strategic focus areas, ongoing clinical programs, and target classes aligned with Regeneron's antibody-first therapeutic modality, establishing the foundation for downstream tractability assessment.</w:t>
      </w:r>
    </w:p>
    <w:p>
      <w:pPr>
        <w:spacing w:after="120"/>
      </w:pPr>
      <w:r>
        <w:rPr>
          <w:b/>
          <w:bCs/>
        </w:rPr>
        <w:t xml:space="preserve">Inputs:</w:t>
      </w:r>
    </w:p>
    <w:p>
      <w:pPr>
        <w:pStyle w:val="ListParagraph"/>
        <w:numPr>
          <w:ilvl w:val="0"/>
          <w:numId w:val="2"/>
        </w:numPr>
        <w:spacing w:after="120" w:line="360"/>
      </w:pPr>
      <w:r>
        <w:t xml:space="preserve">Regeneron internal target portfolio database (VelociSuite-integrated proprietary targets)</w:t>
      </w:r>
    </w:p>
    <w:p>
      <w:pPr>
        <w:pStyle w:val="ListParagraph"/>
        <w:numPr>
          <w:ilvl w:val="0"/>
          <w:numId w:val="2"/>
        </w:numPr>
        <w:spacing w:after="120" w:line="360"/>
      </w:pPr>
      <w:r>
        <w:t xml:space="preserve">Regeneron clinical trial registry and IND applications (regulatory filings)</w:t>
      </w:r>
    </w:p>
    <w:p>
      <w:pPr>
        <w:pStyle w:val="ListParagraph"/>
        <w:numPr>
          <w:ilvl w:val="0"/>
          <w:numId w:val="2"/>
        </w:numPr>
        <w:spacing w:after="120" w:line="360"/>
      </w:pPr>
      <w:r>
        <w:t xml:space="preserve">Published Regeneron research publications and patent portfolio (Google Patents, USPTO)</w:t>
      </w:r>
    </w:p>
    <w:p>
      <w:pPr>
        <w:pStyle w:val="ListParagraph"/>
        <w:numPr>
          <w:ilvl w:val="0"/>
          <w:numId w:val="2"/>
        </w:numPr>
        <w:spacing w:after="120" w:line="360"/>
      </w:pPr>
      <w:r>
        <w:t xml:space="preserve">Regeneron investor relations materials, earnings call transcripts, and strategic guidance</w:t>
      </w:r>
    </w:p>
    <w:p>
      <w:pPr>
        <w:pStyle w:val="ListParagraph"/>
        <w:numPr>
          <w:ilvl w:val="0"/>
          <w:numId w:val="2"/>
        </w:numPr>
        <w:spacing w:after="120" w:line="360"/>
      </w:pPr>
      <w:r>
        <w:t xml:space="preserve">Internal target nomination and prioritization records (therapeutic area strategy documents)</w:t>
      </w:r>
    </w:p>
    <w:p>
      <w:pPr>
        <w:spacing w:after="120" w:before="120"/>
      </w:pPr>
      <w:r>
        <w:rPr>
          <w:b/>
          <w:bCs/>
        </w:rPr>
        <w:t xml:space="preserve">Tools &amp; Databases Called:</w:t>
      </w:r>
    </w:p>
    <w:p>
      <w:pPr>
        <w:pStyle w:val="ListParagraph"/>
        <w:numPr>
          <w:ilvl w:val="0"/>
          <w:numId w:val="2"/>
        </w:numPr>
        <w:spacing w:after="120" w:line="360"/>
      </w:pPr>
      <w:r>
        <w:t xml:space="preserve">VelociSuite (Regeneron proprietary LIMS)</w:t>
      </w:r>
    </w:p>
    <w:p>
      <w:pPr>
        <w:pStyle w:val="ListParagraph"/>
        <w:numPr>
          <w:ilvl w:val="0"/>
          <w:numId w:val="2"/>
        </w:numPr>
        <w:spacing w:after="120" w:line="360"/>
      </w:pPr>
      <w:r>
        <w:t xml:space="preserve">PostgreSQL/proprietary target database queries and filtering algorithms</w:t>
      </w:r>
    </w:p>
    <w:p>
      <w:pPr>
        <w:pStyle w:val="ListParagraph"/>
        <w:numPr>
          <w:ilvl w:val="0"/>
          <w:numId w:val="2"/>
        </w:numPr>
        <w:spacing w:after="120" w:line="360"/>
      </w:pPr>
      <w:r>
        <w:t xml:space="preserve">Google Patents and USPTO patent full-text search with Natural Language Processing</w:t>
      </w:r>
    </w:p>
    <w:p>
      <w:pPr>
        <w:pStyle w:val="ListParagraph"/>
        <w:numPr>
          <w:ilvl w:val="0"/>
          <w:numId w:val="2"/>
        </w:numPr>
        <w:spacing w:after="120" w:line="360"/>
      </w:pPr>
      <w:r>
        <w:t xml:space="preserve">Regeneron internal publications repository and research data warehouse</w:t>
      </w:r>
    </w:p>
    <w:p>
      <w:pPr>
        <w:pStyle w:val="ListParagraph"/>
        <w:numPr>
          <w:ilvl w:val="0"/>
          <w:numId w:val="2"/>
        </w:numPr>
        <w:spacing w:after="120" w:line="360"/>
      </w:pPr>
      <w:r>
        <w:t xml:space="preserve">LinkedIn and pharmaceutical industry databases for Regeneron scientist tracking</w:t>
      </w:r>
    </w:p>
    <w:p>
      <w:pPr>
        <w:spacing w:after="120" w:before="120"/>
      </w:pPr>
      <w:r>
        <w:rPr>
          <w:b/>
          <w:bCs/>
        </w:rPr>
        <w:t xml:space="preserve">Exemplary Sub-Prompts:</w:t>
      </w:r>
    </w:p>
    <w:p>
      <w:pPr>
        <w:pStyle w:val="ListParagraph"/>
        <w:numPr>
          <w:ilvl w:val="0"/>
          <w:numId w:val="2"/>
        </w:numPr>
        <w:spacing w:after="120" w:line="360"/>
      </w:pPr>
      <w:r>
        <w:t xml:space="preserve">Which CNS indications has Regeneron explicitly invested in, and which therapeutic areas show no approved or clinical-stage programs?</w:t>
      </w:r>
    </w:p>
    <w:p>
      <w:pPr>
        <w:pStyle w:val="ListParagraph"/>
        <w:numPr>
          <w:ilvl w:val="0"/>
          <w:numId w:val="2"/>
        </w:numPr>
        <w:spacing w:after="120" w:line="360"/>
      </w:pPr>
      <w:r>
        <w:t xml:space="preserve">What is Regeneron's intellectual property footprint in neurodegeneration, neuroinflammation, and psychiatric disease?</w:t>
      </w:r>
    </w:p>
    <w:p>
      <w:pPr>
        <w:pStyle w:val="ListParagraph"/>
        <w:numPr>
          <w:ilvl w:val="0"/>
          <w:numId w:val="2"/>
        </w:numPr>
        <w:spacing w:after="120" w:line="360"/>
      </w:pPr>
      <w:r>
        <w:t xml:space="preserve">How many Regeneron scientists and research groups are dedicated to CNS programs, and what are their publication patterns?</w:t>
      </w:r>
    </w:p>
    <w:p>
      <w:pPr>
        <w:pStyle w:val="ListParagraph"/>
        <w:numPr>
          <w:ilvl w:val="0"/>
          <w:numId w:val="2"/>
        </w:numPr>
        <w:spacing w:after="120" w:line="360"/>
      </w:pPr>
      <w:r>
        <w:t xml:space="preserve">What clinical trial readouts and efficacy benchmarks define success for Regeneron's existing CNS antibody programs?</w:t>
      </w:r>
    </w:p>
    <w:p>
      <w:pPr>
        <w:pStyle w:val="ListParagraph"/>
        <w:numPr>
          <w:ilvl w:val="0"/>
          <w:numId w:val="2"/>
        </w:numPr>
        <w:spacing w:after="120" w:line="360"/>
      </w:pPr>
      <w:r>
        <w:t xml:space="preserve">Which Regeneron targets were nominated internally but deprioritized, and what were the reasons for de-prioritization?</w:t>
      </w:r>
    </w:p>
    <w:p>
      <w:pPr>
        <w:spacing w:after="120" w:before="120"/>
      </w:pPr>
      <w:r>
        <w:rPr>
          <w:b/>
          <w:bCs/>
        </w:rPr>
        <w:t xml:space="preserve">Expected Outputs:</w:t>
      </w:r>
    </w:p>
    <w:p>
      <w:pPr>
        <w:pStyle w:val="ListParagraph"/>
        <w:numPr>
          <w:ilvl w:val="0"/>
          <w:numId w:val="2"/>
        </w:numPr>
        <w:spacing w:after="120" w:line="360"/>
      </w:pPr>
      <w:r>
        <w:t xml:space="preserve">Curated catalog of Regeneron's confirmed CNS-relevant targets with therapeutic area mapping (neurodegenerative, neuroinflammatory, psychiatric, developmental)</w:t>
      </w:r>
    </w:p>
    <w:p>
      <w:pPr>
        <w:pStyle w:val="ListParagraph"/>
        <w:numPr>
          <w:ilvl w:val="0"/>
          <w:numId w:val="2"/>
        </w:numPr>
        <w:spacing w:after="120" w:line="360"/>
      </w:pPr>
      <w:r>
        <w:t xml:space="preserve">Strategic portfolio matrix showing current clinical status, program stage, and investment level for each Regeneron CNS target</w:t>
      </w:r>
    </w:p>
    <w:p>
      <w:pPr>
        <w:pStyle w:val="ListParagraph"/>
        <w:numPr>
          <w:ilvl w:val="0"/>
          <w:numId w:val="2"/>
        </w:numPr>
        <w:spacing w:after="120" w:line="360"/>
      </w:pPr>
      <w:r>
        <w:t xml:space="preserve">Intellectual property landscape summary for Regeneron's CNS targets, including patent claims, freedom-to-operate analysis, and landscape innovations</w:t>
      </w:r>
    </w:p>
    <w:p>
      <w:pPr>
        <w:pStyle w:val="ListParagraph"/>
        <w:numPr>
          <w:ilvl w:val="0"/>
          <w:numId w:val="2"/>
        </w:numPr>
        <w:spacing w:after="120" w:line="360"/>
      </w:pPr>
      <w:r>
        <w:t xml:space="preserve">Regeneron scientist expertise map identifying key internal thought leaders and publication records for CNS programs</w:t>
      </w:r>
    </w:p>
    <w:p>
      <w:pPr>
        <w:pStyle w:val="ListParagraph"/>
        <w:numPr>
          <w:ilvl w:val="0"/>
          <w:numId w:val="2"/>
        </w:numPr>
        <w:spacing w:after="120" w:line="360"/>
      </w:pPr>
      <w:r>
        <w:t xml:space="preserve">Identified white space where Regeneron has minimal programs despite strong scientific rationale</w:t>
      </w:r>
    </w:p>
    <w:p>
      <w:pPr>
        <w:spacing w:after="240" w:line="360"/>
      </w:pPr>
      <w:r>
        <w:rPr>
          <w:b/>
          <w:bCs/>
        </w:rPr>
        <w:t xml:space="preserve">Format: </w:t>
      </w:r>
      <w:r>
        <w:t xml:space="preserve">All outputs are generated in machine-readable JSON schema format with nested hierarchies for target properties, scoring rationale, data provenance, and confidence metadata. Visualization outputs include interactive Tableau dashboards for competitive positioning and MCDA ranking scenarios. Clinical trial data and competitive intelligence are delivered in structured CSV and Excel formats compatible with Regeneron's internal analytics platforms. Briefing documents are formatted as professional PowerPoint presentations suitable for executive stakeholder review and strategic decision-making forums.</w:t>
      </w:r>
    </w:p>
    <w:p>
      <w:pPr>
        <w:pStyle w:val="Heading2"/>
        <w:spacing w:after="200" w:before="200"/>
      </w:pPr>
      <w:r>
        <w:t xml:space="preserve">Stage 2: Extracellular Target Candidate Filtering</w:t>
      </w:r>
    </w:p>
    <w:p>
      <w:pPr>
        <w:spacing w:after="240" w:line="360"/>
      </w:pPr>
      <w:r>
        <w:rPr>
          <w:b/>
          <w:bCs/>
        </w:rPr>
        <w:t xml:space="preserve">Purpose: </w:t>
      </w:r>
      <w:r>
        <w:t xml:space="preserve">The purpose of this stage is to filter the Regeneron target portfolio by extracellular protein topology, localization domains, and accessibility criteria essential for monoclonal antibody binding and target engagement. This stage eliminates intracellular and transmembrane-only targets while enriching for targets with soluble, shed, or accessible extracellular epitopes.</w:t>
      </w:r>
    </w:p>
    <w:p>
      <w:pPr>
        <w:spacing w:after="120"/>
      </w:pPr>
      <w:r>
        <w:rPr>
          <w:b/>
          <w:bCs/>
        </w:rPr>
        <w:t xml:space="preserve">Inputs:</w:t>
      </w:r>
    </w:p>
    <w:p>
      <w:pPr>
        <w:pStyle w:val="ListParagraph"/>
        <w:numPr>
          <w:ilvl w:val="0"/>
          <w:numId w:val="2"/>
        </w:numPr>
        <w:spacing w:after="120" w:line="360"/>
      </w:pPr>
      <w:r>
        <w:t xml:space="preserve">UniProt/SwissProt extracellular protein topology annotations and transmembrane domain predictions</w:t>
      </w:r>
    </w:p>
    <w:p>
      <w:pPr>
        <w:pStyle w:val="ListParagraph"/>
        <w:numPr>
          <w:ilvl w:val="0"/>
          <w:numId w:val="2"/>
        </w:numPr>
        <w:spacing w:after="120" w:line="360"/>
      </w:pPr>
      <w:r>
        <w:t xml:space="preserve">Regeneron's existing CNS target list with protein topology metadata</w:t>
      </w:r>
    </w:p>
    <w:p>
      <w:pPr>
        <w:pStyle w:val="ListParagraph"/>
        <w:numPr>
          <w:ilvl w:val="0"/>
          <w:numId w:val="2"/>
        </w:numPr>
        <w:spacing w:after="120" w:line="360"/>
      </w:pPr>
      <w:r>
        <w:t xml:space="preserve">Immunohistochemistry and in situ hybridization data for target localization in CNS tissues</w:t>
      </w:r>
    </w:p>
    <w:p>
      <w:pPr>
        <w:pStyle w:val="ListParagraph"/>
        <w:numPr>
          <w:ilvl w:val="0"/>
          <w:numId w:val="2"/>
        </w:numPr>
        <w:spacing w:after="120" w:line="360"/>
      </w:pPr>
      <w:r>
        <w:t xml:space="preserve">Structural biology databases (PDB, RCSB) with CNS target protein structures</w:t>
      </w:r>
    </w:p>
    <w:p>
      <w:pPr>
        <w:pStyle w:val="ListParagraph"/>
        <w:numPr>
          <w:ilvl w:val="0"/>
          <w:numId w:val="2"/>
        </w:numPr>
        <w:spacing w:after="120" w:line="360"/>
      </w:pPr>
      <w:r>
        <w:t xml:space="preserve">Literature mining results on target expression in CNS cell types (neurons, glia, endothelium)</w:t>
      </w:r>
    </w:p>
    <w:p>
      <w:pPr>
        <w:spacing w:after="120" w:before="120"/>
      </w:pPr>
      <w:r>
        <w:rPr>
          <w:b/>
          <w:bCs/>
        </w:rPr>
        <w:t xml:space="preserve">Tools &amp; Databases Called:</w:t>
      </w:r>
    </w:p>
    <w:p>
      <w:pPr>
        <w:pStyle w:val="ListParagraph"/>
        <w:numPr>
          <w:ilvl w:val="0"/>
          <w:numId w:val="2"/>
        </w:numPr>
        <w:spacing w:after="120" w:line="360"/>
      </w:pPr>
      <w:r>
        <w:t xml:space="preserve">UniProt REST API for topology and localization annotation retrieval</w:t>
      </w:r>
    </w:p>
    <w:p>
      <w:pPr>
        <w:pStyle w:val="ListParagraph"/>
        <w:numPr>
          <w:ilvl w:val="0"/>
          <w:numId w:val="2"/>
        </w:numPr>
        <w:spacing w:after="120" w:line="360"/>
      </w:pPr>
      <w:r>
        <w:t xml:space="preserve">Membrane protein topology prediction tools (TMHMM, Phobius, TOPCONS)</w:t>
      </w:r>
    </w:p>
    <w:p>
      <w:pPr>
        <w:pStyle w:val="ListParagraph"/>
        <w:numPr>
          <w:ilvl w:val="0"/>
          <w:numId w:val="2"/>
        </w:numPr>
        <w:spacing w:after="120" w:line="360"/>
      </w:pPr>
      <w:r>
        <w:t xml:space="preserve">AlphaFold2 structure prediction for target proteins lacking crystal structures</w:t>
      </w:r>
    </w:p>
    <w:p>
      <w:pPr>
        <w:pStyle w:val="ListParagraph"/>
        <w:numPr>
          <w:ilvl w:val="0"/>
          <w:numId w:val="2"/>
        </w:numPr>
        <w:spacing w:after="120" w:line="360"/>
      </w:pPr>
      <w:r>
        <w:t xml:space="preserve">Allen Brain Atlas spatial transcriptomics query tools (in situ hybridization, RNA-seq)</w:t>
      </w:r>
    </w:p>
    <w:p>
      <w:pPr>
        <w:pStyle w:val="ListParagraph"/>
        <w:numPr>
          <w:ilvl w:val="0"/>
          <w:numId w:val="2"/>
        </w:numPr>
        <w:spacing w:after="120" w:line="360"/>
      </w:pPr>
      <w:r>
        <w:t xml:space="preserve">Neuroinformatics databases (BrainSpan, GTEx, Human Protein Atlas for brain tissues)</w:t>
      </w:r>
    </w:p>
    <w:p>
      <w:pPr>
        <w:spacing w:after="120" w:before="120"/>
      </w:pPr>
      <w:r>
        <w:rPr>
          <w:b/>
          <w:bCs/>
        </w:rPr>
        <w:t xml:space="preserve">Exemplary Sub-Prompts:</w:t>
      </w:r>
    </w:p>
    <w:p>
      <w:pPr>
        <w:pStyle w:val="ListParagraph"/>
        <w:numPr>
          <w:ilvl w:val="0"/>
          <w:numId w:val="2"/>
        </w:numPr>
        <w:spacing w:after="120" w:line="360"/>
      </w:pPr>
      <w:r>
        <w:t xml:space="preserve">Which targets in Regeneron's portfolio are confirmed extracellular or have accessible extracellular epitopes suitable for antibody binding?</w:t>
      </w:r>
    </w:p>
    <w:p>
      <w:pPr>
        <w:pStyle w:val="ListParagraph"/>
        <w:numPr>
          <w:ilvl w:val="0"/>
          <w:numId w:val="2"/>
        </w:numPr>
        <w:spacing w:after="120" w:line="360"/>
      </w:pPr>
      <w:r>
        <w:t xml:space="preserve">Which targets lack high-quality structural data or topology annotations, creating information asymmetry?</w:t>
      </w:r>
    </w:p>
    <w:p>
      <w:pPr>
        <w:pStyle w:val="ListParagraph"/>
        <w:numPr>
          <w:ilvl w:val="0"/>
          <w:numId w:val="2"/>
        </w:numPr>
        <w:spacing w:after="120" w:line="360"/>
      </w:pPr>
      <w:r>
        <w:t xml:space="preserve">How many Regeneron targets are exclusively intracellular or transmembrane-only, and therefore unsuitable for antibody-first strategies?</w:t>
      </w:r>
    </w:p>
    <w:p>
      <w:pPr>
        <w:pStyle w:val="ListParagraph"/>
        <w:numPr>
          <w:ilvl w:val="0"/>
          <w:numId w:val="2"/>
        </w:numPr>
        <w:spacing w:after="120" w:line="360"/>
      </w:pPr>
      <w:r>
        <w:t xml:space="preserve">Which extracellular targets have multiple isoforms or splice variants, and do all isoforms contain the antibody epitope?</w:t>
      </w:r>
    </w:p>
    <w:p>
      <w:pPr>
        <w:pStyle w:val="ListParagraph"/>
        <w:numPr>
          <w:ilvl w:val="0"/>
          <w:numId w:val="2"/>
        </w:numPr>
        <w:spacing w:after="120" w:line="360"/>
      </w:pPr>
      <w:r>
        <w:t xml:space="preserve">Are there shed or soluble forms of Regeneron's target proteins, and could these complicate antibody pharmacodynamics?</w:t>
      </w:r>
    </w:p>
    <w:p>
      <w:pPr>
        <w:spacing w:after="120" w:before="120"/>
      </w:pPr>
      <w:r>
        <w:rPr>
          <w:b/>
          <w:bCs/>
        </w:rPr>
        <w:t xml:space="preserve">Expected Outputs:</w:t>
      </w:r>
    </w:p>
    <w:p>
      <w:pPr>
        <w:pStyle w:val="ListParagraph"/>
        <w:numPr>
          <w:ilvl w:val="0"/>
          <w:numId w:val="2"/>
        </w:numPr>
        <w:spacing w:after="120" w:line="360"/>
      </w:pPr>
      <w:r>
        <w:t xml:space="preserve">Extracellular localization confidence scores for each target based on UniProt annotations, structural models, and literature evidence</w:t>
      </w:r>
    </w:p>
    <w:p>
      <w:pPr>
        <w:pStyle w:val="ListParagraph"/>
        <w:numPr>
          <w:ilvl w:val="0"/>
          <w:numId w:val="2"/>
        </w:numPr>
        <w:spacing w:after="120" w:line="360"/>
      </w:pPr>
      <w:r>
        <w:t xml:space="preserve">Filtered target list enriched for extracellular proteins with high-confidence accessibility for monoclonal antibody binding</w:t>
      </w:r>
    </w:p>
    <w:p>
      <w:pPr>
        <w:pStyle w:val="ListParagraph"/>
        <w:numPr>
          <w:ilvl w:val="0"/>
          <w:numId w:val="2"/>
        </w:numPr>
        <w:spacing w:after="120" w:line="360"/>
      </w:pPr>
      <w:r>
        <w:t xml:space="preserve">Target topology class assignments (soluble proteins, shed ectodomains, plasma membrane-anchored, multipass transmembrane with extracellular loops)</w:t>
      </w:r>
    </w:p>
    <w:p>
      <w:pPr>
        <w:pStyle w:val="ListParagraph"/>
        <w:numPr>
          <w:ilvl w:val="0"/>
          <w:numId w:val="2"/>
        </w:numPr>
        <w:spacing w:after="120" w:line="360"/>
      </w:pPr>
      <w:r>
        <w:t xml:space="preserve">Structural biology summary for each target showing known or predicted antibody epitope locations</w:t>
      </w:r>
    </w:p>
    <w:p>
      <w:pPr>
        <w:pStyle w:val="ListParagraph"/>
        <w:numPr>
          <w:ilvl w:val="0"/>
          <w:numId w:val="2"/>
        </w:numPr>
        <w:spacing w:after="120" w:line="360"/>
      </w:pPr>
      <w:r>
        <w:t xml:space="preserve">Exclusion list of intracellular or transmembrane-only targets unsuitable for antibody-first strategies</w:t>
      </w:r>
    </w:p>
    <w:p>
      <w:pPr>
        <w:spacing w:after="240" w:line="360"/>
      </w:pPr>
      <w:r>
        <w:rPr>
          <w:b/>
          <w:bCs/>
        </w:rPr>
        <w:t xml:space="preserve">Format: </w:t>
      </w:r>
      <w:r>
        <w:t xml:space="preserve">All outputs are generated in machine-readable JSON schema format with nested hierarchies for target properties, scoring rationale, data provenance, and confidence metadata. Visualization outputs include interactive Tableau dashboards for competitive positioning and MCDA ranking scenarios. Clinical trial data and competitive intelligence are delivered in structured CSV and Excel formats compatible with Regeneron's internal analytics platforms. Briefing documents are formatted as professional PowerPoint presentations suitable for executive stakeholder review and strategic decision-making forums.</w:t>
      </w:r>
    </w:p>
    <w:p>
      <w:pPr>
        <w:pStyle w:val="Heading2"/>
        <w:spacing w:after="200" w:before="200"/>
      </w:pPr>
      <w:r>
        <w:t xml:space="preserve">Stage 3: CNS Tractability Assessment</w:t>
      </w:r>
    </w:p>
    <w:p>
      <w:pPr>
        <w:spacing w:after="240" w:line="360"/>
      </w:pPr>
      <w:r>
        <w:rPr>
          <w:b/>
          <w:bCs/>
        </w:rPr>
        <w:t xml:space="preserve">Purpose: </w:t>
      </w:r>
      <w:r>
        <w:t xml:space="preserve">The purpose of this stage is to assess the intrinsic capacity of each extracellular target to engage CNS pathophysiology through blood-brain barrier penetration, cellular uptake mechanisms, target distribution in CNS cell types, and the sufficiency of target modulation to drive relevant biomarkers and clinical outcomes.</w:t>
      </w:r>
    </w:p>
    <w:p>
      <w:pPr>
        <w:spacing w:after="120"/>
      </w:pPr>
      <w:r>
        <w:rPr>
          <w:b/>
          <w:bCs/>
        </w:rPr>
        <w:t xml:space="preserve">Inputs:</w:t>
      </w:r>
    </w:p>
    <w:p>
      <w:pPr>
        <w:pStyle w:val="ListParagraph"/>
        <w:numPr>
          <w:ilvl w:val="0"/>
          <w:numId w:val="2"/>
        </w:numPr>
        <w:spacing w:after="120" w:line="360"/>
      </w:pPr>
      <w:r>
        <w:t xml:space="preserve">Blood-brain barrier transportability predictions (permeability data, efflux transporter substrates)</w:t>
      </w:r>
    </w:p>
    <w:p>
      <w:pPr>
        <w:pStyle w:val="ListParagraph"/>
        <w:numPr>
          <w:ilvl w:val="0"/>
          <w:numId w:val="2"/>
        </w:numPr>
        <w:spacing w:after="120" w:line="360"/>
      </w:pPr>
      <w:r>
        <w:t xml:space="preserve">CNS target tissue distribution maps (Allen Brain Atlas, single-cell RNA-seq data from brain tissues)</w:t>
      </w:r>
    </w:p>
    <w:p>
      <w:pPr>
        <w:pStyle w:val="ListParagraph"/>
        <w:numPr>
          <w:ilvl w:val="0"/>
          <w:numId w:val="2"/>
        </w:numPr>
        <w:spacing w:after="120" w:line="360"/>
      </w:pPr>
      <w:r>
        <w:t xml:space="preserve">Published PET/SPECT imaging data for target engagement in human CNS</w:t>
      </w:r>
    </w:p>
    <w:p>
      <w:pPr>
        <w:pStyle w:val="ListParagraph"/>
        <w:numPr>
          <w:ilvl w:val="0"/>
          <w:numId w:val="2"/>
        </w:numPr>
        <w:spacing w:after="120" w:line="360"/>
      </w:pPr>
      <w:r>
        <w:t xml:space="preserve">Biomarker databases linking target engagement to cognitive, motor, psychiatric outcomes</w:t>
      </w:r>
    </w:p>
    <w:p>
      <w:pPr>
        <w:pStyle w:val="ListParagraph"/>
        <w:numPr>
          <w:ilvl w:val="0"/>
          <w:numId w:val="2"/>
        </w:numPr>
        <w:spacing w:after="120" w:line="360"/>
      </w:pPr>
      <w:r>
        <w:t xml:space="preserve">Preclinical efficacy data from published animal models of CNS pathology</w:t>
      </w:r>
    </w:p>
    <w:p>
      <w:pPr>
        <w:spacing w:after="120" w:before="120"/>
      </w:pPr>
      <w:r>
        <w:rPr>
          <w:b/>
          <w:bCs/>
        </w:rPr>
        <w:t xml:space="preserve">Tools &amp; Databases Called:</w:t>
      </w:r>
    </w:p>
    <w:p>
      <w:pPr>
        <w:pStyle w:val="ListParagraph"/>
        <w:numPr>
          <w:ilvl w:val="0"/>
          <w:numId w:val="2"/>
        </w:numPr>
        <w:spacing w:after="120" w:line="360"/>
      </w:pPr>
      <w:r>
        <w:t xml:space="preserve">ADMET prediction tools (pkCSM, DeepChem, Pharmalogics BBB permeability models)</w:t>
      </w:r>
    </w:p>
    <w:p>
      <w:pPr>
        <w:pStyle w:val="ListParagraph"/>
        <w:numPr>
          <w:ilvl w:val="0"/>
          <w:numId w:val="2"/>
        </w:numPr>
        <w:spacing w:after="120" w:line="360"/>
      </w:pPr>
      <w:r>
        <w:t xml:space="preserve">Molecular docking and molecular dynamics simulations (Schrödinger Suite, GROMACS)</w:t>
      </w:r>
    </w:p>
    <w:p>
      <w:pPr>
        <w:pStyle w:val="ListParagraph"/>
        <w:numPr>
          <w:ilvl w:val="0"/>
          <w:numId w:val="2"/>
        </w:numPr>
        <w:spacing w:after="120" w:line="360"/>
      </w:pPr>
      <w:r>
        <w:t xml:space="preserve">Biomarker knowledge bases (DrugBank, PubChem, CTD—Comparative Toxicogenomics Database)</w:t>
      </w:r>
    </w:p>
    <w:p>
      <w:pPr>
        <w:pStyle w:val="ListParagraph"/>
        <w:numPr>
          <w:ilvl w:val="0"/>
          <w:numId w:val="2"/>
        </w:numPr>
        <w:spacing w:after="120" w:line="360"/>
      </w:pPr>
      <w:r>
        <w:t xml:space="preserve">Literature mining and named-entity recognition (NER) tools (SciBERT, BioBERT)</w:t>
      </w:r>
    </w:p>
    <w:p>
      <w:pPr>
        <w:pStyle w:val="ListParagraph"/>
        <w:numPr>
          <w:ilvl w:val="0"/>
          <w:numId w:val="2"/>
        </w:numPr>
        <w:spacing w:after="120" w:line="360"/>
      </w:pPr>
      <w:r>
        <w:t xml:space="preserve">Graph neural networks for pathway enrichment in CNS disease biology</w:t>
      </w:r>
    </w:p>
    <w:p>
      <w:pPr>
        <w:spacing w:after="120" w:before="120"/>
      </w:pPr>
      <w:r>
        <w:rPr>
          <w:b/>
          <w:bCs/>
        </w:rPr>
        <w:t xml:space="preserve">Exemplary Sub-Prompts:</w:t>
      </w:r>
    </w:p>
    <w:p>
      <w:pPr>
        <w:pStyle w:val="ListParagraph"/>
        <w:numPr>
          <w:ilvl w:val="0"/>
          <w:numId w:val="2"/>
        </w:numPr>
        <w:spacing w:after="120" w:line="360"/>
      </w:pPr>
      <w:r>
        <w:t xml:space="preserve">What is the evidence for blood-brain barrier penetration and CNS target engagement for Regeneron's candidate targets?</w:t>
      </w:r>
    </w:p>
    <w:p>
      <w:pPr>
        <w:pStyle w:val="ListParagraph"/>
        <w:numPr>
          <w:ilvl w:val="0"/>
          <w:numId w:val="2"/>
        </w:numPr>
        <w:spacing w:after="120" w:line="360"/>
      </w:pPr>
      <w:r>
        <w:t xml:space="preserve">Which Regeneron targets are expressed in CNS cell types relevant to pathophysiology (neurons vs. glia vs. endothelium)?</w:t>
      </w:r>
    </w:p>
    <w:p>
      <w:pPr>
        <w:pStyle w:val="ListParagraph"/>
        <w:numPr>
          <w:ilvl w:val="0"/>
          <w:numId w:val="2"/>
        </w:numPr>
        <w:spacing w:after="120" w:line="360"/>
      </w:pPr>
      <w:r>
        <w:t xml:space="preserve">Can target modulation in animal models drive biomarkers relevant to human disease indication pathways?</w:t>
      </w:r>
    </w:p>
    <w:p>
      <w:pPr>
        <w:pStyle w:val="ListParagraph"/>
        <w:numPr>
          <w:ilvl w:val="0"/>
          <w:numId w:val="2"/>
        </w:numPr>
        <w:spacing w:after="120" w:line="360"/>
      </w:pPr>
      <w:r>
        <w:t xml:space="preserve">What is the therapeutic window for target engagement—are there dose-limiting on-target toxicities in CNS tissues?</w:t>
      </w:r>
    </w:p>
    <w:p>
      <w:pPr>
        <w:pStyle w:val="ListParagraph"/>
        <w:numPr>
          <w:ilvl w:val="0"/>
          <w:numId w:val="2"/>
        </w:numPr>
        <w:spacing w:after="120" w:line="360"/>
      </w:pPr>
      <w:r>
        <w:t xml:space="preserve">Are there published data on humans with genetic loss-of-function variants in Regeneron target genes, and what are the phenotypes?</w:t>
      </w:r>
    </w:p>
    <w:p>
      <w:pPr>
        <w:spacing w:after="120" w:before="120"/>
      </w:pPr>
      <w:r>
        <w:rPr>
          <w:b/>
          <w:bCs/>
        </w:rPr>
        <w:t xml:space="preserve">Expected Outputs:</w:t>
      </w:r>
    </w:p>
    <w:p>
      <w:pPr>
        <w:pStyle w:val="ListParagraph"/>
        <w:numPr>
          <w:ilvl w:val="0"/>
          <w:numId w:val="2"/>
        </w:numPr>
        <w:spacing w:after="120" w:line="360"/>
      </w:pPr>
      <w:r>
        <w:t xml:space="preserve">CNS tractability scores integrating blood-brain barrier penetration likelihood, target tissue distribution, and biomarker validation</w:t>
      </w:r>
    </w:p>
    <w:p>
      <w:pPr>
        <w:pStyle w:val="ListParagraph"/>
        <w:numPr>
          <w:ilvl w:val="0"/>
          <w:numId w:val="2"/>
        </w:numPr>
        <w:spacing w:after="120" w:line="360"/>
      </w:pPr>
      <w:r>
        <w:t xml:space="preserve">Ranked target list ordered by intrinsic CNS suitability independent of antibody-specific considerations</w:t>
      </w:r>
    </w:p>
    <w:p>
      <w:pPr>
        <w:pStyle w:val="ListParagraph"/>
        <w:numPr>
          <w:ilvl w:val="0"/>
          <w:numId w:val="2"/>
        </w:numPr>
        <w:spacing w:after="120" w:line="360"/>
      </w:pPr>
      <w:r>
        <w:t xml:space="preserve">Cell-type specificity analysis showing whether targets are expressed in disease-relevant CNS populations</w:t>
      </w:r>
    </w:p>
    <w:p>
      <w:pPr>
        <w:pStyle w:val="ListParagraph"/>
        <w:numPr>
          <w:ilvl w:val="0"/>
          <w:numId w:val="2"/>
        </w:numPr>
        <w:spacing w:after="120" w:line="360"/>
      </w:pPr>
      <w:r>
        <w:t xml:space="preserve">Therapeutic window assessment identifying safe doses and on-target toxicity risk</w:t>
      </w:r>
    </w:p>
    <w:p>
      <w:pPr>
        <w:pStyle w:val="ListParagraph"/>
        <w:numPr>
          <w:ilvl w:val="0"/>
          <w:numId w:val="2"/>
        </w:numPr>
        <w:spacing w:after="120" w:line="360"/>
      </w:pPr>
      <w:r>
        <w:t xml:space="preserve">Literature-derived efficacy benchmarks from genetic models and pharmacological target inhibition studies</w:t>
      </w:r>
    </w:p>
    <w:p>
      <w:pPr>
        <w:spacing w:after="240" w:line="360"/>
      </w:pPr>
      <w:r>
        <w:rPr>
          <w:b/>
          <w:bCs/>
        </w:rPr>
        <w:t xml:space="preserve">Format: </w:t>
      </w:r>
      <w:r>
        <w:t xml:space="preserve">All outputs are generated in machine-readable JSON schema format with nested hierarchies for target properties, scoring rationale, data provenance, and confidence metadata. Visualization outputs include interactive Tableau dashboards for competitive positioning and MCDA ranking scenarios. Clinical trial data and competitive intelligence are delivered in structured CSV and Excel formats compatible with Regeneron's internal analytics platforms. Briefing documents are formatted as professional PowerPoint presentations suitable for executive stakeholder review and strategic decision-making forums.</w:t>
      </w:r>
    </w:p>
    <w:p>
      <w:pPr>
        <w:pStyle w:val="Heading2"/>
        <w:spacing w:after="200" w:before="200"/>
      </w:pPr>
      <w:r>
        <w:t xml:space="preserve">Stage 4: Antibody Developability Prediction</w:t>
      </w:r>
    </w:p>
    <w:p>
      <w:pPr>
        <w:spacing w:after="240" w:line="360"/>
      </w:pPr>
      <w:r>
        <w:rPr>
          <w:b/>
          <w:bCs/>
        </w:rPr>
        <w:t xml:space="preserve">Purpose: </w:t>
      </w:r>
      <w:r>
        <w:t xml:space="preserve">The purpose of this stage is to predict antibody developability for high-priority targets using in silico modeling of antibody-antigen binding specificity, predicted off-target binding, manufacturability constraints, and immunogenicity risk factors specific to monoclonal antibody therapies.</w:t>
      </w:r>
    </w:p>
    <w:p>
      <w:pPr>
        <w:spacing w:after="120"/>
      </w:pPr>
      <w:r>
        <w:rPr>
          <w:b/>
          <w:bCs/>
        </w:rPr>
        <w:t xml:space="preserve">Inputs:</w:t>
      </w:r>
    </w:p>
    <w:p>
      <w:pPr>
        <w:pStyle w:val="ListParagraph"/>
        <w:numPr>
          <w:ilvl w:val="0"/>
          <w:numId w:val="2"/>
        </w:numPr>
        <w:spacing w:after="120" w:line="360"/>
      </w:pPr>
      <w:r>
        <w:t xml:space="preserve">Antibody variable domain sequence databases (AbDb, SABDAB, Regeneron proprietary sequences)</w:t>
      </w:r>
    </w:p>
    <w:p>
      <w:pPr>
        <w:pStyle w:val="ListParagraph"/>
        <w:numPr>
          <w:ilvl w:val="0"/>
          <w:numId w:val="2"/>
        </w:numPr>
        <w:spacing w:after="120" w:line="360"/>
      </w:pPr>
      <w:r>
        <w:t xml:space="preserve">In vitro antibody binding kinetics (Kd, Kon, Koff) for Regeneron programs targeting similar epitopes</w:t>
      </w:r>
    </w:p>
    <w:p>
      <w:pPr>
        <w:pStyle w:val="ListParagraph"/>
        <w:numPr>
          <w:ilvl w:val="0"/>
          <w:numId w:val="2"/>
        </w:numPr>
        <w:spacing w:after="120" w:line="360"/>
      </w:pPr>
      <w:r>
        <w:t xml:space="preserve">Predicted immunogenicity flags and MHC-peptide binding assessments</w:t>
      </w:r>
    </w:p>
    <w:p>
      <w:pPr>
        <w:pStyle w:val="ListParagraph"/>
        <w:numPr>
          <w:ilvl w:val="0"/>
          <w:numId w:val="2"/>
        </w:numPr>
        <w:spacing w:after="120" w:line="360"/>
      </w:pPr>
      <w:r>
        <w:t xml:space="preserve">Manufacturability constraints for antibody formats (IgG, IgM, bispecific, ADC)</w:t>
      </w:r>
    </w:p>
    <w:p>
      <w:pPr>
        <w:pStyle w:val="ListParagraph"/>
        <w:numPr>
          <w:ilvl w:val="0"/>
          <w:numId w:val="2"/>
        </w:numPr>
        <w:spacing w:after="120" w:line="360"/>
      </w:pPr>
      <w:r>
        <w:t xml:space="preserve">Solubility and stability data for structurally similar monoclonal antibodies</w:t>
      </w:r>
    </w:p>
    <w:p>
      <w:pPr>
        <w:spacing w:after="120" w:before="120"/>
      </w:pPr>
      <w:r>
        <w:rPr>
          <w:b/>
          <w:bCs/>
        </w:rPr>
        <w:t xml:space="preserve">Tools &amp; Databases Called:</w:t>
      </w:r>
    </w:p>
    <w:p>
      <w:pPr>
        <w:pStyle w:val="ListParagraph"/>
        <w:numPr>
          <w:ilvl w:val="0"/>
          <w:numId w:val="2"/>
        </w:numPr>
        <w:spacing w:after="120" w:line="360"/>
      </w:pPr>
      <w:r>
        <w:t xml:space="preserve">SABDAB and AbDb for benchmark antibody-antigen complexes and binding kinetics</w:t>
      </w:r>
    </w:p>
    <w:p>
      <w:pPr>
        <w:pStyle w:val="ListParagraph"/>
        <w:numPr>
          <w:ilvl w:val="0"/>
          <w:numId w:val="2"/>
        </w:numPr>
        <w:spacing w:after="120" w:line="360"/>
      </w:pPr>
      <w:r>
        <w:t xml:space="preserve">Rosetta design scripts for antibody-antigen interface optimization</w:t>
      </w:r>
    </w:p>
    <w:p>
      <w:pPr>
        <w:pStyle w:val="ListParagraph"/>
        <w:numPr>
          <w:ilvl w:val="0"/>
          <w:numId w:val="2"/>
        </w:numPr>
        <w:spacing w:after="120" w:line="360"/>
      </w:pPr>
      <w:r>
        <w:t xml:space="preserve">ScanNet/MHCflurry for immunogenicity prediction across HLA alleles</w:t>
      </w:r>
    </w:p>
    <w:p>
      <w:pPr>
        <w:pStyle w:val="ListParagraph"/>
        <w:numPr>
          <w:ilvl w:val="0"/>
          <w:numId w:val="2"/>
        </w:numPr>
        <w:spacing w:after="120" w:line="360"/>
      </w:pPr>
      <w:r>
        <w:t xml:space="preserve">In silico manufacturability assessment tools (biophysical simulations, protein aggregation prediction)</w:t>
      </w:r>
    </w:p>
    <w:p>
      <w:pPr>
        <w:pStyle w:val="ListParagraph"/>
        <w:numPr>
          <w:ilvl w:val="0"/>
          <w:numId w:val="2"/>
        </w:numPr>
        <w:spacing w:after="120" w:line="360"/>
      </w:pPr>
      <w:r>
        <w:t xml:space="preserve">PyRosetta for antibody humanization and optimization workflows</w:t>
      </w:r>
    </w:p>
    <w:p>
      <w:pPr>
        <w:spacing w:after="120" w:before="120"/>
      </w:pPr>
      <w:r>
        <w:rPr>
          <w:b/>
          <w:bCs/>
        </w:rPr>
        <w:t xml:space="preserve">Exemplary Sub-Prompts:</w:t>
      </w:r>
    </w:p>
    <w:p>
      <w:pPr>
        <w:pStyle w:val="ListParagraph"/>
        <w:numPr>
          <w:ilvl w:val="0"/>
          <w:numId w:val="2"/>
        </w:numPr>
        <w:spacing w:after="120" w:line="360"/>
      </w:pPr>
      <w:r>
        <w:t xml:space="preserve">What is the predicted antibody binding affinity, specificity, and off-target profile for Regeneron's candidate CNS targets?</w:t>
      </w:r>
    </w:p>
    <w:p>
      <w:pPr>
        <w:pStyle w:val="ListParagraph"/>
        <w:numPr>
          <w:ilvl w:val="0"/>
          <w:numId w:val="2"/>
        </w:numPr>
        <w:spacing w:after="120" w:line="360"/>
      </w:pPr>
      <w:r>
        <w:t xml:space="preserve">Can high-affinity monoclonal antibodies be engineered to recognize conformational or cryptic epitopes on these targets?</w:t>
      </w:r>
    </w:p>
    <w:p>
      <w:pPr>
        <w:pStyle w:val="ListParagraph"/>
        <w:numPr>
          <w:ilvl w:val="0"/>
          <w:numId w:val="2"/>
        </w:numPr>
        <w:spacing w:after="120" w:line="360"/>
      </w:pPr>
      <w:r>
        <w:t xml:space="preserve">What antibody formats (IgG1 vs. IgG4, Fc-silent, bispecific) are optimal for each target from a mechanism-of-action perspective?</w:t>
      </w:r>
    </w:p>
    <w:p>
      <w:pPr>
        <w:pStyle w:val="ListParagraph"/>
        <w:numPr>
          <w:ilvl w:val="0"/>
          <w:numId w:val="2"/>
        </w:numPr>
        <w:spacing w:after="120" w:line="360"/>
      </w:pPr>
      <w:r>
        <w:t xml:space="preserve">Are there manufacturing constraints (expression yields, purification complexity, aggregation propensity) that would increase development costs?</w:t>
      </w:r>
    </w:p>
    <w:p>
      <w:pPr>
        <w:pStyle w:val="ListParagraph"/>
        <w:numPr>
          <w:ilvl w:val="0"/>
          <w:numId w:val="2"/>
        </w:numPr>
        <w:spacing w:after="120" w:line="360"/>
      </w:pPr>
      <w:r>
        <w:t xml:space="preserve">What is the predicted immunogenicity risk based on sequence homology, presence of MHC epitopes, and cross-reactivity potential?</w:t>
      </w:r>
    </w:p>
    <w:p>
      <w:pPr>
        <w:spacing w:after="120" w:before="120"/>
      </w:pPr>
      <w:r>
        <w:rPr>
          <w:b/>
          <w:bCs/>
        </w:rPr>
        <w:t xml:space="preserve">Expected Outputs:</w:t>
      </w:r>
    </w:p>
    <w:p>
      <w:pPr>
        <w:pStyle w:val="ListParagraph"/>
        <w:numPr>
          <w:ilvl w:val="0"/>
          <w:numId w:val="2"/>
        </w:numPr>
        <w:spacing w:after="120" w:line="360"/>
      </w:pPr>
      <w:r>
        <w:t xml:space="preserve">Antibody binding kinetics predictions (Kd, Koff) for each target with confidence intervals</w:t>
      </w:r>
    </w:p>
    <w:p>
      <w:pPr>
        <w:pStyle w:val="ListParagraph"/>
        <w:numPr>
          <w:ilvl w:val="0"/>
          <w:numId w:val="2"/>
        </w:numPr>
        <w:spacing w:after="120" w:line="360"/>
      </w:pPr>
      <w:r>
        <w:t xml:space="preserve">Manufacturability feasibility index for each target based on predicted expression yields, solubility, and stability</w:t>
      </w:r>
    </w:p>
    <w:p>
      <w:pPr>
        <w:pStyle w:val="ListParagraph"/>
        <w:numPr>
          <w:ilvl w:val="0"/>
          <w:numId w:val="2"/>
        </w:numPr>
        <w:spacing w:after="120" w:line="360"/>
      </w:pPr>
      <w:r>
        <w:t xml:space="preserve">Immunogenicity risk stratification (low/medium/high) for each target with predicted epitope-HLA binding</w:t>
      </w:r>
    </w:p>
    <w:p>
      <w:pPr>
        <w:pStyle w:val="ListParagraph"/>
        <w:numPr>
          <w:ilvl w:val="0"/>
          <w:numId w:val="2"/>
        </w:numPr>
        <w:spacing w:after="120" w:line="360"/>
      </w:pPr>
      <w:r>
        <w:t xml:space="preserve">Recommended antibody formats (IgG1, IgG4, Fc-silent, bispecific, ADC) with functional justification</w:t>
      </w:r>
    </w:p>
    <w:p>
      <w:pPr>
        <w:pStyle w:val="ListParagraph"/>
        <w:numPr>
          <w:ilvl w:val="0"/>
          <w:numId w:val="2"/>
        </w:numPr>
        <w:spacing w:after="120" w:line="360"/>
      </w:pPr>
      <w:r>
        <w:t xml:space="preserve">Predicted off-target binding risk assessment for each candidate target</w:t>
      </w:r>
    </w:p>
    <w:p>
      <w:pPr>
        <w:spacing w:after="240" w:line="360"/>
      </w:pPr>
      <w:r>
        <w:rPr>
          <w:b/>
          <w:bCs/>
        </w:rPr>
        <w:t xml:space="preserve">Format: </w:t>
      </w:r>
      <w:r>
        <w:t xml:space="preserve">All outputs are generated in machine-readable JSON schema format with nested hierarchies for target properties, scoring rationale, data provenance, and confidence metadata. Visualization outputs include interactive Tableau dashboards for competitive positioning and MCDA ranking scenarios. Clinical trial data and competitive intelligence are delivered in structured CSV and Excel formats compatible with Regeneron's internal analytics platforms. Briefing documents are formatted as professional PowerPoint presentations suitable for executive stakeholder review and strategic decision-making forums.</w:t>
      </w:r>
    </w:p>
    <w:p>
      <w:pPr>
        <w:pStyle w:val="Heading2"/>
        <w:spacing w:after="200" w:before="200"/>
      </w:pPr>
      <w:r>
        <w:t xml:space="preserve">Stage 5: Competitive Landscape Analysis</w:t>
      </w:r>
    </w:p>
    <w:p>
      <w:pPr>
        <w:spacing w:after="240" w:line="360"/>
      </w:pPr>
      <w:r>
        <w:rPr>
          <w:b/>
          <w:bCs/>
        </w:rPr>
        <w:t xml:space="preserve">Purpose: </w:t>
      </w:r>
      <w:r>
        <w:t xml:space="preserve">The purpose of this stage is to systematically evaluate the competitive antibody landscape by identifying clinical-stage and marketed antibody programs against CNS targets, characterizing competitive advantages (epitope novelty, functional selectivity), and assessing white space opportunities where Regeneron could establish differentiated programs.</w:t>
      </w:r>
    </w:p>
    <w:p>
      <w:pPr>
        <w:spacing w:after="120"/>
      </w:pPr>
      <w:r>
        <w:rPr>
          <w:b/>
          <w:bCs/>
        </w:rPr>
        <w:t xml:space="preserve">Inputs:</w:t>
      </w:r>
    </w:p>
    <w:p>
      <w:pPr>
        <w:pStyle w:val="ListParagraph"/>
        <w:numPr>
          <w:ilvl w:val="0"/>
          <w:numId w:val="2"/>
        </w:numPr>
        <w:spacing w:after="120" w:line="360"/>
      </w:pPr>
      <w:r>
        <w:t xml:space="preserve">ClincalTrials.gov data for all CNS antibody programs in active development</w:t>
      </w:r>
    </w:p>
    <w:p>
      <w:pPr>
        <w:pStyle w:val="ListParagraph"/>
        <w:numPr>
          <w:ilvl w:val="0"/>
          <w:numId w:val="2"/>
        </w:numPr>
        <w:spacing w:after="120" w:line="360"/>
      </w:pPr>
      <w:r>
        <w:t xml:space="preserve">Competitor program intelligence databases (Cortellis, GlobalData, Tufts Center for the Study of Drug Development)</w:t>
      </w:r>
    </w:p>
    <w:p>
      <w:pPr>
        <w:pStyle w:val="ListParagraph"/>
        <w:numPr>
          <w:ilvl w:val="0"/>
          <w:numId w:val="2"/>
        </w:numPr>
        <w:spacing w:after="120" w:line="360"/>
      </w:pPr>
      <w:r>
        <w:t xml:space="preserve">Published patent applications from competitors targeting the same CNS proteins</w:t>
      </w:r>
    </w:p>
    <w:p>
      <w:pPr>
        <w:pStyle w:val="ListParagraph"/>
        <w:numPr>
          <w:ilvl w:val="0"/>
          <w:numId w:val="2"/>
        </w:numPr>
        <w:spacing w:after="120" w:line="360"/>
      </w:pPr>
      <w:r>
        <w:t xml:space="preserve">Antibody benchmarking reports (BD Biosciences market analysis, BiotechGerm competitive intelligence)</w:t>
      </w:r>
    </w:p>
    <w:p>
      <w:pPr>
        <w:pStyle w:val="ListParagraph"/>
        <w:numPr>
          <w:ilvl w:val="0"/>
          <w:numId w:val="2"/>
        </w:numPr>
        <w:spacing w:after="120" w:line="360"/>
      </w:pPr>
      <w:r>
        <w:t xml:space="preserve">Lay press and investor presentations disclosing competitor antibody CNS strategies</w:t>
      </w:r>
    </w:p>
    <w:p>
      <w:pPr>
        <w:spacing w:after="120" w:before="120"/>
      </w:pPr>
      <w:r>
        <w:rPr>
          <w:b/>
          <w:bCs/>
        </w:rPr>
        <w:t xml:space="preserve">Tools &amp; Databases Called:</w:t>
      </w:r>
    </w:p>
    <w:p>
      <w:pPr>
        <w:pStyle w:val="ListParagraph"/>
        <w:numPr>
          <w:ilvl w:val="0"/>
          <w:numId w:val="2"/>
        </w:numPr>
        <w:spacing w:after="120" w:line="360"/>
      </w:pPr>
      <w:r>
        <w:t xml:space="preserve">ClinicalTrials.gov API for real-time trial enrollment and status tracking</w:t>
      </w:r>
    </w:p>
    <w:p>
      <w:pPr>
        <w:pStyle w:val="ListParagraph"/>
        <w:numPr>
          <w:ilvl w:val="0"/>
          <w:numId w:val="2"/>
        </w:numPr>
        <w:spacing w:after="120" w:line="360"/>
      </w:pPr>
      <w:r>
        <w:t xml:space="preserve">Cortellis/Clarivate competitive intelligence database queries</w:t>
      </w:r>
    </w:p>
    <w:p>
      <w:pPr>
        <w:pStyle w:val="ListParagraph"/>
        <w:numPr>
          <w:ilvl w:val="0"/>
          <w:numId w:val="2"/>
        </w:numPr>
        <w:spacing w:after="120" w:line="360"/>
      </w:pPr>
      <w:r>
        <w:t xml:space="preserve">Patent landscape analysis tools (Derwent Innovation, LexisNexis PatentAdvisor)</w:t>
      </w:r>
    </w:p>
    <w:p>
      <w:pPr>
        <w:pStyle w:val="ListParagraph"/>
        <w:numPr>
          <w:ilvl w:val="0"/>
          <w:numId w:val="2"/>
        </w:numPr>
        <w:spacing w:after="120" w:line="360"/>
      </w:pPr>
      <w:r>
        <w:t xml:space="preserve">Thomson Reuters Eikon for competitive program intelligence and financial metrics</w:t>
      </w:r>
    </w:p>
    <w:p>
      <w:pPr>
        <w:pStyle w:val="ListParagraph"/>
        <w:numPr>
          <w:ilvl w:val="0"/>
          <w:numId w:val="2"/>
        </w:numPr>
        <w:spacing w:after="120" w:line="360"/>
      </w:pPr>
      <w:r>
        <w:t xml:space="preserve">VantagePoint AI for emergence detection in competitor R&amp;D trajectories</w:t>
      </w:r>
    </w:p>
    <w:p>
      <w:pPr>
        <w:spacing w:after="120" w:before="120"/>
      </w:pPr>
      <w:r>
        <w:rPr>
          <w:b/>
          <w:bCs/>
        </w:rPr>
        <w:t xml:space="preserve">Exemplary Sub-Prompts:</w:t>
      </w:r>
    </w:p>
    <w:p>
      <w:pPr>
        <w:pStyle w:val="ListParagraph"/>
        <w:numPr>
          <w:ilvl w:val="0"/>
          <w:numId w:val="2"/>
        </w:numPr>
        <w:spacing w:after="120" w:line="360"/>
      </w:pPr>
      <w:r>
        <w:t xml:space="preserve">Which competitors have antibodies in clinical trials against Regeneron's candidate extracellular CNS targets?</w:t>
      </w:r>
    </w:p>
    <w:p>
      <w:pPr>
        <w:pStyle w:val="ListParagraph"/>
        <w:numPr>
          <w:ilvl w:val="0"/>
          <w:numId w:val="2"/>
        </w:numPr>
        <w:spacing w:after="120" w:line="360"/>
      </w:pPr>
      <w:r>
        <w:t xml:space="preserve">What are the clinical efficacy, safety, and tolerability results (published or disclosed) for competitive antibody programs?</w:t>
      </w:r>
    </w:p>
    <w:p>
      <w:pPr>
        <w:pStyle w:val="ListParagraph"/>
        <w:numPr>
          <w:ilvl w:val="0"/>
          <w:numId w:val="2"/>
        </w:numPr>
        <w:spacing w:after="120" w:line="360"/>
      </w:pPr>
      <w:r>
        <w:t xml:space="preserve">Are there any antibody programs discontinued by competitors due to efficacy failures or safety issues?</w:t>
      </w:r>
    </w:p>
    <w:p>
      <w:pPr>
        <w:pStyle w:val="ListParagraph"/>
        <w:numPr>
          <w:ilvl w:val="0"/>
          <w:numId w:val="2"/>
        </w:numPr>
        <w:spacing w:after="120" w:line="360"/>
      </w:pPr>
      <w:r>
        <w:t xml:space="preserve">Which targets have no competitive antibody programs, creating blue ocean opportunities for Regeneron?</w:t>
      </w:r>
    </w:p>
    <w:p>
      <w:pPr>
        <w:pStyle w:val="ListParagraph"/>
        <w:numPr>
          <w:ilvl w:val="0"/>
          <w:numId w:val="2"/>
        </w:numPr>
        <w:spacing w:after="120" w:line="360"/>
      </w:pPr>
      <w:r>
        <w:t xml:space="preserve">What novel epitope classes or functional selectivity advantages could Regeneron's antibodies achieve over competitors?</w:t>
      </w:r>
    </w:p>
    <w:p>
      <w:pPr>
        <w:spacing w:after="120" w:before="120"/>
      </w:pPr>
      <w:r>
        <w:rPr>
          <w:b/>
          <w:bCs/>
        </w:rPr>
        <w:t xml:space="preserve">Expected Outputs:</w:t>
      </w:r>
    </w:p>
    <w:p>
      <w:pPr>
        <w:pStyle w:val="ListParagraph"/>
        <w:numPr>
          <w:ilvl w:val="0"/>
          <w:numId w:val="2"/>
        </w:numPr>
        <w:spacing w:after="120" w:line="360"/>
      </w:pPr>
      <w:r>
        <w:t xml:space="preserve">Competitive program matrix showing all known clinical-stage and marketed antibodies against Regeneron candidate targets</w:t>
      </w:r>
    </w:p>
    <w:p>
      <w:pPr>
        <w:pStyle w:val="ListParagraph"/>
        <w:numPr>
          <w:ilvl w:val="0"/>
          <w:numId w:val="2"/>
        </w:numPr>
        <w:spacing w:after="120" w:line="360"/>
      </w:pPr>
      <w:r>
        <w:t xml:space="preserve">Efficacy and safety data extraction from published clinical trials of competitive antibody programs</w:t>
      </w:r>
    </w:p>
    <w:p>
      <w:pPr>
        <w:pStyle w:val="ListParagraph"/>
        <w:numPr>
          <w:ilvl w:val="0"/>
          <w:numId w:val="2"/>
        </w:numPr>
        <w:spacing w:after="120" w:line="360"/>
      </w:pPr>
      <w:r>
        <w:t xml:space="preserve">Patent freedom-to-operate assessment for each recommended target indicating potential blocking patents from competitors</w:t>
      </w:r>
    </w:p>
    <w:p>
      <w:pPr>
        <w:pStyle w:val="ListParagraph"/>
        <w:numPr>
          <w:ilvl w:val="0"/>
          <w:numId w:val="2"/>
        </w:numPr>
        <w:spacing w:after="120" w:line="360"/>
      </w:pPr>
      <w:r>
        <w:t xml:space="preserve">Identified epitope white space where Regeneron could develop antibodies with novel functional selectivity</w:t>
      </w:r>
    </w:p>
    <w:p>
      <w:pPr>
        <w:pStyle w:val="ListParagraph"/>
        <w:numPr>
          <w:ilvl w:val="0"/>
          <w:numId w:val="2"/>
        </w:numPr>
        <w:spacing w:after="120" w:line="360"/>
      </w:pPr>
      <w:r>
        <w:t xml:space="preserve">Discontinued program analysis with mechanistic hypotheses for why competitors deprioritized certain targets</w:t>
      </w:r>
    </w:p>
    <w:p>
      <w:pPr>
        <w:spacing w:after="240" w:line="360"/>
      </w:pPr>
      <w:r>
        <w:rPr>
          <w:b/>
          <w:bCs/>
        </w:rPr>
        <w:t xml:space="preserve">Format: </w:t>
      </w:r>
      <w:r>
        <w:t xml:space="preserve">All outputs are generated in machine-readable JSON schema format with nested hierarchies for target properties, scoring rationale, data provenance, and confidence metadata. Visualization outputs include interactive Tableau dashboards for competitive positioning and MCDA ranking scenarios. Clinical trial data and competitive intelligence are delivered in structured CSV and Excel formats compatible with Regeneron's internal analytics platforms. Briefing documents are formatted as professional PowerPoint presentations suitable for executive stakeholder review and strategic decision-making forums.</w:t>
      </w:r>
    </w:p>
    <w:p>
      <w:pPr>
        <w:pStyle w:val="Heading2"/>
        <w:spacing w:after="200" w:before="200"/>
      </w:pPr>
      <w:r>
        <w:t xml:space="preserve">Stage 6: Recommendation Synthesis</w:t>
      </w:r>
    </w:p>
    <w:p>
      <w:pPr>
        <w:spacing w:after="240" w:line="360"/>
      </w:pPr>
      <w:r>
        <w:rPr>
          <w:b/>
          <w:bCs/>
        </w:rPr>
        <w:t xml:space="preserve">Purpose: </w:t>
      </w:r>
      <w:r>
        <w:t xml:space="preserve">The purpose of this stage is to synthesize all preceding analyses into a final ranked recommendation set of extracellular CNS targets that maximize strategic fit with Regeneron's antibody-first platform, technical feasibility, and commercial opportunity</w:t>
      </w:r>
    </w:p>
    <w:p>
      <w:pPr>
        <w:spacing w:after="120"/>
      </w:pPr>
      <w:r>
        <w:rPr>
          <w:b/>
          <w:bCs/>
        </w:rPr>
        <w:t xml:space="preserve">Inputs:</w:t>
      </w:r>
    </w:p>
    <w:p>
      <w:pPr>
        <w:pStyle w:val="ListParagraph"/>
        <w:numPr>
          <w:ilvl w:val="0"/>
          <w:numId w:val="2"/>
        </w:numPr>
        <w:spacing w:after="120" w:line="360"/>
      </w:pPr>
      <w:r>
        <w:t xml:space="preserve">Integrated scoring matrices from all preceding stages (target portfolio, topology, CNS tractability, antibody developability, competitive positioning)</w:t>
      </w:r>
    </w:p>
    <w:p>
      <w:pPr>
        <w:pStyle w:val="ListParagraph"/>
        <w:numPr>
          <w:ilvl w:val="0"/>
          <w:numId w:val="2"/>
        </w:numPr>
        <w:spacing w:after="120" w:line="360"/>
      </w:pPr>
      <w:r>
        <w:t xml:space="preserve">Multi-criteria decision analysis (MCDA) weights reflecting Regeneron strategic priorities</w:t>
      </w:r>
    </w:p>
    <w:p>
      <w:pPr>
        <w:pStyle w:val="ListParagraph"/>
        <w:numPr>
          <w:ilvl w:val="0"/>
          <w:numId w:val="2"/>
        </w:numPr>
        <w:spacing w:after="120" w:line="360"/>
      </w:pPr>
      <w:r>
        <w:t xml:space="preserve">Validation datasets from successful Regeneron CNS antibody launches (if available)</w:t>
      </w:r>
    </w:p>
    <w:p>
      <w:pPr>
        <w:pStyle w:val="ListParagraph"/>
        <w:numPr>
          <w:ilvl w:val="0"/>
          <w:numId w:val="2"/>
        </w:numPr>
        <w:spacing w:after="120" w:line="360"/>
      </w:pPr>
      <w:r>
        <w:t xml:space="preserve">Scientific advisory board feedback and expert opinion on target biological relevance</w:t>
      </w:r>
    </w:p>
    <w:p>
      <w:pPr>
        <w:pStyle w:val="ListParagraph"/>
        <w:numPr>
          <w:ilvl w:val="0"/>
          <w:numId w:val="2"/>
        </w:numPr>
        <w:spacing w:after="120" w:line="360"/>
      </w:pPr>
      <w:r>
        <w:t xml:space="preserve">Financial modeling of market size and net present value (NPV) for top-ranked targets</w:t>
      </w:r>
    </w:p>
    <w:p>
      <w:pPr>
        <w:spacing w:after="120" w:before="120"/>
      </w:pPr>
      <w:r>
        <w:rPr>
          <w:b/>
          <w:bCs/>
        </w:rPr>
        <w:t xml:space="preserve">Tools &amp; Databases Called:</w:t>
      </w:r>
    </w:p>
    <w:p>
      <w:pPr>
        <w:pStyle w:val="ListParagraph"/>
        <w:numPr>
          <w:ilvl w:val="0"/>
          <w:numId w:val="2"/>
        </w:numPr>
        <w:spacing w:after="120" w:line="360"/>
      </w:pPr>
      <w:r>
        <w:t xml:space="preserve">Multi-criteria decision analysis software (1000Minds MCDA, Hiview3)</w:t>
      </w:r>
    </w:p>
    <w:p>
      <w:pPr>
        <w:pStyle w:val="ListParagraph"/>
        <w:numPr>
          <w:ilvl w:val="0"/>
          <w:numId w:val="2"/>
        </w:numPr>
        <w:spacing w:after="120" w:line="360"/>
      </w:pPr>
      <w:r>
        <w:t xml:space="preserve">Tableau or Power BI for interactive visualization of ranking results</w:t>
      </w:r>
    </w:p>
    <w:p>
      <w:pPr>
        <w:pStyle w:val="ListParagraph"/>
        <w:numPr>
          <w:ilvl w:val="0"/>
          <w:numId w:val="2"/>
        </w:numPr>
        <w:spacing w:after="120" w:line="360"/>
      </w:pPr>
      <w:r>
        <w:t xml:space="preserve">Survival analysis and Kaplan-Meier estimators for clinical outcome prediction</w:t>
      </w:r>
    </w:p>
    <w:p>
      <w:pPr>
        <w:pStyle w:val="ListParagraph"/>
        <w:numPr>
          <w:ilvl w:val="0"/>
          <w:numId w:val="2"/>
        </w:numPr>
        <w:spacing w:after="120" w:line="360"/>
      </w:pPr>
      <w:r>
        <w:t xml:space="preserve">Net present value (NPV) calculation engines integrated with corporate financial models</w:t>
      </w:r>
    </w:p>
    <w:p>
      <w:pPr>
        <w:pStyle w:val="ListParagraph"/>
        <w:numPr>
          <w:ilvl w:val="0"/>
          <w:numId w:val="2"/>
        </w:numPr>
        <w:spacing w:after="120" w:line="360"/>
      </w:pPr>
      <w:r>
        <w:t xml:space="preserve">Expert elicitation software (Lightcast, Delphi methodology platforms)</w:t>
      </w:r>
    </w:p>
    <w:p>
      <w:pPr>
        <w:spacing w:after="120" w:before="120"/>
      </w:pPr>
      <w:r>
        <w:rPr>
          <w:b/>
          <w:bCs/>
        </w:rPr>
        <w:t xml:space="preserve">Exemplary Sub-Prompts:</w:t>
      </w:r>
    </w:p>
    <w:p>
      <w:pPr>
        <w:pStyle w:val="ListParagraph"/>
        <w:numPr>
          <w:ilvl w:val="0"/>
          <w:numId w:val="2"/>
        </w:numPr>
        <w:spacing w:after="120" w:line="360"/>
      </w:pPr>
      <w:r>
        <w:t xml:space="preserve">Based on all preceding analyses, which five to ten targets maximize the intersection of scientific merit, technical feasibility, and strategic fit for Regeneron?</w:t>
      </w:r>
    </w:p>
    <w:p>
      <w:pPr>
        <w:pStyle w:val="ListParagraph"/>
        <w:numPr>
          <w:ilvl w:val="0"/>
          <w:numId w:val="2"/>
        </w:numPr>
        <w:spacing w:after="120" w:line="360"/>
      </w:pPr>
      <w:r>
        <w:t xml:space="preserve">For each recommended target, what is the predicted probability of clinical success based on precedent programs?</w:t>
      </w:r>
    </w:p>
    <w:p>
      <w:pPr>
        <w:pStyle w:val="ListParagraph"/>
        <w:numPr>
          <w:ilvl w:val="0"/>
          <w:numId w:val="2"/>
        </w:numPr>
        <w:spacing w:after="120" w:line="360"/>
      </w:pPr>
      <w:r>
        <w:t xml:space="preserve">What is the estimated market opportunity (peak sales, patient population, pricing) for each recommended target indication?</w:t>
      </w:r>
    </w:p>
    <w:p>
      <w:pPr>
        <w:pStyle w:val="ListParagraph"/>
        <w:numPr>
          <w:ilvl w:val="0"/>
          <w:numId w:val="2"/>
        </w:numPr>
        <w:spacing w:after="120" w:line="360"/>
      </w:pPr>
      <w:r>
        <w:t xml:space="preserve">Which recommended targets should be prioritized into internal Regeneron R&amp;D programs versus out-licensed or partnered?</w:t>
      </w:r>
    </w:p>
    <w:p>
      <w:pPr>
        <w:pStyle w:val="ListParagraph"/>
        <w:numPr>
          <w:ilvl w:val="0"/>
          <w:numId w:val="2"/>
        </w:numPr>
        <w:spacing w:after="120" w:line="360"/>
      </w:pPr>
      <w:r>
        <w:t xml:space="preserve">What are the key technical and regulatory de-risking activities required before committing to clinical development for each target?</w:t>
      </w:r>
    </w:p>
    <w:p>
      <w:pPr>
        <w:spacing w:after="120" w:before="120"/>
      </w:pPr>
      <w:r>
        <w:rPr>
          <w:b/>
          <w:bCs/>
        </w:rPr>
        <w:t xml:space="preserve">Expected Outputs:</w:t>
      </w:r>
    </w:p>
    <w:p>
      <w:pPr>
        <w:pStyle w:val="ListParagraph"/>
        <w:numPr>
          <w:ilvl w:val="0"/>
          <w:numId w:val="2"/>
        </w:numPr>
        <w:spacing w:after="120" w:line="360"/>
      </w:pPr>
      <w:r>
        <w:t xml:space="preserve">Ranked priority list of 5-10 extracellular CNS targets with composite scoring and strategic justification</w:t>
      </w:r>
    </w:p>
    <w:p>
      <w:pPr>
        <w:pStyle w:val="ListParagraph"/>
        <w:numPr>
          <w:ilvl w:val="0"/>
          <w:numId w:val="2"/>
        </w:numPr>
        <w:spacing w:after="120" w:line="360"/>
      </w:pPr>
      <w:r>
        <w:t xml:space="preserve">Individual target briefing documents with mechanism-of-action rationale, competitive positioning, and development plan recommendation</w:t>
      </w:r>
    </w:p>
    <w:p>
      <w:pPr>
        <w:pStyle w:val="ListParagraph"/>
        <w:numPr>
          <w:ilvl w:val="0"/>
          <w:numId w:val="2"/>
        </w:numPr>
        <w:spacing w:after="120" w:line="360"/>
      </w:pPr>
      <w:r>
        <w:t xml:space="preserve">Probability-of-success (PoS) estimates for each recommended target based on efficacy, safety, regulatory, and commercial factors</w:t>
      </w:r>
    </w:p>
    <w:p>
      <w:pPr>
        <w:pStyle w:val="ListParagraph"/>
        <w:numPr>
          <w:ilvl w:val="0"/>
          <w:numId w:val="2"/>
        </w:numPr>
        <w:spacing w:after="120" w:line="360"/>
      </w:pPr>
      <w:r>
        <w:t xml:space="preserve">Market sizing and financial modeling (NPV, peak sales) for each recommended target by indication</w:t>
      </w:r>
    </w:p>
    <w:p>
      <w:pPr>
        <w:pStyle w:val="ListParagraph"/>
        <w:numPr>
          <w:ilvl w:val="0"/>
          <w:numId w:val="2"/>
        </w:numPr>
        <w:spacing w:after="120" w:line="360"/>
      </w:pPr>
      <w:r>
        <w:t xml:space="preserve">De-risking strategy document for each top target, outlining key milestones and validation experiments</w:t>
      </w:r>
    </w:p>
    <w:p>
      <w:pPr>
        <w:spacing w:after="240" w:line="360"/>
      </w:pPr>
      <w:r>
        <w:rPr>
          <w:b/>
          <w:bCs/>
        </w:rPr>
        <w:t xml:space="preserve">Format: </w:t>
      </w:r>
      <w:r>
        <w:t xml:space="preserve">All outputs are generated in machine-readable JSON schema format with nested hierarchies for target properties, scoring rationale, data provenance, and confidence metadata. Visualization outputs include interactive Tableau dashboards for competitive positioning and MCDA ranking scenarios. Clinical trial data and competitive intelligence are delivered in structured CSV and Excel formats compatible with Regeneron's internal analytics platforms. Briefing documents are formatted as professional PowerPoint presentations suitable for executive stakeholder review and strategic decision-making forums.</w:t>
      </w:r>
    </w:p>
    <w:p>
      <w:pPr>
        <w:pStyle w:val="Heading2"/>
        <w:spacing w:after="200" w:before="200"/>
      </w:pPr>
      <w:r>
        <w:t xml:space="preserve">Tools &amp; Databases Summary</w:t>
      </w:r>
    </w:p>
    <w:p>
      <w:pPr>
        <w:pStyle w:val="ListParagraph"/>
        <w:numPr>
          <w:ilvl w:val="0"/>
          <w:numId w:val="2"/>
        </w:numPr>
        <w:spacing w:after="120" w:line="360"/>
      </w:pPr>
      <w:r>
        <w:t xml:space="preserve">VelociSuite—Regeneron's proprietary laboratory information management system (LIMS) for tracking targets, compounds, and research workflows</w:t>
      </w:r>
    </w:p>
    <w:p>
      <w:pPr>
        <w:pStyle w:val="ListParagraph"/>
        <w:numPr>
          <w:ilvl w:val="0"/>
          <w:numId w:val="2"/>
        </w:numPr>
        <w:spacing w:after="120" w:line="360"/>
      </w:pPr>
      <w:r>
        <w:t xml:space="preserve">PostgreSQL relational database management system for querying and filtering target portfolio metadata at scale</w:t>
      </w:r>
    </w:p>
    <w:p>
      <w:pPr>
        <w:pStyle w:val="ListParagraph"/>
        <w:numPr>
          <w:ilvl w:val="0"/>
          <w:numId w:val="2"/>
        </w:numPr>
        <w:spacing w:after="120" w:line="360"/>
      </w:pPr>
      <w:r>
        <w:t xml:space="preserve">Google Patents and USPTO patent databases with API access for comprehensive Regeneron and competitor intellectual property landscape analysis</w:t>
      </w:r>
    </w:p>
    <w:p>
      <w:pPr>
        <w:pStyle w:val="ListParagraph"/>
        <w:numPr>
          <w:ilvl w:val="0"/>
          <w:numId w:val="2"/>
        </w:numPr>
        <w:spacing w:after="120" w:line="360"/>
      </w:pPr>
      <w:r>
        <w:t xml:space="preserve">UniProt/SwissProt biological sequence and annotation databases providing canonical extracellular topology and localization annotations</w:t>
      </w:r>
    </w:p>
    <w:p>
      <w:pPr>
        <w:pStyle w:val="ListParagraph"/>
        <w:numPr>
          <w:ilvl w:val="0"/>
          <w:numId w:val="2"/>
        </w:numPr>
        <w:spacing w:after="120" w:line="360"/>
      </w:pPr>
      <w:r>
        <w:t xml:space="preserve">AlphaFold2 structural prediction platform enabling high-confidence protein structure inference for targets lacking experimental crystal structures</w:t>
      </w:r>
    </w:p>
    <w:p>
      <w:pPr>
        <w:pStyle w:val="ListParagraph"/>
        <w:numPr>
          <w:ilvl w:val="0"/>
          <w:numId w:val="2"/>
        </w:numPr>
        <w:spacing w:after="120" w:line="360"/>
      </w:pPr>
      <w:r>
        <w:t xml:space="preserve">Allen Brain Atlas and BrainSpan single-cell RNA-seq databases providing cell-type-specific CNS target expression patterns</w:t>
      </w:r>
    </w:p>
    <w:p>
      <w:pPr>
        <w:pStyle w:val="ListParagraph"/>
        <w:numPr>
          <w:ilvl w:val="0"/>
          <w:numId w:val="2"/>
        </w:numPr>
        <w:spacing w:after="120" w:line="360"/>
      </w:pPr>
      <w:r>
        <w:t xml:space="preserve">ADMET prediction tools (pkCSM, DeepChem) for predicting blood-brain barrier permeability and brain target engagement</w:t>
      </w:r>
    </w:p>
    <w:p>
      <w:pPr>
        <w:pStyle w:val="ListParagraph"/>
        <w:numPr>
          <w:ilvl w:val="0"/>
          <w:numId w:val="2"/>
        </w:numPr>
        <w:spacing w:after="120" w:line="360"/>
      </w:pPr>
      <w:r>
        <w:t xml:space="preserve">SABDAB and AbDb antibody structural databases with pre-computed antibody-antigen complex geometries and binding kinetics</w:t>
      </w:r>
    </w:p>
    <w:p>
      <w:pPr>
        <w:pStyle w:val="ListParagraph"/>
        <w:numPr>
          <w:ilvl w:val="0"/>
          <w:numId w:val="2"/>
        </w:numPr>
        <w:spacing w:after="120" w:line="360"/>
      </w:pPr>
      <w:r>
        <w:t xml:space="preserve">Rosetta biomolecular design suite for antibody-antigen interface optimization and off-target binding prediction</w:t>
      </w:r>
    </w:p>
    <w:p>
      <w:pPr>
        <w:pStyle w:val="ListParagraph"/>
        <w:numPr>
          <w:ilvl w:val="0"/>
          <w:numId w:val="2"/>
        </w:numPr>
        <w:spacing w:after="120" w:line="360"/>
      </w:pPr>
      <w:r>
        <w:t xml:space="preserve">ClinicalTrials.gov public registry providing real-time metadata on clinical trial enrollment, results, and adverse events for competitive antibody programs</w:t>
      </w:r>
    </w:p>
    <w:p>
      <w:pPr>
        <w:pStyle w:val="ListParagraph"/>
        <w:numPr>
          <w:ilvl w:val="0"/>
          <w:numId w:val="2"/>
        </w:numPr>
        <w:spacing w:after="120" w:line="360"/>
      </w:pPr>
      <w:r>
        <w:t xml:space="preserve">Cortellis and GlobalData competitive intelligence platforms for tracking competitor R&amp;D pipeline status and clinical development progression</w:t>
      </w:r>
    </w:p>
    <w:p>
      <w:pPr>
        <w:pStyle w:val="ListParagraph"/>
        <w:numPr>
          <w:ilvl w:val="0"/>
          <w:numId w:val="2"/>
        </w:numPr>
        <w:spacing w:after="120" w:line="360"/>
      </w:pPr>
      <w:r>
        <w:t xml:space="preserve">Multi-criteria decision analysis (MCDA) software platforms (1000Minds, Hiview3) for integrating heterogeneous scoring systems into strategic rankings</w:t>
      </w:r>
    </w:p>
    <w:p>
      <w:pPr>
        <w:pStyle w:val="ListParagraph"/>
        <w:numPr>
          <w:ilvl w:val="0"/>
          <w:numId w:val="2"/>
        </w:numPr>
        <w:spacing w:after="120" w:line="360"/>
      </w:pPr>
      <w:r>
        <w:t xml:space="preserve">Tableau and Power BI data visualization platforms for interactive exploration of target rankings and competitive positioning matrices</w:t>
      </w:r>
    </w:p>
    <w:p>
      <w:pPr>
        <w:pStyle w:val="ListParagraph"/>
        <w:numPr>
          <w:ilvl w:val="0"/>
          <w:numId w:val="2"/>
        </w:numPr>
        <w:spacing w:after="120" w:line="360"/>
      </w:pPr>
      <w:r>
        <w:t xml:space="preserve">MHCflurry and NetMHCpan immunogenicity prediction tools for assessing antibody peptide epitope-HLA binding and T-cell immunogenicity risk</w:t>
      </w:r>
    </w:p>
    <w:p>
      <w:pPr>
        <w:pStyle w:val="ListParagraph"/>
        <w:numPr>
          <w:ilvl w:val="0"/>
          <w:numId w:val="2"/>
        </w:numPr>
        <w:spacing w:after="120" w:line="360"/>
      </w:pPr>
      <w:r>
        <w:t xml:space="preserve">Net present value (NPV) financial modeling engines integrated with standard pharmaceutical development cost assumptions and clinical trial outcome probabilities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2026-03-02T15:55:49.825Z</dcterms:created>
  <dcterms:modified xsi:type="dcterms:W3CDTF">2026-03-02T15:55:49.826Z</dcterms:modified>
</cp:coreProperties>
</file>

<file path=docProps/custom.xml><?xml version="1.0" encoding="utf-8"?>
<Properties xmlns="http://schemas.openxmlformats.org/officeDocument/2006/custom-properties" xmlns:vt="http://schemas.openxmlformats.org/officeDocument/2006/docPropsVTypes"/>
</file>