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"If we aim to dominate CNS in 15 years, which cluster is franchise anchor?"</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40" w:line="360"/>
      </w:pPr>
      <w:r>
        <w:t xml:space="preserve">The Sapphire pipeline for identifying the franchise anchor CNS cluster is a strategic foresight and portfolio architecture exercise that integrates market dynamics, scientific innovation trajectories, clinical validation timelines, and competitive positioning across the CNS therapeutic landscape through a 15-year strategic horizon. The pipeline systematically assesses disease clusters (neurodegenerative, neuroinflammatory, psychiatric, developmental, pain/neuro-inflammation) according to multiple dimensions including unmet medical need magnitude, addressable market size and growth potential, technological tractability barriers and innovation velocity, clinical success probability based on precedent programs, and competitive saturation or white space availability. The analysis incorporates dynamic modeling of therapeutic landscape evolution, emergence of new scientific paradigms, regulatory pathway acceleration, and real-world evidence generation capabilities.</w:t>
      </w:r>
    </w:p>
    <w:p>
      <w:pPr>
        <w:spacing w:after="240" w:line="360"/>
      </w:pPr>
      <w:r>
        <w:t xml:space="preserve">The pipeline culminates in strategic recommendation of a single disease cluster or target class that functions as an organizational franchise anchor—a franchise anchor defined as a therapeutic foundation that will generate sustained revenues, attract top scientific talent and partnerships, support adjacent expansion into other CNS clusters, and establish competitive moats through intellectual property, manufacturing capabilities, and clinical precedent. The identification of this anchor cluster requires integration of quantitative market modeling, deep scientific assessment of biological mechanism tractability, portfolio scenario planning, and strategic alignment with organizational capabilities and capital allocation constraints. The output is a comprehensive strategic analysis document with 15-year market projections, competitive positioning analysis, clinical development milestones, and organization-specific recommendations for achieving CNS franchise dominance.</w:t>
      </w:r>
    </w:p>
    <w:p>
      <w:pPr>
        <w:pStyle w:val="Heading2"/>
        <w:spacing w:after="200" w:before="200"/>
      </w:pPr>
      <w:r>
        <w:t xml:space="preserve">Stage 1: CNS Disease Cluster Mapping and Characterization</w:t>
      </w:r>
    </w:p>
    <w:p>
      <w:pPr>
        <w:spacing w:after="240" w:line="360"/>
      </w:pPr>
      <w:r>
        <w:rPr>
          <w:b/>
          <w:bCs/>
        </w:rPr>
        <w:t xml:space="preserve">Purpose: </w:t>
      </w:r>
      <w:r>
        <w:t xml:space="preserve">The purpose of this stage is to comprehensively categorize the entire CNS therapeutic landscape into clinically and scientifically coherent disease clusters, including neurodegenerative disorders (Alzheimer's disease, Parkinson's disease, ALS, Huntington's disease, primary progressive MS), neuroinflammatory conditions (multiple sclerosis, neuroimmune encephalitis, neuro-sarcoidosis), psychiatric disease clusters (major depressive disorder, bipolar disorder, schizophrenia, autism spectrum disorder, attention-deficit hyperactivity disorder), developmental and genetic neurodevelopmental disorders (SCN2A-linked seizure disorder, Fragile X, Dravet syndrome), and chronic pain and neuro-inflammatory pain syndromes. This stage establishes working definitions for each cluster, identifies constituent disease entities, maps existing therapeutic modalities by cluster, and characterizes disease biology unifying each cluster.</w:t>
      </w:r>
    </w:p>
    <w:p>
      <w:pPr>
        <w:spacing w:after="120"/>
      </w:pPr>
      <w:r>
        <w:rPr>
          <w:b/>
          <w:bCs/>
        </w:rPr>
        <w:t xml:space="preserve">Inputs:</w:t>
      </w:r>
    </w:p>
    <w:p>
      <w:pPr>
        <w:pStyle w:val="ListParagraph"/>
        <w:numPr>
          <w:ilvl w:val="0"/>
          <w:numId w:val="2"/>
        </w:numPr>
        <w:spacing w:after="120" w:line="360"/>
      </w:pPr>
      <w:r>
        <w:t xml:space="preserve">Global epidemiology databases (GBD 2023, WHO, CDC, National Health Survey microdata)</w:t>
      </w:r>
    </w:p>
    <w:p>
      <w:pPr>
        <w:pStyle w:val="ListParagraph"/>
        <w:numPr>
          <w:ilvl w:val="0"/>
          <w:numId w:val="2"/>
        </w:numPr>
        <w:spacing w:after="120" w:line="360"/>
      </w:pPr>
      <w:r>
        <w:t xml:space="preserve">Clinical disease classification systems (DSM-5, ICD-11, clinical guidelines from NINDS/NINDDK)</w:t>
      </w:r>
    </w:p>
    <w:p>
      <w:pPr>
        <w:pStyle w:val="ListParagraph"/>
        <w:numPr>
          <w:ilvl w:val="0"/>
          <w:numId w:val="2"/>
        </w:numPr>
        <w:spacing w:after="120" w:line="360"/>
      </w:pPr>
      <w:r>
        <w:t xml:space="preserve">Published research literature on CNS disease biology and pathophysiology (PubMed, Google Scholar)</w:t>
      </w:r>
    </w:p>
    <w:p>
      <w:pPr>
        <w:pStyle w:val="ListParagraph"/>
        <w:numPr>
          <w:ilvl w:val="0"/>
          <w:numId w:val="2"/>
        </w:numPr>
        <w:spacing w:after="120" w:line="360"/>
      </w:pPr>
      <w:r>
        <w:t xml:space="preserve">Healthcare provider interviews and clinical opinion databases on disease heterogeneity</w:t>
      </w:r>
    </w:p>
    <w:p>
      <w:pPr>
        <w:pStyle w:val="ListParagraph"/>
        <w:numPr>
          <w:ilvl w:val="0"/>
          <w:numId w:val="2"/>
        </w:numPr>
        <w:spacing w:after="120" w:line="360"/>
      </w:pPr>
      <w:r>
        <w:t xml:space="preserve">Patient advocacy and disease foundation surveys documenting disease burden and unmet need</w:t>
      </w:r>
    </w:p>
    <w:p>
      <w:pPr>
        <w:spacing w:after="120" w:before="120"/>
      </w:pPr>
      <w:r>
        <w:rPr>
          <w:b/>
          <w:bCs/>
        </w:rPr>
        <w:t xml:space="preserve">Tools &amp; Databases Called:</w:t>
      </w:r>
    </w:p>
    <w:p>
      <w:pPr>
        <w:pStyle w:val="ListParagraph"/>
        <w:numPr>
          <w:ilvl w:val="0"/>
          <w:numId w:val="2"/>
        </w:numPr>
        <w:spacing w:after="120" w:line="360"/>
      </w:pPr>
      <w:r>
        <w:t xml:space="preserve">Global Burden of Disease Study 2023 (GBD database)</w:t>
      </w:r>
    </w:p>
    <w:p>
      <w:pPr>
        <w:pStyle w:val="ListParagraph"/>
        <w:numPr>
          <w:ilvl w:val="0"/>
          <w:numId w:val="2"/>
        </w:numPr>
        <w:spacing w:after="120" w:line="360"/>
      </w:pPr>
      <w:r>
        <w:t xml:space="preserve">WHO disease classification and epidemiology database</w:t>
      </w:r>
    </w:p>
    <w:p>
      <w:pPr>
        <w:pStyle w:val="ListParagraph"/>
        <w:numPr>
          <w:ilvl w:val="0"/>
          <w:numId w:val="2"/>
        </w:numPr>
        <w:spacing w:after="120" w:line="360"/>
      </w:pPr>
      <w:r>
        <w:t xml:space="preserve">National Center for Health Statistics (NCHS) US epidemiology data</w:t>
      </w:r>
    </w:p>
    <w:p>
      <w:pPr>
        <w:pStyle w:val="ListParagraph"/>
        <w:numPr>
          <w:ilvl w:val="0"/>
          <w:numId w:val="2"/>
        </w:numPr>
        <w:spacing w:after="120" w:line="360"/>
      </w:pPr>
      <w:r>
        <w:t xml:space="preserve">CDC health statistics and disease prevalence registries</w:t>
      </w:r>
    </w:p>
    <w:p>
      <w:pPr>
        <w:pStyle w:val="ListParagraph"/>
        <w:numPr>
          <w:ilvl w:val="0"/>
          <w:numId w:val="2"/>
        </w:numPr>
        <w:spacing w:after="120" w:line="360"/>
      </w:pPr>
      <w:r>
        <w:t xml:space="preserve">Clinical literature mining (SciBERT, BioBERT for disease burden extraction)</w:t>
      </w:r>
    </w:p>
    <w:p>
      <w:pPr>
        <w:spacing w:after="120" w:before="120"/>
      </w:pPr>
      <w:r>
        <w:rPr>
          <w:b/>
          <w:bCs/>
        </w:rPr>
        <w:t xml:space="preserve">Exemplary Sub-Prompts:</w:t>
      </w:r>
    </w:p>
    <w:p>
      <w:pPr>
        <w:pStyle w:val="ListParagraph"/>
        <w:numPr>
          <w:ilvl w:val="0"/>
          <w:numId w:val="2"/>
        </w:numPr>
        <w:spacing w:after="120" w:line="360"/>
      </w:pPr>
      <w:r>
        <w:t xml:space="preserve">What are the major CNS disease clusters from a biological mechanism perspective?</w:t>
      </w:r>
    </w:p>
    <w:p>
      <w:pPr>
        <w:pStyle w:val="ListParagraph"/>
        <w:numPr>
          <w:ilvl w:val="0"/>
          <w:numId w:val="2"/>
        </w:numPr>
        <w:spacing w:after="120" w:line="360"/>
      </w:pPr>
      <w:r>
        <w:t xml:space="preserve">How do current disease classifications align with underlying biological pathways versus clinical presentation?</w:t>
      </w:r>
    </w:p>
    <w:p>
      <w:pPr>
        <w:pStyle w:val="ListParagraph"/>
        <w:numPr>
          <w:ilvl w:val="0"/>
          <w:numId w:val="2"/>
        </w:numPr>
        <w:spacing w:after="120" w:line="360"/>
      </w:pPr>
      <w:r>
        <w:t xml:space="preserve">Which disease clusters share common pathophysiological mechanisms enabling platform technology development?</w:t>
      </w:r>
    </w:p>
    <w:p>
      <w:pPr>
        <w:pStyle w:val="ListParagraph"/>
        <w:numPr>
          <w:ilvl w:val="0"/>
          <w:numId w:val="2"/>
        </w:numPr>
        <w:spacing w:after="120" w:line="360"/>
      </w:pPr>
      <w:r>
        <w:t xml:space="preserve">What patient population sizes exist for each CNS cluster (prevalence, incidence, at-risk populations)?</w:t>
      </w:r>
    </w:p>
    <w:p>
      <w:pPr>
        <w:pStyle w:val="ListParagraph"/>
        <w:numPr>
          <w:ilvl w:val="0"/>
          <w:numId w:val="2"/>
        </w:numPr>
        <w:spacing w:after="120" w:line="360"/>
      </w:pPr>
      <w:r>
        <w:t xml:space="preserve">How is disease burden distributed across CNS clusters in developed vs. emerging markets?</w:t>
      </w:r>
    </w:p>
    <w:p>
      <w:pPr>
        <w:spacing w:after="120" w:before="120"/>
      </w:pPr>
      <w:r>
        <w:rPr>
          <w:b/>
          <w:bCs/>
        </w:rPr>
        <w:t xml:space="preserve">Expected Outputs:</w:t>
      </w:r>
    </w:p>
    <w:p>
      <w:pPr>
        <w:pStyle w:val="ListParagraph"/>
        <w:numPr>
          <w:ilvl w:val="0"/>
          <w:numId w:val="2"/>
        </w:numPr>
        <w:spacing w:after="120" w:line="360"/>
      </w:pPr>
      <w:r>
        <w:t xml:space="preserve">CNS disease cluster taxonomy with definitions, constituent disease entities, and biological coherence rationale</w:t>
      </w:r>
    </w:p>
    <w:p>
      <w:pPr>
        <w:pStyle w:val="ListParagraph"/>
        <w:numPr>
          <w:ilvl w:val="0"/>
          <w:numId w:val="2"/>
        </w:numPr>
        <w:spacing w:after="120" w:line="360"/>
      </w:pPr>
      <w:r>
        <w:t xml:space="preserve">Epidemiological mapping of disease prevalence, incidence, and at-risk populations by cluster</w:t>
      </w:r>
    </w:p>
    <w:p>
      <w:pPr>
        <w:pStyle w:val="ListParagraph"/>
        <w:numPr>
          <w:ilvl w:val="0"/>
          <w:numId w:val="2"/>
        </w:numPr>
        <w:spacing w:after="120" w:line="360"/>
      </w:pPr>
      <w:r>
        <w:t xml:space="preserve">Literature-derived disease biology summary for each cluster highlighting shared mechanisms and pathophysiology</w:t>
      </w:r>
    </w:p>
    <w:p>
      <w:pPr>
        <w:pStyle w:val="ListParagraph"/>
        <w:numPr>
          <w:ilvl w:val="0"/>
          <w:numId w:val="2"/>
        </w:numPr>
        <w:spacing w:after="120" w:line="360"/>
      </w:pPr>
      <w:r>
        <w:t xml:space="preserve">Clinical presentation and diagnostic criteria summary by cluster with emphasis on heterogeneity</w:t>
      </w:r>
    </w:p>
    <w:p>
      <w:pPr>
        <w:pStyle w:val="ListParagraph"/>
        <w:numPr>
          <w:ilvl w:val="0"/>
          <w:numId w:val="2"/>
        </w:numPr>
        <w:spacing w:after="120" w:line="360"/>
      </w:pPr>
      <w:r>
        <w:t xml:space="preserve">Disease burden quantification by cluster (DALYs, health-related quality of life impact metrics)</w:t>
      </w:r>
    </w:p>
    <w:p>
      <w:pPr>
        <w:spacing w:after="240" w:line="360"/>
      </w:pPr>
      <w:r>
        <w:rPr>
          <w:b/>
          <w:bCs/>
        </w:rPr>
        <w:t xml:space="preserve">Format: </w:t>
      </w:r>
      <w:r>
        <w:t xml:space="preserve">All outputs are delivered in multiple formats optimized for stakeholder consumption and decision-making. Primary deliverables include comprehensive Microsoft Word strategic planning documents with embedded tables and charts, interactive Tableau dashboards enabling scenario exploration and competitive positioning visualization, and PowerPoint executive summary presentations suitable for board-level strategic discussion. Financial models are delivered in Excel with linked assumptions and sensitivity analyses. All data tables are provided in CSV format for import into internal planning and forecasting systems.</w:t>
      </w:r>
    </w:p>
    <w:p>
      <w:pPr>
        <w:pStyle w:val="Heading2"/>
        <w:spacing w:after="200" w:before="200"/>
      </w:pPr>
      <w:r>
        <w:t xml:space="preserve">Stage 2: Unmet Medical Need Quantification</w:t>
      </w:r>
    </w:p>
    <w:p>
      <w:pPr>
        <w:spacing w:after="240" w:line="360"/>
      </w:pPr>
      <w:r>
        <w:rPr>
          <w:b/>
          <w:bCs/>
        </w:rPr>
        <w:t xml:space="preserve">Purpose: </w:t>
      </w:r>
      <w:r>
        <w:t xml:space="preserve">The purpose of this stage is to quantify unmet medical need by systematically assessing current treatment options, their efficacy and safety limitations, patient population sizes and disease burden metrics (disability-adjusted life years, health-related quality of life), standard-of-care inadequacy across cluster subtypes, and payer and patient preference gaps. This stage integrates epidemiological databases, health economic literature, clinical trial outcome databases, and real-world evidence registries to establish a baseline of unmet need and identify subtypes within clusters with greatest therapeutic opportunity.</w:t>
      </w:r>
    </w:p>
    <w:p>
      <w:pPr>
        <w:spacing w:after="120"/>
      </w:pPr>
      <w:r>
        <w:rPr>
          <w:b/>
          <w:bCs/>
        </w:rPr>
        <w:t xml:space="preserve">Inputs:</w:t>
      </w:r>
    </w:p>
    <w:p>
      <w:pPr>
        <w:pStyle w:val="ListParagraph"/>
        <w:numPr>
          <w:ilvl w:val="0"/>
          <w:numId w:val="2"/>
        </w:numPr>
        <w:spacing w:after="120" w:line="360"/>
      </w:pPr>
      <w:r>
        <w:t xml:space="preserve">Regulatory approvals database (FDA, EMA approvals by indication within CNS clusters)</w:t>
      </w:r>
    </w:p>
    <w:p>
      <w:pPr>
        <w:pStyle w:val="ListParagraph"/>
        <w:numPr>
          <w:ilvl w:val="0"/>
          <w:numId w:val="2"/>
        </w:numPr>
        <w:spacing w:after="120" w:line="360"/>
      </w:pPr>
      <w:r>
        <w:t xml:space="preserve">Health economic literature on treatment costs, healthcare burden, disability-adjusted life years (DALYs)</w:t>
      </w:r>
    </w:p>
    <w:p>
      <w:pPr>
        <w:pStyle w:val="ListParagraph"/>
        <w:numPr>
          <w:ilvl w:val="0"/>
          <w:numId w:val="2"/>
        </w:numPr>
        <w:spacing w:after="120" w:line="360"/>
      </w:pPr>
      <w:r>
        <w:t xml:space="preserve">Clinical trial outcome registries and real-world evidence databases (EHR-derived cohorts, insurance claims)</w:t>
      </w:r>
    </w:p>
    <w:p>
      <w:pPr>
        <w:pStyle w:val="ListParagraph"/>
        <w:numPr>
          <w:ilvl w:val="0"/>
          <w:numId w:val="2"/>
        </w:numPr>
        <w:spacing w:after="120" w:line="360"/>
      </w:pPr>
      <w:r>
        <w:t xml:space="preserve">Patient-reported outcome instruments and quality-of-life instruments (EQ-5D, patient preference studies)</w:t>
      </w:r>
    </w:p>
    <w:p>
      <w:pPr>
        <w:pStyle w:val="ListParagraph"/>
        <w:numPr>
          <w:ilvl w:val="0"/>
          <w:numId w:val="2"/>
        </w:numPr>
        <w:spacing w:after="120" w:line="360"/>
      </w:pPr>
      <w:r>
        <w:t xml:space="preserve">Longitudinal disease course data (natural history studies, prospective cohorts)</w:t>
      </w:r>
    </w:p>
    <w:p>
      <w:pPr>
        <w:spacing w:after="120" w:before="120"/>
      </w:pPr>
      <w:r>
        <w:rPr>
          <w:b/>
          <w:bCs/>
        </w:rPr>
        <w:t xml:space="preserve">Tools &amp; Databases Called:</w:t>
      </w:r>
    </w:p>
    <w:p>
      <w:pPr>
        <w:pStyle w:val="ListParagraph"/>
        <w:numPr>
          <w:ilvl w:val="0"/>
          <w:numId w:val="2"/>
        </w:numPr>
        <w:spacing w:after="120" w:line="360"/>
      </w:pPr>
      <w:r>
        <w:t xml:space="preserve">FDA Orange Book and EMA European Medicines Database for approval history</w:t>
      </w:r>
    </w:p>
    <w:p>
      <w:pPr>
        <w:pStyle w:val="ListParagraph"/>
        <w:numPr>
          <w:ilvl w:val="0"/>
          <w:numId w:val="2"/>
        </w:numPr>
        <w:spacing w:after="120" w:line="360"/>
      </w:pPr>
      <w:r>
        <w:t xml:space="preserve">Health economics databases (MEDLINE literature, PubMed Health Economic filters)</w:t>
      </w:r>
    </w:p>
    <w:p>
      <w:pPr>
        <w:pStyle w:val="ListParagraph"/>
        <w:numPr>
          <w:ilvl w:val="0"/>
          <w:numId w:val="2"/>
        </w:numPr>
        <w:spacing w:after="120" w:line="360"/>
      </w:pPr>
      <w:r>
        <w:t xml:space="preserve">Real-world evidence platforms (Optum, MarketScan, claims data analysis)</w:t>
      </w:r>
    </w:p>
    <w:p>
      <w:pPr>
        <w:pStyle w:val="ListParagraph"/>
        <w:numPr>
          <w:ilvl w:val="0"/>
          <w:numId w:val="2"/>
        </w:numPr>
        <w:spacing w:after="120" w:line="360"/>
      </w:pPr>
      <w:r>
        <w:t xml:space="preserve">EHR-based cohort discovery platforms (Sentinel Initiative, TriNetX)</w:t>
      </w:r>
    </w:p>
    <w:p>
      <w:pPr>
        <w:pStyle w:val="ListParagraph"/>
        <w:numPr>
          <w:ilvl w:val="0"/>
          <w:numId w:val="2"/>
        </w:numPr>
        <w:spacing w:after="120" w:line="360"/>
      </w:pPr>
      <w:r>
        <w:t xml:space="preserve">Longitudinal disease course literature synthesis tools</w:t>
      </w:r>
    </w:p>
    <w:p>
      <w:pPr>
        <w:spacing w:after="120" w:before="120"/>
      </w:pPr>
      <w:r>
        <w:rPr>
          <w:b/>
          <w:bCs/>
        </w:rPr>
        <w:t xml:space="preserve">Exemplary Sub-Prompts:</w:t>
      </w:r>
    </w:p>
    <w:p>
      <w:pPr>
        <w:pStyle w:val="ListParagraph"/>
        <w:numPr>
          <w:ilvl w:val="0"/>
          <w:numId w:val="2"/>
        </w:numPr>
        <w:spacing w:after="120" w:line="360"/>
      </w:pPr>
      <w:r>
        <w:t xml:space="preserve">For each CNS cluster, what are the standard-of-care treatment options and their efficacy gaps?</w:t>
      </w:r>
    </w:p>
    <w:p>
      <w:pPr>
        <w:pStyle w:val="ListParagraph"/>
        <w:numPr>
          <w:ilvl w:val="0"/>
          <w:numId w:val="2"/>
        </w:numPr>
        <w:spacing w:after="120" w:line="360"/>
      </w:pPr>
      <w:r>
        <w:t xml:space="preserve">What percentage of patients with each CNS disease achieve meaningful clinical benefit with current therapies?</w:t>
      </w:r>
    </w:p>
    <w:p>
      <w:pPr>
        <w:pStyle w:val="ListParagraph"/>
        <w:numPr>
          <w:ilvl w:val="0"/>
          <w:numId w:val="2"/>
        </w:numPr>
        <w:spacing w:after="120" w:line="360"/>
      </w:pPr>
      <w:r>
        <w:t xml:space="preserve">What are the major adverse effects and treatment-limiting toxicities for existing CNS therapeutics?</w:t>
      </w:r>
    </w:p>
    <w:p>
      <w:pPr>
        <w:pStyle w:val="ListParagraph"/>
        <w:numPr>
          <w:ilvl w:val="0"/>
          <w:numId w:val="2"/>
        </w:numPr>
        <w:spacing w:after="120" w:line="360"/>
      </w:pPr>
      <w:r>
        <w:t xml:space="preserve">Which patient populations within each cluster are underserved or have no approved therapeutic options?</w:t>
      </w:r>
    </w:p>
    <w:p>
      <w:pPr>
        <w:pStyle w:val="ListParagraph"/>
        <w:numPr>
          <w:ilvl w:val="0"/>
          <w:numId w:val="2"/>
        </w:numPr>
        <w:spacing w:after="120" w:line="360"/>
      </w:pPr>
      <w:r>
        <w:t xml:space="preserve">What clinical outcome measures best quantify disease progression and therapeutic benefit within each cluster?</w:t>
      </w:r>
    </w:p>
    <w:p>
      <w:pPr>
        <w:spacing w:after="120" w:before="120"/>
      </w:pPr>
      <w:r>
        <w:rPr>
          <w:b/>
          <w:bCs/>
        </w:rPr>
        <w:t xml:space="preserve">Expected Outputs:</w:t>
      </w:r>
    </w:p>
    <w:p>
      <w:pPr>
        <w:pStyle w:val="ListParagraph"/>
        <w:numPr>
          <w:ilvl w:val="0"/>
          <w:numId w:val="2"/>
        </w:numPr>
        <w:spacing w:after="120" w:line="360"/>
      </w:pPr>
      <w:r>
        <w:t xml:space="preserve">Existing treatment paradigm summary by cluster (approved therapies, mechanism classes, clinical outcomes)</w:t>
      </w:r>
    </w:p>
    <w:p>
      <w:pPr>
        <w:pStyle w:val="ListParagraph"/>
        <w:numPr>
          <w:ilvl w:val="0"/>
          <w:numId w:val="2"/>
        </w:numPr>
        <w:spacing w:after="120" w:line="360"/>
      </w:pPr>
      <w:r>
        <w:t xml:space="preserve">Efficacy and safety gap analysis for each cluster identifying unmet needs</w:t>
      </w:r>
    </w:p>
    <w:p>
      <w:pPr>
        <w:pStyle w:val="ListParagraph"/>
        <w:numPr>
          <w:ilvl w:val="0"/>
          <w:numId w:val="2"/>
        </w:numPr>
        <w:spacing w:after="120" w:line="360"/>
      </w:pPr>
      <w:r>
        <w:t xml:space="preserve">Treatment failure and discontinuation rate analysis by disease and therapeutic class</w:t>
      </w:r>
    </w:p>
    <w:p>
      <w:pPr>
        <w:pStyle w:val="ListParagraph"/>
        <w:numPr>
          <w:ilvl w:val="0"/>
          <w:numId w:val="2"/>
        </w:numPr>
        <w:spacing w:after="120" w:line="360"/>
      </w:pPr>
      <w:r>
        <w:t xml:space="preserve">Unmet need quantification by cluster (percentage of patients without adequate response, safety intolerance)</w:t>
      </w:r>
    </w:p>
    <w:p>
      <w:pPr>
        <w:pStyle w:val="ListParagraph"/>
        <w:numPr>
          <w:ilvl w:val="0"/>
          <w:numId w:val="2"/>
        </w:numPr>
        <w:spacing w:after="120" w:line="360"/>
      </w:pPr>
      <w:r>
        <w:t xml:space="preserve">Clinical trial failure rates and reasons for program discontinuation by cluster</w:t>
      </w:r>
    </w:p>
    <w:p>
      <w:pPr>
        <w:spacing w:after="240" w:line="360"/>
      </w:pPr>
      <w:r>
        <w:rPr>
          <w:b/>
          <w:bCs/>
        </w:rPr>
        <w:t xml:space="preserve">Format: </w:t>
      </w:r>
      <w:r>
        <w:t xml:space="preserve">All outputs are delivered in multiple formats optimized for stakeholder consumption and decision-making. Primary deliverables include comprehensive Microsoft Word strategic planning documents with embedded tables and charts, interactive Tableau dashboards enabling scenario exploration and competitive positioning visualization, and PowerPoint executive summary presentations suitable for board-level strategic discussion. Financial models are delivered in Excel with linked assumptions and sensitivity analyses. All data tables are provided in CSV format for import into internal planning and forecasting systems.</w:t>
      </w:r>
    </w:p>
    <w:p>
      <w:pPr>
        <w:pStyle w:val="Heading2"/>
        <w:spacing w:after="200" w:before="200"/>
      </w:pPr>
      <w:r>
        <w:t xml:space="preserve">Stage 3: Market Opportunity Sizing and Trajectory Modeling</w:t>
      </w:r>
    </w:p>
    <w:p>
      <w:pPr>
        <w:spacing w:after="240" w:line="360"/>
      </w:pPr>
      <w:r>
        <w:rPr>
          <w:b/>
          <w:bCs/>
        </w:rPr>
        <w:t xml:space="preserve">Purpose: </w:t>
      </w:r>
      <w:r>
        <w:t xml:space="preserve">The purpose of this stage is to model the addressable market opportunity for each CNS disease cluster through the next 15 years by integrating epidemiological trends, disease prevalence and incidence projections, market size by geography (US, EU, emerging markets), pricing benchmarks for existing and expected therapeutic classes, adoption rate forecasts, and competitive market share scenarios. This stage develops dynamic market modeling incorporating emerging biomarkers, diagnostic capability growth, and expansion of target populations as new mechanistic understanding emerges.</w:t>
      </w:r>
    </w:p>
    <w:p>
      <w:pPr>
        <w:spacing w:after="120"/>
      </w:pPr>
      <w:r>
        <w:rPr>
          <w:b/>
          <w:bCs/>
        </w:rPr>
        <w:t xml:space="preserve">Inputs:</w:t>
      </w:r>
    </w:p>
    <w:p>
      <w:pPr>
        <w:pStyle w:val="ListParagraph"/>
        <w:numPr>
          <w:ilvl w:val="0"/>
          <w:numId w:val="2"/>
        </w:numPr>
        <w:spacing w:after="120" w:line="360"/>
      </w:pPr>
      <w:r>
        <w:t xml:space="preserve">Global biomarker and diagnostic market analysis reports (medtech firms, consulting firms)</w:t>
      </w:r>
    </w:p>
    <w:p>
      <w:pPr>
        <w:pStyle w:val="ListParagraph"/>
        <w:numPr>
          <w:ilvl w:val="0"/>
          <w:numId w:val="2"/>
        </w:numPr>
        <w:spacing w:after="120" w:line="360"/>
      </w:pPr>
      <w:r>
        <w:t xml:space="preserve">Healthcare expenditure projections and insurance reimbursement models by indication</w:t>
      </w:r>
    </w:p>
    <w:p>
      <w:pPr>
        <w:pStyle w:val="ListParagraph"/>
        <w:numPr>
          <w:ilvl w:val="0"/>
          <w:numId w:val="2"/>
        </w:numPr>
        <w:spacing w:after="120" w:line="360"/>
      </w:pPr>
      <w:r>
        <w:t xml:space="preserve">Geographic variation in disease prevalence and drug access (epidemiology-adjusted pricing models)</w:t>
      </w:r>
    </w:p>
    <w:p>
      <w:pPr>
        <w:pStyle w:val="ListParagraph"/>
        <w:numPr>
          <w:ilvl w:val="0"/>
          <w:numId w:val="2"/>
        </w:numPr>
        <w:spacing w:after="120" w:line="360"/>
      </w:pPr>
      <w:r>
        <w:t xml:space="preserve">Competitor pricing benchmarks for existing therapies (Parenteral and small-molecule CNS agents)</w:t>
      </w:r>
    </w:p>
    <w:p>
      <w:pPr>
        <w:pStyle w:val="ListParagraph"/>
        <w:numPr>
          <w:ilvl w:val="0"/>
          <w:numId w:val="2"/>
        </w:numPr>
        <w:spacing w:after="120" w:line="360"/>
      </w:pPr>
      <w:r>
        <w:t xml:space="preserve">Payer formulary and coverage policies by indication (Aetna, UnitedHealth, CMS Medicare database)</w:t>
      </w:r>
    </w:p>
    <w:p>
      <w:pPr>
        <w:spacing w:after="120" w:before="120"/>
      </w:pPr>
      <w:r>
        <w:rPr>
          <w:b/>
          <w:bCs/>
        </w:rPr>
        <w:t xml:space="preserve">Tools &amp; Databases Called:</w:t>
      </w:r>
    </w:p>
    <w:p>
      <w:pPr>
        <w:pStyle w:val="ListParagraph"/>
        <w:numPr>
          <w:ilvl w:val="0"/>
          <w:numId w:val="2"/>
        </w:numPr>
        <w:spacing w:after="120" w:line="360"/>
      </w:pPr>
      <w:r>
        <w:t xml:space="preserve">PharMetrics and Symphony Health insurance claims databases</w:t>
      </w:r>
    </w:p>
    <w:p>
      <w:pPr>
        <w:pStyle w:val="ListParagraph"/>
        <w:numPr>
          <w:ilvl w:val="0"/>
          <w:numId w:val="2"/>
        </w:numPr>
        <w:spacing w:after="120" w:line="360"/>
      </w:pPr>
      <w:r>
        <w:t xml:space="preserve">Patented biomarker and diagnostic firm reports (Kalorama Information, Grand View Research)</w:t>
      </w:r>
    </w:p>
    <w:p>
      <w:pPr>
        <w:pStyle w:val="ListParagraph"/>
        <w:numPr>
          <w:ilvl w:val="0"/>
          <w:numId w:val="2"/>
        </w:numPr>
        <w:spacing w:after="120" w:line="360"/>
      </w:pPr>
      <w:r>
        <w:t xml:space="preserve">Global healthcare expenditure models and WHO health spending estimates</w:t>
      </w:r>
    </w:p>
    <w:p>
      <w:pPr>
        <w:pStyle w:val="ListParagraph"/>
        <w:numPr>
          <w:ilvl w:val="0"/>
          <w:numId w:val="2"/>
        </w:numPr>
        <w:spacing w:after="120" w:line="360"/>
      </w:pPr>
      <w:r>
        <w:t xml:space="preserve">Pricing databases (Truven, IMS Health, drug pricing benchmarks)</w:t>
      </w:r>
    </w:p>
    <w:p>
      <w:pPr>
        <w:pStyle w:val="ListParagraph"/>
        <w:numPr>
          <w:ilvl w:val="0"/>
          <w:numId w:val="2"/>
        </w:numPr>
        <w:spacing w:after="120" w:line="360"/>
      </w:pPr>
      <w:r>
        <w:t xml:space="preserve">Payer formulary analysis tools (Magellan Rx, Elsevier Gold Standard)</w:t>
      </w:r>
    </w:p>
    <w:p>
      <w:pPr>
        <w:spacing w:after="120" w:before="120"/>
      </w:pPr>
      <w:r>
        <w:rPr>
          <w:b/>
          <w:bCs/>
        </w:rPr>
        <w:t xml:space="preserve">Exemplary Sub-Prompts:</w:t>
      </w:r>
    </w:p>
    <w:p>
      <w:pPr>
        <w:pStyle w:val="ListParagraph"/>
        <w:numPr>
          <w:ilvl w:val="0"/>
          <w:numId w:val="2"/>
        </w:numPr>
        <w:spacing w:after="120" w:line="360"/>
      </w:pPr>
      <w:r>
        <w:t xml:space="preserve">What is the projected patient population size for each CNS cluster in 5, 10, and 15 years?</w:t>
      </w:r>
    </w:p>
    <w:p>
      <w:pPr>
        <w:pStyle w:val="ListParagraph"/>
        <w:numPr>
          <w:ilvl w:val="0"/>
          <w:numId w:val="2"/>
        </w:numPr>
        <w:spacing w:after="120" w:line="360"/>
      </w:pPr>
      <w:r>
        <w:t xml:space="preserve">What pricing benchmarks exist for existing therapeutic classes within each CNS cluster?</w:t>
      </w:r>
    </w:p>
    <w:p>
      <w:pPr>
        <w:pStyle w:val="ListParagraph"/>
        <w:numPr>
          <w:ilvl w:val="0"/>
          <w:numId w:val="2"/>
        </w:numPr>
        <w:spacing w:after="120" w:line="360"/>
      </w:pPr>
      <w:r>
        <w:t xml:space="preserve">How do diagnosis rates, disease awareness, and access to care vary geographically across CNS clusters?</w:t>
      </w:r>
    </w:p>
    <w:p>
      <w:pPr>
        <w:pStyle w:val="ListParagraph"/>
        <w:numPr>
          <w:ilvl w:val="0"/>
          <w:numId w:val="2"/>
        </w:numPr>
        <w:spacing w:after="120" w:line="360"/>
      </w:pPr>
      <w:r>
        <w:t xml:space="preserve">What is the market value (peak annual sales) for lead therapeutic programs within each CNS cluster?</w:t>
      </w:r>
    </w:p>
    <w:p>
      <w:pPr>
        <w:pStyle w:val="ListParagraph"/>
        <w:numPr>
          <w:ilvl w:val="0"/>
          <w:numId w:val="2"/>
        </w:numPr>
        <w:spacing w:after="120" w:line="360"/>
      </w:pPr>
      <w:r>
        <w:t xml:space="preserve">How is market share distributed among existing therapies, and where is consolidation or competition intensifying?</w:t>
      </w:r>
    </w:p>
    <w:p>
      <w:pPr>
        <w:spacing w:after="120" w:before="120"/>
      </w:pPr>
      <w:r>
        <w:rPr>
          <w:b/>
          <w:bCs/>
        </w:rPr>
        <w:t xml:space="preserve">Expected Outputs:</w:t>
      </w:r>
    </w:p>
    <w:p>
      <w:pPr>
        <w:pStyle w:val="ListParagraph"/>
        <w:numPr>
          <w:ilvl w:val="0"/>
          <w:numId w:val="2"/>
        </w:numPr>
        <w:spacing w:after="120" w:line="360"/>
      </w:pPr>
      <w:r>
        <w:t xml:space="preserve">Market size projections for each cluster (current, 5-year, 10-year, 15-year)</w:t>
      </w:r>
    </w:p>
    <w:p>
      <w:pPr>
        <w:pStyle w:val="ListParagraph"/>
        <w:numPr>
          <w:ilvl w:val="0"/>
          <w:numId w:val="2"/>
        </w:numPr>
        <w:spacing w:after="120" w:line="360"/>
      </w:pPr>
      <w:r>
        <w:t xml:space="preserve">Growth rate forecasts by cluster accounting for epidemiological trends and diagnostic expansion</w:t>
      </w:r>
    </w:p>
    <w:p>
      <w:pPr>
        <w:pStyle w:val="ListParagraph"/>
        <w:numPr>
          <w:ilvl w:val="0"/>
          <w:numId w:val="2"/>
        </w:numPr>
        <w:spacing w:after="120" w:line="360"/>
      </w:pPr>
      <w:r>
        <w:t xml:space="preserve">Pricing benchmarks and expected pricing for new therapeutic classes within each cluster</w:t>
      </w:r>
    </w:p>
    <w:p>
      <w:pPr>
        <w:pStyle w:val="ListParagraph"/>
        <w:numPr>
          <w:ilvl w:val="0"/>
          <w:numId w:val="2"/>
        </w:numPr>
        <w:spacing w:after="120" w:line="360"/>
      </w:pPr>
      <w:r>
        <w:t xml:space="preserve">Geographic market analysis (US, EU, Japan, China, emerging markets) by cluster</w:t>
      </w:r>
    </w:p>
    <w:p>
      <w:pPr>
        <w:pStyle w:val="ListParagraph"/>
        <w:numPr>
          <w:ilvl w:val="0"/>
          <w:numId w:val="2"/>
        </w:numPr>
        <w:spacing w:after="120" w:line="360"/>
      </w:pPr>
      <w:r>
        <w:t xml:space="preserve">Market share scenarios and competitive dynamics projections by cluster and timeframe</w:t>
      </w:r>
    </w:p>
    <w:p>
      <w:pPr>
        <w:spacing w:after="240" w:line="360"/>
      </w:pPr>
      <w:r>
        <w:rPr>
          <w:b/>
          <w:bCs/>
        </w:rPr>
        <w:t xml:space="preserve">Format: </w:t>
      </w:r>
      <w:r>
        <w:t xml:space="preserve">All outputs are delivered in multiple formats optimized for stakeholder consumption and decision-making. Primary deliverables include comprehensive Microsoft Word strategic planning documents with embedded tables and charts, interactive Tableau dashboards enabling scenario exploration and competitive positioning visualization, and PowerPoint executive summary presentations suitable for board-level strategic discussion. Financial models are delivered in Excel with linked assumptions and sensitivity analyses. All data tables are provided in CSV format for import into internal planning and forecasting systems.</w:t>
      </w:r>
    </w:p>
    <w:p>
      <w:pPr>
        <w:pStyle w:val="Heading2"/>
        <w:spacing w:after="200" w:before="200"/>
      </w:pPr>
      <w:r>
        <w:t xml:space="preserve">Stage 4: Technology Tractability and Innovation Assessment</w:t>
      </w:r>
    </w:p>
    <w:p>
      <w:pPr>
        <w:spacing w:after="240" w:line="360"/>
      </w:pPr>
      <w:r>
        <w:rPr>
          <w:b/>
          <w:bCs/>
        </w:rPr>
        <w:t xml:space="preserve">Purpose: </w:t>
      </w:r>
      <w:r>
        <w:t xml:space="preserve">The purpose of this stage is to assess the scientific and technological tractability for each disease cluster by evaluating the maturity of mechanism-of-action understanding, availability of validated in vitro and in vivo models, established biomarker and clinical trial endpoint readiness, likelihood of successful target modulation translating to clinical benefit, and remaining biological knowledge gaps or unresolved questions. This stage identifies technological barriers and innovation requirements necessary to achieve therapeutic success within each cluster.</w:t>
      </w:r>
    </w:p>
    <w:p>
      <w:pPr>
        <w:spacing w:after="120"/>
      </w:pPr>
      <w:r>
        <w:rPr>
          <w:b/>
          <w:bCs/>
        </w:rPr>
        <w:t xml:space="preserve">Inputs:</w:t>
      </w:r>
    </w:p>
    <w:p>
      <w:pPr>
        <w:pStyle w:val="ListParagraph"/>
        <w:numPr>
          <w:ilvl w:val="0"/>
          <w:numId w:val="2"/>
        </w:numPr>
        <w:spacing w:after="120" w:line="360"/>
      </w:pPr>
      <w:r>
        <w:t xml:space="preserve">Mechanism-of-action validation databases (PubChem, DrugBank, mechanism literature)</w:t>
      </w:r>
    </w:p>
    <w:p>
      <w:pPr>
        <w:pStyle w:val="ListParagraph"/>
        <w:numPr>
          <w:ilvl w:val="0"/>
          <w:numId w:val="2"/>
        </w:numPr>
        <w:spacing w:after="120" w:line="360"/>
      </w:pPr>
      <w:r>
        <w:t xml:space="preserve">Published target validation studies from academic medical centers and research institutions</w:t>
      </w:r>
    </w:p>
    <w:p>
      <w:pPr>
        <w:pStyle w:val="ListParagraph"/>
        <w:numPr>
          <w:ilvl w:val="0"/>
          <w:numId w:val="2"/>
        </w:numPr>
        <w:spacing w:after="120" w:line="360"/>
      </w:pPr>
      <w:r>
        <w:t xml:space="preserve">Availability and quality of preclinical models (cell lines, patient-derived iPSCs, transgenic mice, NHP models)</w:t>
      </w:r>
    </w:p>
    <w:p>
      <w:pPr>
        <w:pStyle w:val="ListParagraph"/>
        <w:numPr>
          <w:ilvl w:val="0"/>
          <w:numId w:val="2"/>
        </w:numPr>
        <w:spacing w:after="120" w:line="360"/>
      </w:pPr>
      <w:r>
        <w:t xml:space="preserve">Established clinical trial endpoint frameworks (FDA guidance documents, phase IIb efficacy benchmarks)</w:t>
      </w:r>
    </w:p>
    <w:p>
      <w:pPr>
        <w:pStyle w:val="ListParagraph"/>
        <w:numPr>
          <w:ilvl w:val="0"/>
          <w:numId w:val="2"/>
        </w:numPr>
        <w:spacing w:after="120" w:line="360"/>
      </w:pPr>
      <w:r>
        <w:t xml:space="preserve">Biomarker qualification status and regulatory pathway clarity for each cluster</w:t>
      </w:r>
    </w:p>
    <w:p>
      <w:pPr>
        <w:spacing w:after="120" w:before="120"/>
      </w:pPr>
      <w:r>
        <w:rPr>
          <w:b/>
          <w:bCs/>
        </w:rPr>
        <w:t xml:space="preserve">Tools &amp; Databases Called:</w:t>
      </w:r>
    </w:p>
    <w:p>
      <w:pPr>
        <w:pStyle w:val="ListParagraph"/>
        <w:numPr>
          <w:ilvl w:val="0"/>
          <w:numId w:val="2"/>
        </w:numPr>
        <w:spacing w:after="120" w:line="360"/>
      </w:pPr>
      <w:r>
        <w:t xml:space="preserve">PubChem and DrugBank target mechanism databases</w:t>
      </w:r>
    </w:p>
    <w:p>
      <w:pPr>
        <w:pStyle w:val="ListParagraph"/>
        <w:numPr>
          <w:ilvl w:val="0"/>
          <w:numId w:val="2"/>
        </w:numPr>
        <w:spacing w:after="120" w:line="360"/>
      </w:pPr>
      <w:r>
        <w:t xml:space="preserve">Literature mining for target validation evidence (SciBERT, BERT-based clinical NLP)</w:t>
      </w:r>
    </w:p>
    <w:p>
      <w:pPr>
        <w:pStyle w:val="ListParagraph"/>
        <w:numPr>
          <w:ilvl w:val="0"/>
          <w:numId w:val="2"/>
        </w:numPr>
        <w:spacing w:after="120" w:line="360"/>
      </w:pPr>
      <w:r>
        <w:t xml:space="preserve">In vivo model availability databases (JAX Repository, Jackson Laboratory catalog)</w:t>
      </w:r>
    </w:p>
    <w:p>
      <w:pPr>
        <w:pStyle w:val="ListParagraph"/>
        <w:numPr>
          <w:ilvl w:val="0"/>
          <w:numId w:val="2"/>
        </w:numPr>
        <w:spacing w:after="120" w:line="360"/>
      </w:pPr>
      <w:r>
        <w:t xml:space="preserve">Clinical endpoint guidance documents (FDA guidance libraries, EMA assessment reports)</w:t>
      </w:r>
    </w:p>
    <w:p>
      <w:pPr>
        <w:pStyle w:val="ListParagraph"/>
        <w:numPr>
          <w:ilvl w:val="0"/>
          <w:numId w:val="2"/>
        </w:numPr>
        <w:spacing w:after="120" w:line="360"/>
      </w:pPr>
      <w:r>
        <w:t xml:space="preserve">Biomarker qualification tracking (FDA-led qualification programs, biomarker literature)</w:t>
      </w:r>
    </w:p>
    <w:p>
      <w:pPr>
        <w:spacing w:after="120" w:before="120"/>
      </w:pPr>
      <w:r>
        <w:rPr>
          <w:b/>
          <w:bCs/>
        </w:rPr>
        <w:t xml:space="preserve">Exemplary Sub-Prompts:</w:t>
      </w:r>
    </w:p>
    <w:p>
      <w:pPr>
        <w:pStyle w:val="ListParagraph"/>
        <w:numPr>
          <w:ilvl w:val="0"/>
          <w:numId w:val="2"/>
        </w:numPr>
        <w:spacing w:after="120" w:line="360"/>
      </w:pPr>
      <w:r>
        <w:t xml:space="preserve">What are the validated mechanism-of-action targets for each CNS disease cluster?</w:t>
      </w:r>
    </w:p>
    <w:p>
      <w:pPr>
        <w:pStyle w:val="ListParagraph"/>
        <w:numPr>
          <w:ilvl w:val="0"/>
          <w:numId w:val="2"/>
        </w:numPr>
        <w:spacing w:after="120" w:line="360"/>
      </w:pPr>
      <w:r>
        <w:t xml:space="preserve">Which targets within each cluster have established animal models and biomarker readiness?</w:t>
      </w:r>
    </w:p>
    <w:p>
      <w:pPr>
        <w:pStyle w:val="ListParagraph"/>
        <w:numPr>
          <w:ilvl w:val="0"/>
          <w:numId w:val="2"/>
        </w:numPr>
        <w:spacing w:after="120" w:line="360"/>
      </w:pPr>
      <w:r>
        <w:t xml:space="preserve">What are the remaining scientific knowledge gaps limiting therapeutic development for each cluster?</w:t>
      </w:r>
    </w:p>
    <w:p>
      <w:pPr>
        <w:pStyle w:val="ListParagraph"/>
        <w:numPr>
          <w:ilvl w:val="0"/>
          <w:numId w:val="2"/>
        </w:numPr>
        <w:spacing w:after="120" w:line="360"/>
      </w:pPr>
      <w:r>
        <w:t xml:space="preserve">How does blood-brain barrier penetration complexity vary across targets within different clusters?</w:t>
      </w:r>
    </w:p>
    <w:p>
      <w:pPr>
        <w:pStyle w:val="ListParagraph"/>
        <w:numPr>
          <w:ilvl w:val="0"/>
          <w:numId w:val="2"/>
        </w:numPr>
        <w:spacing w:after="120" w:line="360"/>
      </w:pPr>
      <w:r>
        <w:t xml:space="preserve">Are there emerging therapeutic modalities (RNA, cell therapy, neuroimmune targeting) with particular applicability to specific clusters?</w:t>
      </w:r>
    </w:p>
    <w:p>
      <w:pPr>
        <w:spacing w:after="120" w:before="120"/>
      </w:pPr>
      <w:r>
        <w:rPr>
          <w:b/>
          <w:bCs/>
        </w:rPr>
        <w:t xml:space="preserve">Expected Outputs:</w:t>
      </w:r>
    </w:p>
    <w:p>
      <w:pPr>
        <w:pStyle w:val="ListParagraph"/>
        <w:numPr>
          <w:ilvl w:val="0"/>
          <w:numId w:val="2"/>
        </w:numPr>
        <w:spacing w:after="120" w:line="360"/>
      </w:pPr>
      <w:r>
        <w:t xml:space="preserve">Mechanism-of-action tractability scoring by cluster</w:t>
      </w:r>
    </w:p>
    <w:p>
      <w:pPr>
        <w:pStyle w:val="ListParagraph"/>
        <w:numPr>
          <w:ilvl w:val="0"/>
          <w:numId w:val="2"/>
        </w:numPr>
        <w:spacing w:after="120" w:line="360"/>
      </w:pPr>
      <w:r>
        <w:t xml:space="preserve">Preclinical and clinical model availability assessment for leading targets within each cluster</w:t>
      </w:r>
    </w:p>
    <w:p>
      <w:pPr>
        <w:pStyle w:val="ListParagraph"/>
        <w:numPr>
          <w:ilvl w:val="0"/>
          <w:numId w:val="2"/>
        </w:numPr>
        <w:spacing w:after="120" w:line="360"/>
      </w:pPr>
      <w:r>
        <w:t xml:space="preserve">Biomarker maturity and clinical endpoint readiness evaluation by cluster</w:t>
      </w:r>
    </w:p>
    <w:p>
      <w:pPr>
        <w:pStyle w:val="ListParagraph"/>
        <w:numPr>
          <w:ilvl w:val="0"/>
          <w:numId w:val="2"/>
        </w:numPr>
        <w:spacing w:after="120" w:line="360"/>
      </w:pPr>
      <w:r>
        <w:t xml:space="preserve">Regulatory pathway clarity and expedited approval pathway eligibility assessment by cluster</w:t>
      </w:r>
    </w:p>
    <w:p>
      <w:pPr>
        <w:pStyle w:val="ListParagraph"/>
        <w:numPr>
          <w:ilvl w:val="0"/>
          <w:numId w:val="2"/>
        </w:numPr>
        <w:spacing w:after="120" w:line="360"/>
      </w:pPr>
      <w:r>
        <w:t xml:space="preserve">Scientific innovation trajectory modeling indicating emerging mechanisms within each cluster</w:t>
      </w:r>
    </w:p>
    <w:p>
      <w:pPr>
        <w:spacing w:after="240" w:line="360"/>
      </w:pPr>
      <w:r>
        <w:rPr>
          <w:b/>
          <w:bCs/>
        </w:rPr>
        <w:t xml:space="preserve">Format: </w:t>
      </w:r>
      <w:r>
        <w:t xml:space="preserve">All outputs are delivered in multiple formats optimized for stakeholder consumption and decision-making. Primary deliverables include comprehensive Microsoft Word strategic planning documents with embedded tables and charts, interactive Tableau dashboards enabling scenario exploration and competitive positioning visualization, and PowerPoint executive summary presentations suitable for board-level strategic discussion. Financial models are delivered in Excel with linked assumptions and sensitivity analyses. All data tables are provided in CSV format for import into internal planning and forecasting systems.</w:t>
      </w:r>
    </w:p>
    <w:p>
      <w:pPr>
        <w:pStyle w:val="Heading2"/>
        <w:spacing w:after="200" w:before="200"/>
      </w:pPr>
      <w:r>
        <w:t xml:space="preserve">Stage 5: Competitive Positioning and White Space Identification</w:t>
      </w:r>
    </w:p>
    <w:p>
      <w:pPr>
        <w:spacing w:after="240" w:line="360"/>
      </w:pPr>
      <w:r>
        <w:rPr>
          <w:b/>
          <w:bCs/>
        </w:rPr>
        <w:t xml:space="preserve">Purpose: </w:t>
      </w:r>
      <w:r>
        <w:t xml:space="preserve">The purpose of this stage is to comprehensively evaluate the competitive landscape across all CNS clusters by identifying all active clinical-stage and marketed programs by disease area, characterizing lead agents, clinical development stage distribution, competitive advantage profiles, patent landscapes, and white space opportunities where no competitive programs exist despite scientific and medical rationale. This stage develops competitive positioning matrices and identifies underserved disease clusters or mechanism classes.</w:t>
      </w:r>
    </w:p>
    <w:p>
      <w:pPr>
        <w:spacing w:after="120"/>
      </w:pPr>
      <w:r>
        <w:rPr>
          <w:b/>
          <w:bCs/>
        </w:rPr>
        <w:t xml:space="preserve">Inputs:</w:t>
      </w:r>
    </w:p>
    <w:p>
      <w:pPr>
        <w:pStyle w:val="ListParagraph"/>
        <w:numPr>
          <w:ilvl w:val="0"/>
          <w:numId w:val="2"/>
        </w:numPr>
        <w:spacing w:after="120" w:line="360"/>
      </w:pPr>
      <w:r>
        <w:t xml:space="preserve">ClinicalTrials.gov pipeline analysis by CNS cluster and mechanism-of-action class</w:t>
      </w:r>
    </w:p>
    <w:p>
      <w:pPr>
        <w:pStyle w:val="ListParagraph"/>
        <w:numPr>
          <w:ilvl w:val="0"/>
          <w:numId w:val="2"/>
        </w:numPr>
        <w:spacing w:after="120" w:line="360"/>
      </w:pPr>
      <w:r>
        <w:t xml:space="preserve">Competitor product portfolios and clinical program stage distributions (BiopharmGerm, Clarivate)</w:t>
      </w:r>
    </w:p>
    <w:p>
      <w:pPr>
        <w:pStyle w:val="ListParagraph"/>
        <w:numPr>
          <w:ilvl w:val="0"/>
          <w:numId w:val="2"/>
        </w:numPr>
        <w:spacing w:after="120" w:line="360"/>
      </w:pPr>
      <w:r>
        <w:t xml:space="preserve">Patent landscape analysis by target and mechanism class (Derwent Innovation, PatentAdvisor)</w:t>
      </w:r>
    </w:p>
    <w:p>
      <w:pPr>
        <w:pStyle w:val="ListParagraph"/>
        <w:numPr>
          <w:ilvl w:val="0"/>
          <w:numId w:val="2"/>
        </w:numPr>
        <w:spacing w:after="120" w:line="360"/>
      </w:pPr>
      <w:r>
        <w:t xml:space="preserve">Discontinued program analysis and failure reasons by cluster (Tufts Center CSDD, company disclosures)</w:t>
      </w:r>
    </w:p>
    <w:p>
      <w:pPr>
        <w:pStyle w:val="ListParagraph"/>
        <w:numPr>
          <w:ilvl w:val="0"/>
          <w:numId w:val="2"/>
        </w:numPr>
        <w:spacing w:after="120" w:line="360"/>
      </w:pPr>
      <w:r>
        <w:t xml:space="preserve">Academic research publication trends indicating emerging mechanisms and targets</w:t>
      </w:r>
    </w:p>
    <w:p>
      <w:pPr>
        <w:spacing w:after="120" w:before="120"/>
      </w:pPr>
      <w:r>
        <w:rPr>
          <w:b/>
          <w:bCs/>
        </w:rPr>
        <w:t xml:space="preserve">Tools &amp; Databases Called:</w:t>
      </w:r>
    </w:p>
    <w:p>
      <w:pPr>
        <w:pStyle w:val="ListParagraph"/>
        <w:numPr>
          <w:ilvl w:val="0"/>
          <w:numId w:val="2"/>
        </w:numPr>
        <w:spacing w:after="120" w:line="360"/>
      </w:pPr>
      <w:r>
        <w:t xml:space="preserve">ClinicalTrials.gov API for pipeline queries and trial metadata extraction</w:t>
      </w:r>
    </w:p>
    <w:p>
      <w:pPr>
        <w:pStyle w:val="ListParagraph"/>
        <w:numPr>
          <w:ilvl w:val="0"/>
          <w:numId w:val="2"/>
        </w:numPr>
        <w:spacing w:after="120" w:line="360"/>
      </w:pPr>
      <w:r>
        <w:t xml:space="preserve">Competitive intelligence platforms (Clarivate Cortellis, GlobalData)</w:t>
      </w:r>
    </w:p>
    <w:p>
      <w:pPr>
        <w:pStyle w:val="ListParagraph"/>
        <w:numPr>
          <w:ilvl w:val="0"/>
          <w:numId w:val="2"/>
        </w:numPr>
        <w:spacing w:after="120" w:line="360"/>
      </w:pPr>
      <w:r>
        <w:t xml:space="preserve">Patent landscape analysis tools (Derwent Innovation, PatentAdvisor)</w:t>
      </w:r>
    </w:p>
    <w:p>
      <w:pPr>
        <w:pStyle w:val="ListParagraph"/>
        <w:numPr>
          <w:ilvl w:val="0"/>
          <w:numId w:val="2"/>
        </w:numPr>
        <w:spacing w:after="120" w:line="360"/>
      </w:pPr>
      <w:r>
        <w:t xml:space="preserve">Discontinued program databases (Citeline, BiopharmGerm historical data)</w:t>
      </w:r>
    </w:p>
    <w:p>
      <w:pPr>
        <w:pStyle w:val="ListParagraph"/>
        <w:numPr>
          <w:ilvl w:val="0"/>
          <w:numId w:val="2"/>
        </w:numPr>
        <w:spacing w:after="120" w:line="360"/>
      </w:pPr>
      <w:r>
        <w:t xml:space="preserve">Bibliometric and publication analysis tools (Scopus, Dimensions)</w:t>
      </w:r>
    </w:p>
    <w:p>
      <w:pPr>
        <w:spacing w:after="120" w:before="120"/>
      </w:pPr>
      <w:r>
        <w:rPr>
          <w:b/>
          <w:bCs/>
        </w:rPr>
        <w:t xml:space="preserve">Exemplary Sub-Prompts:</w:t>
      </w:r>
    </w:p>
    <w:p>
      <w:pPr>
        <w:pStyle w:val="ListParagraph"/>
        <w:numPr>
          <w:ilvl w:val="0"/>
          <w:numId w:val="2"/>
        </w:numPr>
        <w:spacing w:after="120" w:line="360"/>
      </w:pPr>
      <w:r>
        <w:t xml:space="preserve">How many active clinical-stage programs exist for each CNS disease cluster by therapeutic modality?</w:t>
      </w:r>
    </w:p>
    <w:p>
      <w:pPr>
        <w:pStyle w:val="ListParagraph"/>
        <w:numPr>
          <w:ilvl w:val="0"/>
          <w:numId w:val="2"/>
        </w:numPr>
        <w:spacing w:after="120" w:line="360"/>
      </w:pPr>
      <w:r>
        <w:t xml:space="preserve">What are the clinical efficacy and safety benchmarks for lead programs within each cluster?</w:t>
      </w:r>
    </w:p>
    <w:p>
      <w:pPr>
        <w:pStyle w:val="ListParagraph"/>
        <w:numPr>
          <w:ilvl w:val="0"/>
          <w:numId w:val="2"/>
        </w:numPr>
        <w:spacing w:after="120" w:line="360"/>
      </w:pPr>
      <w:r>
        <w:t xml:space="preserve">Which targets within clusters have multiple competitive programs versus monotherapy white space?</w:t>
      </w:r>
    </w:p>
    <w:p>
      <w:pPr>
        <w:pStyle w:val="ListParagraph"/>
        <w:numPr>
          <w:ilvl w:val="0"/>
          <w:numId w:val="2"/>
        </w:numPr>
        <w:spacing w:after="120" w:line="360"/>
      </w:pPr>
      <w:r>
        <w:t xml:space="preserve">What is the expected patent landscape and intellectual property protection timeline for top targets?</w:t>
      </w:r>
    </w:p>
    <w:p>
      <w:pPr>
        <w:pStyle w:val="ListParagraph"/>
        <w:numPr>
          <w:ilvl w:val="0"/>
          <w:numId w:val="2"/>
        </w:numPr>
        <w:spacing w:after="120" w:line="360"/>
      </w:pPr>
      <w:r>
        <w:t xml:space="preserve">Are there clusters with emerging scientific rationale but minimal competitive development programs?</w:t>
      </w:r>
    </w:p>
    <w:p>
      <w:pPr>
        <w:spacing w:after="120" w:before="120"/>
      </w:pPr>
      <w:r>
        <w:rPr>
          <w:b/>
          <w:bCs/>
        </w:rPr>
        <w:t xml:space="preserve">Expected Outputs:</w:t>
      </w:r>
    </w:p>
    <w:p>
      <w:pPr>
        <w:pStyle w:val="ListParagraph"/>
        <w:numPr>
          <w:ilvl w:val="0"/>
          <w:numId w:val="2"/>
        </w:numPr>
        <w:spacing w:after="120" w:line="360"/>
      </w:pPr>
      <w:r>
        <w:t xml:space="preserve">Clinical pipeline stage distribution (discovery, preclinical, Phase 1/2/3, marketed) by cluster</w:t>
      </w:r>
    </w:p>
    <w:p>
      <w:pPr>
        <w:pStyle w:val="ListParagraph"/>
        <w:numPr>
          <w:ilvl w:val="0"/>
          <w:numId w:val="2"/>
        </w:numPr>
        <w:spacing w:after="120" w:line="360"/>
      </w:pPr>
      <w:r>
        <w:t xml:space="preserve">Competitive program characterization including lead molecules, efficacy results, and development timelines</w:t>
      </w:r>
    </w:p>
    <w:p>
      <w:pPr>
        <w:pStyle w:val="ListParagraph"/>
        <w:numPr>
          <w:ilvl w:val="0"/>
          <w:numId w:val="2"/>
        </w:numPr>
        <w:spacing w:after="120" w:line="360"/>
      </w:pPr>
      <w:r>
        <w:t xml:space="preserve">Patent landscape analysis indicating freedom-to-operate and blocking patent risks by cluster</w:t>
      </w:r>
    </w:p>
    <w:p>
      <w:pPr>
        <w:pStyle w:val="ListParagraph"/>
        <w:numPr>
          <w:ilvl w:val="0"/>
          <w:numId w:val="2"/>
        </w:numPr>
        <w:spacing w:after="120" w:line="360"/>
      </w:pPr>
      <w:r>
        <w:t xml:space="preserve">White space identification by cluster, indicating mechanistic gaps with strong scientific rationale</w:t>
      </w:r>
    </w:p>
    <w:p>
      <w:pPr>
        <w:pStyle w:val="ListParagraph"/>
        <w:numPr>
          <w:ilvl w:val="0"/>
          <w:numId w:val="2"/>
        </w:numPr>
        <w:spacing w:after="120" w:line="360"/>
      </w:pPr>
      <w:r>
        <w:t xml:space="preserve">Discontinued program analysis explaining failure reasons and lessons learned by cluster</w:t>
      </w:r>
    </w:p>
    <w:p>
      <w:pPr>
        <w:spacing w:after="240" w:line="360"/>
      </w:pPr>
      <w:r>
        <w:rPr>
          <w:b/>
          <w:bCs/>
        </w:rPr>
        <w:t xml:space="preserve">Format: </w:t>
      </w:r>
      <w:r>
        <w:t xml:space="preserve">All outputs are delivered in multiple formats optimized for stakeholder consumption and decision-making. Primary deliverables include comprehensive Microsoft Word strategic planning documents with embedded tables and charts, interactive Tableau dashboards enabling scenario exploration and competitive positioning visualization, and PowerPoint executive summary presentations suitable for board-level strategic discussion. Financial models are delivered in Excel with linked assumptions and sensitivity analyses. All data tables are provided in CSV format for import into internal planning and forecasting systems.</w:t>
      </w:r>
    </w:p>
    <w:p>
      <w:pPr>
        <w:pStyle w:val="Heading2"/>
        <w:spacing w:after="200" w:before="200"/>
      </w:pPr>
      <w:r>
        <w:t xml:space="preserve">Stage 6: Franchise Anchor Selection and 15-Year Dominance Planning</w:t>
      </w:r>
    </w:p>
    <w:p>
      <w:pPr>
        <w:spacing w:after="240" w:line="360"/>
      </w:pPr>
      <w:r>
        <w:rPr>
          <w:b/>
          <w:bCs/>
        </w:rPr>
        <w:t xml:space="preserve">Purpose: </w:t>
      </w:r>
      <w:r>
        <w:t xml:space="preserve">The purpose of this stage is to synthesize all preceding analyses into a strategic recommendation identifying the single disease cluster or target mechanism class that will serve as the franchise anchor for 15-year CNS dominance. The anchor cluster must satisfy multiple criteria: large and growing addressable market, significant unmet medical need, sufficient technological tractability for near-term proof-of-concept, moderate to low competitive saturation, alignment with organizational capabilities and infrastructure, and capacity to generate sustained franchise revenues and serve as organizational foundation for expansion into adjacent clusters.</w:t>
      </w:r>
    </w:p>
    <w:p>
      <w:pPr>
        <w:spacing w:after="120"/>
      </w:pPr>
      <w:r>
        <w:rPr>
          <w:b/>
          <w:bCs/>
        </w:rPr>
        <w:t xml:space="preserve">Inputs:</w:t>
      </w:r>
    </w:p>
    <w:p>
      <w:pPr>
        <w:pStyle w:val="ListParagraph"/>
        <w:numPr>
          <w:ilvl w:val="0"/>
          <w:numId w:val="2"/>
        </w:numPr>
        <w:spacing w:after="120" w:line="360"/>
      </w:pPr>
      <w:r>
        <w:t xml:space="preserve">Multi-criteria decision matrix integrating all preceding stage outputs</w:t>
      </w:r>
    </w:p>
    <w:p>
      <w:pPr>
        <w:pStyle w:val="ListParagraph"/>
        <w:numPr>
          <w:ilvl w:val="0"/>
          <w:numId w:val="2"/>
        </w:numPr>
        <w:spacing w:after="120" w:line="360"/>
      </w:pPr>
      <w:r>
        <w:t xml:space="preserve">Organizational strategic documents on existing CNS capabilities and infrastructure</w:t>
      </w:r>
    </w:p>
    <w:p>
      <w:pPr>
        <w:pStyle w:val="ListParagraph"/>
        <w:numPr>
          <w:ilvl w:val="0"/>
          <w:numId w:val="2"/>
        </w:numPr>
        <w:spacing w:after="120" w:line="360"/>
      </w:pPr>
      <w:r>
        <w:t xml:space="preserve">Capital allocation constraints and financing scenarios for 15-year dominance planning</w:t>
      </w:r>
    </w:p>
    <w:p>
      <w:pPr>
        <w:pStyle w:val="ListParagraph"/>
        <w:numPr>
          <w:ilvl w:val="0"/>
          <w:numId w:val="2"/>
        </w:numPr>
        <w:spacing w:after="120" w:line="360"/>
      </w:pPr>
      <w:r>
        <w:t xml:space="preserve">Talent acquisition and retention feasibility assessments for cluster-specific expertise</w:t>
      </w:r>
    </w:p>
    <w:p>
      <w:pPr>
        <w:pStyle w:val="ListParagraph"/>
        <w:numPr>
          <w:ilvl w:val="0"/>
          <w:numId w:val="2"/>
        </w:numPr>
        <w:spacing w:after="120" w:line="360"/>
      </w:pPr>
      <w:r>
        <w:t xml:space="preserve">Partner and ecosystem availability assessment (academic collaborators, contract research organizations)</w:t>
      </w:r>
    </w:p>
    <w:p>
      <w:pPr>
        <w:spacing w:after="120" w:before="120"/>
      </w:pPr>
      <w:r>
        <w:rPr>
          <w:b/>
          <w:bCs/>
        </w:rPr>
        <w:t xml:space="preserve">Tools &amp; Databases Called:</w:t>
      </w:r>
    </w:p>
    <w:p>
      <w:pPr>
        <w:pStyle w:val="ListParagraph"/>
        <w:numPr>
          <w:ilvl w:val="0"/>
          <w:numId w:val="2"/>
        </w:numPr>
        <w:spacing w:after="120" w:line="360"/>
      </w:pPr>
      <w:r>
        <w:t xml:space="preserve">Multi-criteria decision analysis software (1000Minds, Hiview3 MCDA platforms)</w:t>
      </w:r>
    </w:p>
    <w:p>
      <w:pPr>
        <w:pStyle w:val="ListParagraph"/>
        <w:numPr>
          <w:ilvl w:val="0"/>
          <w:numId w:val="2"/>
        </w:numPr>
        <w:spacing w:after="120" w:line="360"/>
      </w:pPr>
      <w:r>
        <w:t xml:space="preserve">Strategic scenario modeling tools (Tableau, Power BI for visualization)</w:t>
      </w:r>
    </w:p>
    <w:p>
      <w:pPr>
        <w:pStyle w:val="ListParagraph"/>
        <w:numPr>
          <w:ilvl w:val="0"/>
          <w:numId w:val="2"/>
        </w:numPr>
        <w:spacing w:after="120" w:line="360"/>
      </w:pPr>
      <w:r>
        <w:t xml:space="preserve">Financial modeling and NPV calculation (DCF models, risk-adjusted revenue projections)</w:t>
      </w:r>
    </w:p>
    <w:p>
      <w:pPr>
        <w:pStyle w:val="ListParagraph"/>
        <w:numPr>
          <w:ilvl w:val="0"/>
          <w:numId w:val="2"/>
        </w:numPr>
        <w:spacing w:after="120" w:line="360"/>
      </w:pPr>
      <w:r>
        <w:t xml:space="preserve">Organizational capability assessment frameworks (capability maturity models)</w:t>
      </w:r>
    </w:p>
    <w:p>
      <w:pPr>
        <w:pStyle w:val="ListParagraph"/>
        <w:numPr>
          <w:ilvl w:val="0"/>
          <w:numId w:val="2"/>
        </w:numPr>
        <w:spacing w:after="120" w:line="360"/>
      </w:pPr>
      <w:r>
        <w:t xml:space="preserve">Partnership discovery platforms (business development databases, CRO catalogs)</w:t>
      </w:r>
    </w:p>
    <w:p>
      <w:pPr>
        <w:spacing w:after="120" w:before="120"/>
      </w:pPr>
      <w:r>
        <w:rPr>
          <w:b/>
          <w:bCs/>
        </w:rPr>
        <w:t xml:space="preserve">Exemplary Sub-Prompts:</w:t>
      </w:r>
    </w:p>
    <w:p>
      <w:pPr>
        <w:pStyle w:val="ListParagraph"/>
        <w:numPr>
          <w:ilvl w:val="0"/>
          <w:numId w:val="2"/>
        </w:numPr>
        <w:spacing w:after="120" w:line="360"/>
      </w:pPr>
      <w:r>
        <w:t xml:space="preserve">Which CNS cluster best satisfies criteria for franchise anchor designation?</w:t>
      </w:r>
    </w:p>
    <w:p>
      <w:pPr>
        <w:pStyle w:val="ListParagraph"/>
        <w:numPr>
          <w:ilvl w:val="0"/>
          <w:numId w:val="2"/>
        </w:numPr>
        <w:spacing w:after="120" w:line="360"/>
      </w:pPr>
      <w:r>
        <w:t xml:space="preserve">What is the NPV and 15-year revenue projection for each potential anchor cluster?</w:t>
      </w:r>
    </w:p>
    <w:p>
      <w:pPr>
        <w:pStyle w:val="ListParagraph"/>
        <w:numPr>
          <w:ilvl w:val="0"/>
          <w:numId w:val="2"/>
        </w:numPr>
        <w:spacing w:after="120" w:line="360"/>
      </w:pPr>
      <w:r>
        <w:t xml:space="preserve">How would anchor cluster selection shape corporate R&amp;D portfolio structure and talent acquisition?</w:t>
      </w:r>
    </w:p>
    <w:p>
      <w:pPr>
        <w:pStyle w:val="ListParagraph"/>
        <w:numPr>
          <w:ilvl w:val="0"/>
          <w:numId w:val="2"/>
        </w:numPr>
        <w:spacing w:after="120" w:line="360"/>
      </w:pPr>
      <w:r>
        <w:t xml:space="preserve">What adjacent clusters could be penetrated from each potential anchor cluster after franchise establishment?</w:t>
      </w:r>
    </w:p>
    <w:p>
      <w:pPr>
        <w:pStyle w:val="ListParagraph"/>
        <w:numPr>
          <w:ilvl w:val="0"/>
          <w:numId w:val="2"/>
        </w:numPr>
        <w:spacing w:after="120" w:line="360"/>
      </w:pPr>
      <w:r>
        <w:t xml:space="preserve">What are the critical milestones and go/no-go decision points for anchor cluster dominance planning?</w:t>
      </w:r>
    </w:p>
    <w:p>
      <w:pPr>
        <w:spacing w:after="120" w:before="120"/>
      </w:pPr>
      <w:r>
        <w:rPr>
          <w:b/>
          <w:bCs/>
        </w:rPr>
        <w:t xml:space="preserve">Expected Outputs:</w:t>
      </w:r>
    </w:p>
    <w:p>
      <w:pPr>
        <w:pStyle w:val="ListParagraph"/>
        <w:numPr>
          <w:ilvl w:val="0"/>
          <w:numId w:val="2"/>
        </w:numPr>
        <w:spacing w:after="120" w:line="360"/>
      </w:pPr>
      <w:r>
        <w:t xml:space="preserve">Franchise anchor cluster recommendation with integrated multi-criteria scoring justification</w:t>
      </w:r>
    </w:p>
    <w:p>
      <w:pPr>
        <w:pStyle w:val="ListParagraph"/>
        <w:numPr>
          <w:ilvl w:val="0"/>
          <w:numId w:val="2"/>
        </w:numPr>
        <w:spacing w:after="120" w:line="360"/>
      </w:pPr>
      <w:r>
        <w:t xml:space="preserve">15-year financial model (NPV, peak annual sales, market share scenarios) for recommended anchor cluster</w:t>
      </w:r>
    </w:p>
    <w:p>
      <w:pPr>
        <w:pStyle w:val="ListParagraph"/>
        <w:numPr>
          <w:ilvl w:val="0"/>
          <w:numId w:val="2"/>
        </w:numPr>
        <w:spacing w:after="120" w:line="360"/>
      </w:pPr>
      <w:r>
        <w:t xml:space="preserve">Competitive positioning analysis indicating barriers to entry and sustainable competitive advantages</w:t>
      </w:r>
    </w:p>
    <w:p>
      <w:pPr>
        <w:pStyle w:val="ListParagraph"/>
        <w:numPr>
          <w:ilvl w:val="0"/>
          <w:numId w:val="2"/>
        </w:numPr>
        <w:spacing w:after="120" w:line="360"/>
      </w:pPr>
      <w:r>
        <w:t xml:space="preserve">Clinical development pathway and milestone roadmap for anchor cluster 15-year dominance</w:t>
      </w:r>
    </w:p>
    <w:p>
      <w:pPr>
        <w:pStyle w:val="ListParagraph"/>
        <w:numPr>
          <w:ilvl w:val="0"/>
          <w:numId w:val="2"/>
        </w:numPr>
        <w:spacing w:after="120" w:line="360"/>
      </w:pPr>
      <w:r>
        <w:t xml:space="preserve">Adjacent cluster expansion strategy and portfolio architecture recommendations for franchise growth</w:t>
      </w:r>
    </w:p>
    <w:p>
      <w:pPr>
        <w:spacing w:after="240" w:line="360"/>
      </w:pPr>
      <w:r>
        <w:rPr>
          <w:b/>
          <w:bCs/>
        </w:rPr>
        <w:t xml:space="preserve">Format: </w:t>
      </w:r>
      <w:r>
        <w:t xml:space="preserve">All outputs are delivered in multiple formats optimized for stakeholder consumption and decision-making. Primary deliverables include comprehensive Microsoft Word strategic planning documents with embedded tables and charts, interactive Tableau dashboards enabling scenario exploration and competitive positioning visualization, and PowerPoint executive summary presentations suitable for board-level strategic discussion. Financial models are delivered in Excel with linked assumptions and sensitivity analyses. All data tables are provided in CSV format for import into internal planning and forecasting systems.</w:t>
      </w:r>
    </w:p>
    <w:p>
      <w:pPr>
        <w:pStyle w:val="Heading2"/>
        <w:spacing w:after="200" w:before="200"/>
      </w:pPr>
      <w:r>
        <w:t xml:space="preserve">Tools &amp; Databases Summary</w:t>
      </w:r>
    </w:p>
    <w:p>
      <w:pPr>
        <w:pStyle w:val="ListParagraph"/>
        <w:numPr>
          <w:ilvl w:val="0"/>
          <w:numId w:val="2"/>
        </w:numPr>
        <w:spacing w:after="120" w:line="360"/>
      </w:pPr>
      <w:r>
        <w:t xml:space="preserve">Global Burden of Disease (GBD) Study 2023—comprehensive epidemiological database providing disease prevalence, incidence, and disability-adjusted life years (DALYs) by disease and geography</w:t>
      </w:r>
    </w:p>
    <w:p>
      <w:pPr>
        <w:pStyle w:val="ListParagraph"/>
        <w:numPr>
          <w:ilvl w:val="0"/>
          <w:numId w:val="2"/>
        </w:numPr>
        <w:spacing w:after="120" w:line="360"/>
      </w:pPr>
      <w:r>
        <w:t xml:space="preserve">World Health Organization (WHO) disease classification systems and global health statistics with geographically stratified epidemiological estimates</w:t>
      </w:r>
    </w:p>
    <w:p>
      <w:pPr>
        <w:pStyle w:val="ListParagraph"/>
        <w:numPr>
          <w:ilvl w:val="0"/>
          <w:numId w:val="2"/>
        </w:numPr>
        <w:spacing w:after="120" w:line="360"/>
      </w:pPr>
      <w:r>
        <w:t xml:space="preserve">Centers for Disease Control and Prevention (CDC) National Center for Health Statistics (NCHS) for US-specific disease prevalence and incidence data</w:t>
      </w:r>
    </w:p>
    <w:p>
      <w:pPr>
        <w:pStyle w:val="ListParagraph"/>
        <w:numPr>
          <w:ilvl w:val="0"/>
          <w:numId w:val="2"/>
        </w:numPr>
        <w:spacing w:after="120" w:line="360"/>
      </w:pPr>
      <w:r>
        <w:t xml:space="preserve">FDA Orange Book and EMA European Medicines Database for comprehensive regulatory approval history and label information by indication</w:t>
      </w:r>
    </w:p>
    <w:p>
      <w:pPr>
        <w:pStyle w:val="ListParagraph"/>
        <w:numPr>
          <w:ilvl w:val="0"/>
          <w:numId w:val="2"/>
        </w:numPr>
        <w:spacing w:after="120" w:line="360"/>
      </w:pPr>
      <w:r>
        <w:t xml:space="preserve">Health economics literature databases and systematic reviews on treatment costs, healthcare burden, and quality-of-life impact by CNS disease</w:t>
      </w:r>
    </w:p>
    <w:p>
      <w:pPr>
        <w:pStyle w:val="ListParagraph"/>
        <w:numPr>
          <w:ilvl w:val="0"/>
          <w:numId w:val="2"/>
        </w:numPr>
        <w:spacing w:after="120" w:line="360"/>
      </w:pPr>
      <w:r>
        <w:t xml:space="preserve">Real-world evidence platforms (Optum, Truven MarketScan, IBM HCUP) providing claims-based analysis and longitudinal disease course tracking</w:t>
      </w:r>
    </w:p>
    <w:p>
      <w:pPr>
        <w:pStyle w:val="ListParagraph"/>
        <w:numPr>
          <w:ilvl w:val="0"/>
          <w:numId w:val="2"/>
        </w:numPr>
        <w:spacing w:after="120" w:line="360"/>
      </w:pPr>
      <w:r>
        <w:t xml:space="preserve">Electronic health record (EHR) cohort discovery platforms (Sentinel Initiative, TriNetX, N3C SMART on FHIR) for longitudinal patient phenotyping</w:t>
      </w:r>
    </w:p>
    <w:p>
      <w:pPr>
        <w:pStyle w:val="ListParagraph"/>
        <w:numPr>
          <w:ilvl w:val="0"/>
          <w:numId w:val="2"/>
        </w:numPr>
        <w:spacing w:after="120" w:line="360"/>
      </w:pPr>
      <w:r>
        <w:t xml:space="preserve">PharMetrics and Symphony Health insurance claims data for treatment pathway analysis and real-world treatment outcomes</w:t>
      </w:r>
    </w:p>
    <w:p>
      <w:pPr>
        <w:pStyle w:val="ListParagraph"/>
        <w:numPr>
          <w:ilvl w:val="0"/>
          <w:numId w:val="2"/>
        </w:numPr>
        <w:spacing w:after="120" w:line="360"/>
      </w:pPr>
      <w:r>
        <w:t xml:space="preserve">PubChem and DrugBank databases providing target mechanism-of-action annotations and therapeutic mode classifications</w:t>
      </w:r>
    </w:p>
    <w:p>
      <w:pPr>
        <w:pStyle w:val="ListParagraph"/>
        <w:numPr>
          <w:ilvl w:val="0"/>
          <w:numId w:val="2"/>
        </w:numPr>
        <w:spacing w:after="120" w:line="360"/>
      </w:pPr>
      <w:r>
        <w:t xml:space="preserve">Literature mining and natural language processing (SciBERT, BioBERT) for automated extraction of efficacy, safety, and mechanism data from clinical publications</w:t>
      </w:r>
    </w:p>
    <w:p>
      <w:pPr>
        <w:pStyle w:val="ListParagraph"/>
        <w:numPr>
          <w:ilvl w:val="0"/>
          <w:numId w:val="2"/>
        </w:numPr>
        <w:spacing w:after="120" w:line="360"/>
      </w:pPr>
      <w:r>
        <w:t xml:space="preserve">Jackson Laboratory (JAX) in vivo model repository and availability databases for preclinical CNS disease models</w:t>
      </w:r>
    </w:p>
    <w:p>
      <w:pPr>
        <w:pStyle w:val="ListParagraph"/>
        <w:numPr>
          <w:ilvl w:val="0"/>
          <w:numId w:val="2"/>
        </w:numPr>
        <w:spacing w:after="120" w:line="360"/>
      </w:pPr>
      <w:r>
        <w:t xml:space="preserve">ClinicalTrials.gov API providing real-time access to clinical trial registry data, enrollment status, and study results by indication</w:t>
      </w:r>
    </w:p>
    <w:p>
      <w:pPr>
        <w:pStyle w:val="ListParagraph"/>
        <w:numPr>
          <w:ilvl w:val="0"/>
          <w:numId w:val="2"/>
        </w:numPr>
        <w:spacing w:after="120" w:line="360"/>
      </w:pPr>
      <w:r>
        <w:t xml:space="preserve">Competitive intelligence platforms (Clarivate Cortellis, GlobalData, BiopharmGerm) for competitor pipeline tracking and clinical program characterization</w:t>
      </w:r>
    </w:p>
    <w:p>
      <w:pPr>
        <w:pStyle w:val="ListParagraph"/>
        <w:numPr>
          <w:ilvl w:val="0"/>
          <w:numId w:val="2"/>
        </w:numPr>
        <w:spacing w:after="120" w:line="360"/>
      </w:pPr>
      <w:r>
        <w:t xml:space="preserve">Patent landscape analysis tools (Derwent Innovation, PatentAdvisor, LexisNexis PatentAdvisor) for intellectual property assessment and freedom-to-operate analysis</w:t>
      </w:r>
    </w:p>
    <w:p>
      <w:pPr>
        <w:pStyle w:val="ListParagraph"/>
        <w:numPr>
          <w:ilvl w:val="0"/>
          <w:numId w:val="2"/>
        </w:numPr>
        <w:spacing w:after="120" w:line="360"/>
      </w:pPr>
      <w:r>
        <w:t xml:space="preserve">Multi-criteria decision analysis software (1000Minds, Hiview3) enabling integration of heterogeneous strategic criteria into prioritization frameworks</w:t>
      </w:r>
    </w:p>
    <w:p>
      <w:pPr>
        <w:pStyle w:val="ListParagraph"/>
        <w:numPr>
          <w:ilvl w:val="0"/>
          <w:numId w:val="2"/>
        </w:numPr>
        <w:spacing w:after="120" w:line="360"/>
      </w:pPr>
      <w:r>
        <w:t xml:space="preserve">Financial modeling platforms and net present value (NPV) calculation tools integrated with pharmaceutical development cost and probability-of-success assumptions</w:t>
      </w:r>
    </w:p>
    <w:p>
      <w:pPr>
        <w:pStyle w:val="ListParagraph"/>
        <w:numPr>
          <w:ilvl w:val="0"/>
          <w:numId w:val="2"/>
        </w:numPr>
        <w:spacing w:after="120" w:line="360"/>
      </w:pPr>
      <w:r>
        <w:t xml:space="preserve">Tableau and Power BI data visualization and business intelligence platforms enabling interactive exploration of strategic scenarios and competitive positioning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2026-03-02T15:56:50.544Z</dcterms:created>
  <dcterms:modified xsi:type="dcterms:W3CDTF">2026-03-02T15:56:50.544Z</dcterms:modified>
</cp:coreProperties>
</file>

<file path=docProps/custom.xml><?xml version="1.0" encoding="utf-8"?>
<Properties xmlns="http://schemas.openxmlformats.org/officeDocument/2006/custom-properties" xmlns:vt="http://schemas.openxmlformats.org/officeDocument/2006/docPropsVTypes"/>
</file>