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t xml:space="preserve">Sapphire Pipeline Workflow</w:t>
      </w:r>
    </w:p>
    <w:p>
      <w:pPr>
        <w:pStyle w:val="Heading2"/>
        <w:spacing w:after="200" w:before="200"/>
      </w:pPr>
      <w:r>
        <w:t xml:space="preserve">Prompt: "Identify a first-in-class opportunity with minimal competition."</w:t>
      </w:r>
    </w:p>
    <w:p>
      <w:pPr>
        <w:spacing w:after="24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spacing w:after="200" w:before="200"/>
      </w:pPr>
      <w:r>
        <w:t xml:space="preserve">Pipeline Overview</w:t>
      </w:r>
    </w:p>
    <w:p>
      <w:pPr>
        <w:spacing w:after="240" w:line="360"/>
      </w:pPr>
      <w:r>
        <w:t xml:space="preserve">The Sapphire pipeline for identifying first-in-class therapeutic opportunities with minimal competition integrates systematic discovery of novel molecular mechanisms, comprehensive competitive landscape scanning, unmet medical need quantification, and regulatory pathway feasibility assessment across the entire drug development spectrum. The pipeline begins by mining scientific literature, patent databases, and emerging research for novel targets and mechanisms that lack existing approved therapeutics or advanced clinical programs. Subsequent stages progressively validate scientific tractability, assess clinical opportunity magnitude, map competitive positioning, and identify regulatory accelerators that could expedite first-in-class program development.</w:t>
      </w:r>
    </w:p>
    <w:p>
      <w:pPr>
        <w:spacing w:after="240" w:line="360"/>
      </w:pPr>
      <w:r>
        <w:t xml:space="preserve">The pipeline culminates in identification and strategic prioritization of first-in-class opportunities defined as novel mechanism-of-action approaches with strong scientific rationale, clear unmet medical need in a defined patient population, regulatory pathways enabling accelerated clinical development, and competitive white space indicating no existing programs or early-stage competitor activity in the same mechanistic space. The output is a ranked portfolio of first-in-class opportunities with detailed scientific justification, clinical development strategy, regulatory pathway recommendations, and go/no-go decision criteria for each candidate program. First-in-class opportunities offer substantial commercial and scientific advantages including extended patent protection, market exclusivity, ability to shape clinical endpoints and regulatory precedent, and reduced competitive pressure during critical early development phases.</w:t>
      </w:r>
    </w:p>
    <w:p>
      <w:pPr>
        <w:pStyle w:val="Heading2"/>
        <w:spacing w:after="200" w:before="200"/>
      </w:pPr>
      <w:r>
        <w:t xml:space="preserve">Stage 1: Emerging Mechanism Discovery and Literature Mining</w:t>
      </w:r>
    </w:p>
    <w:p>
      <w:pPr>
        <w:spacing w:after="240" w:line="360"/>
      </w:pPr>
      <w:r>
        <w:rPr>
          <w:b/>
          <w:bCs/>
        </w:rPr>
        <w:t xml:space="preserve">Purpose: </w:t>
      </w:r>
      <w:r>
        <w:t xml:space="preserve">The purpose of this stage is to systematically mine peer-reviewed scientific literature, preprint repositories, patent filings, conference presentations, and research databases to identify novel molecular mechanisms, emerging therapeutic targets, and innovative approaches that lack existing clinical development programs. This stage employs advanced natural language processing, bibliometric analysis, and publication trend detection to identify emerging science with significant time lag before competitive entry. The stage focuses on identifying mechanistic gaps in current treatment paradigms, novel biological insights from academic research, and emerging therapeutic modalities (RNA therapeutics, cell therapy, neuroimmune modulation, protein degradation) with clear unmet need applications.</w:t>
      </w:r>
    </w:p>
    <w:p>
      <w:pPr>
        <w:spacing w:after="120"/>
      </w:pPr>
      <w:r>
        <w:rPr>
          <w:b/>
          <w:bCs/>
        </w:rPr>
        <w:t xml:space="preserve">Inputs:</w:t>
      </w:r>
    </w:p>
    <w:p>
      <w:pPr>
        <w:pStyle w:val="ListParagraph"/>
        <w:numPr>
          <w:ilvl w:val="0"/>
          <w:numId w:val="2"/>
        </w:numPr>
        <w:spacing w:after="120" w:line="360"/>
      </w:pPr>
      <w:r>
        <w:t xml:space="preserve">PubMed/MEDLINE and preprint repositories (bioRxiv, medRxiv) with published research literature</w:t>
      </w:r>
    </w:p>
    <w:p>
      <w:pPr>
        <w:pStyle w:val="ListParagraph"/>
        <w:numPr>
          <w:ilvl w:val="0"/>
          <w:numId w:val="2"/>
        </w:numPr>
        <w:spacing w:after="120" w:line="360"/>
      </w:pPr>
      <w:r>
        <w:t xml:space="preserve">Google Scholar and Scopus for publication metrics and citation tracking</w:t>
      </w:r>
    </w:p>
    <w:p>
      <w:pPr>
        <w:pStyle w:val="ListParagraph"/>
        <w:numPr>
          <w:ilvl w:val="0"/>
          <w:numId w:val="2"/>
        </w:numPr>
        <w:spacing w:after="120" w:line="360"/>
      </w:pPr>
      <w:r>
        <w:t xml:space="preserve">Conference proceedings and abstracts from major scientific meetings (Neuroscience 2025, AACR, ADA, etc.)</w:t>
      </w:r>
    </w:p>
    <w:p>
      <w:pPr>
        <w:pStyle w:val="ListParagraph"/>
        <w:numPr>
          <w:ilvl w:val="0"/>
          <w:numId w:val="2"/>
        </w:numPr>
        <w:spacing w:after="120" w:line="360"/>
      </w:pPr>
      <w:r>
        <w:t xml:space="preserve">NIH grant abstracts and funded research programs (NIH RePORTER database)</w:t>
      </w:r>
    </w:p>
    <w:p>
      <w:pPr>
        <w:pStyle w:val="ListParagraph"/>
        <w:numPr>
          <w:ilvl w:val="0"/>
          <w:numId w:val="2"/>
        </w:numPr>
        <w:spacing w:after="120" w:line="360"/>
      </w:pPr>
      <w:r>
        <w:t xml:space="preserve">Research institution preprints and working papers from leading academic medical centers</w:t>
      </w:r>
    </w:p>
    <w:p>
      <w:pPr>
        <w:spacing w:after="120" w:before="120"/>
      </w:pPr>
      <w:r>
        <w:rPr>
          <w:b/>
          <w:bCs/>
        </w:rPr>
        <w:t xml:space="preserve">Tools &amp; Databases Called:</w:t>
      </w:r>
    </w:p>
    <w:p>
      <w:pPr>
        <w:pStyle w:val="ListParagraph"/>
        <w:numPr>
          <w:ilvl w:val="0"/>
          <w:numId w:val="2"/>
        </w:numPr>
        <w:spacing w:after="120" w:line="360"/>
      </w:pPr>
      <w:r>
        <w:t xml:space="preserve">PubMed/MEDLINE literature database with MeSH indexing and advanced query syntax</w:t>
      </w:r>
    </w:p>
    <w:p>
      <w:pPr>
        <w:pStyle w:val="ListParagraph"/>
        <w:numPr>
          <w:ilvl w:val="0"/>
          <w:numId w:val="2"/>
        </w:numPr>
        <w:spacing w:after="120" w:line="360"/>
      </w:pPr>
      <w:r>
        <w:t xml:space="preserve">Scopus bibliographic database with citation tracking and h-index metrics</w:t>
      </w:r>
    </w:p>
    <w:p>
      <w:pPr>
        <w:pStyle w:val="ListParagraph"/>
        <w:numPr>
          <w:ilvl w:val="0"/>
          <w:numId w:val="2"/>
        </w:numPr>
        <w:spacing w:after="120" w:line="360"/>
      </w:pPr>
      <w:r>
        <w:t xml:space="preserve">Google Scholar for publication metrics and citation counting across all sources</w:t>
      </w:r>
    </w:p>
    <w:p>
      <w:pPr>
        <w:pStyle w:val="ListParagraph"/>
        <w:numPr>
          <w:ilvl w:val="0"/>
          <w:numId w:val="2"/>
        </w:numPr>
        <w:spacing w:after="120" w:line="360"/>
      </w:pPr>
      <w:r>
        <w:t xml:space="preserve">bioRxiv and medRxiv preprint repositories for emerging research findings</w:t>
      </w:r>
    </w:p>
    <w:p>
      <w:pPr>
        <w:pStyle w:val="ListParagraph"/>
        <w:numPr>
          <w:ilvl w:val="0"/>
          <w:numId w:val="2"/>
        </w:numPr>
        <w:spacing w:after="120" w:line="360"/>
      </w:pPr>
      <w:r>
        <w:t xml:space="preserve">NIH RePORTER grant funding database with searchable research project abstracts</w:t>
      </w:r>
    </w:p>
    <w:p>
      <w:pPr>
        <w:spacing w:after="120" w:before="120"/>
      </w:pPr>
      <w:r>
        <w:rPr>
          <w:b/>
          <w:bCs/>
        </w:rPr>
        <w:t xml:space="preserve">Exemplary Sub-Prompts:</w:t>
      </w:r>
    </w:p>
    <w:p>
      <w:pPr>
        <w:pStyle w:val="ListParagraph"/>
        <w:numPr>
          <w:ilvl w:val="0"/>
          <w:numId w:val="2"/>
        </w:numPr>
        <w:spacing w:after="120" w:line="360"/>
      </w:pPr>
      <w:r>
        <w:t xml:space="preserve">What are the emerging molecular targets and mechanisms of action identified in recent academic literature (last 3 years)?</w:t>
      </w:r>
    </w:p>
    <w:p>
      <w:pPr>
        <w:pStyle w:val="ListParagraph"/>
        <w:numPr>
          <w:ilvl w:val="0"/>
          <w:numId w:val="2"/>
        </w:numPr>
        <w:spacing w:after="120" w:line="360"/>
      </w:pPr>
      <w:r>
        <w:t xml:space="preserve">Which therapeutic modalities (small molecule, antibody, cell therapy, gene therapy, RNA) show emerging research momentum with minimal commercial development?</w:t>
      </w:r>
    </w:p>
    <w:p>
      <w:pPr>
        <w:pStyle w:val="ListParagraph"/>
        <w:numPr>
          <w:ilvl w:val="0"/>
          <w:numId w:val="2"/>
        </w:numPr>
        <w:spacing w:after="120" w:line="360"/>
      </w:pPr>
      <w:r>
        <w:t xml:space="preserve">What disease indications have novel mechanism discoveries suggesting improved treatment approaches over standard-of-care?</w:t>
      </w:r>
    </w:p>
    <w:p>
      <w:pPr>
        <w:pStyle w:val="ListParagraph"/>
        <w:numPr>
          <w:ilvl w:val="0"/>
          <w:numId w:val="2"/>
        </w:numPr>
        <w:spacing w:after="120" w:line="360"/>
      </w:pPr>
      <w:r>
        <w:t xml:space="preserve">Which academic research groups are actively publishing on novel targets without apparent industry development programs?</w:t>
      </w:r>
    </w:p>
    <w:p>
      <w:pPr>
        <w:pStyle w:val="ListParagraph"/>
        <w:numPr>
          <w:ilvl w:val="0"/>
          <w:numId w:val="2"/>
        </w:numPr>
        <w:spacing w:after="120" w:line="360"/>
      </w:pPr>
      <w:r>
        <w:t xml:space="preserve">What are the publication trend indicators for emerging mechanisms (acceleration in publication rate, research investment level)?</w:t>
      </w:r>
    </w:p>
    <w:p>
      <w:pPr>
        <w:spacing w:after="120" w:before="120"/>
      </w:pPr>
      <w:r>
        <w:rPr>
          <w:b/>
          <w:bCs/>
        </w:rPr>
        <w:t xml:space="preserve">Expected Outputs:</w:t>
      </w:r>
    </w:p>
    <w:p>
      <w:pPr>
        <w:pStyle w:val="ListParagraph"/>
        <w:numPr>
          <w:ilvl w:val="0"/>
          <w:numId w:val="2"/>
        </w:numPr>
        <w:spacing w:after="120" w:line="360"/>
      </w:pPr>
      <w:r>
        <w:t xml:space="preserve">Comprehensive database of emerging mechanisms and targets from literature and patent mining</w:t>
      </w:r>
    </w:p>
    <w:p>
      <w:pPr>
        <w:pStyle w:val="ListParagraph"/>
        <w:numPr>
          <w:ilvl w:val="0"/>
          <w:numId w:val="2"/>
        </w:numPr>
        <w:spacing w:after="120" w:line="360"/>
      </w:pPr>
      <w:r>
        <w:t xml:space="preserve">Publication trend analysis indicating accelerating research momentum for candidate mechanisms</w:t>
      </w:r>
    </w:p>
    <w:p>
      <w:pPr>
        <w:pStyle w:val="ListParagraph"/>
        <w:numPr>
          <w:ilvl w:val="0"/>
          <w:numId w:val="2"/>
        </w:numPr>
        <w:spacing w:after="120" w:line="360"/>
      </w:pPr>
      <w:r>
        <w:t xml:space="preserve">Academic research group inventory for each candidate mechanism with publication records</w:t>
      </w:r>
    </w:p>
    <w:p>
      <w:pPr>
        <w:pStyle w:val="ListParagraph"/>
        <w:numPr>
          <w:ilvl w:val="0"/>
          <w:numId w:val="2"/>
        </w:numPr>
        <w:spacing w:after="120" w:line="360"/>
      </w:pPr>
      <w:r>
        <w:t xml:space="preserve">Conference presentation and abstract tracking showing emerging mechanism visibility and validation</w:t>
      </w:r>
    </w:p>
    <w:p>
      <w:pPr>
        <w:pStyle w:val="ListParagraph"/>
        <w:numPr>
          <w:ilvl w:val="0"/>
          <w:numId w:val="2"/>
        </w:numPr>
        <w:spacing w:after="120" w:line="360"/>
      </w:pPr>
      <w:r>
        <w:t xml:space="preserve">Time-lag analysis quantifying delay between academic discovery and commercial development</w:t>
      </w:r>
    </w:p>
    <w:p>
      <w:pPr>
        <w:spacing w:after="240" w:line="360"/>
      </w:pPr>
      <w:r>
        <w:rPr>
          <w:b/>
          <w:bCs/>
        </w:rPr>
        <w:t xml:space="preserve">Format: </w:t>
      </w:r>
      <w:r>
        <w:t xml:space="preserve">All outputs are delivered in multiple formats optimized for scientific review and business development decision-making. Scientific outputs including mechanism analysis and target validation are provided as comprehensive PDF reports with embedded literature citations and figures. Patent landscape analysis is delivered in interactive Excel dashboards enabling filtering by mechanism, target, and geography. Clinical development strategies are provided as detailed Word documents with integrated regulatory timelines and milestone planning. All databases and candidate opportunity inventories are provided in CSV and Excel formats for import into portfolio management and competitive intelligence systems.</w:t>
      </w:r>
    </w:p>
    <w:p>
      <w:pPr>
        <w:pStyle w:val="Heading2"/>
        <w:spacing w:after="200" w:before="200"/>
      </w:pPr>
      <w:r>
        <w:t xml:space="preserve">Stage 2: Patent Landscape Analysis and Intellectual Property White Space</w:t>
      </w:r>
    </w:p>
    <w:p>
      <w:pPr>
        <w:spacing w:after="240" w:line="360"/>
      </w:pPr>
      <w:r>
        <w:rPr>
          <w:b/>
          <w:bCs/>
        </w:rPr>
        <w:t xml:space="preserve">Purpose: </w:t>
      </w:r>
      <w:r>
        <w:t xml:space="preserve">The purpose of this stage is to comprehensively analyze patent landscapes for candidate first-in-class mechanisms by evaluating composition-of-matter patents, method-of-treatment patents, biomarker patents, and patent applications across geographies (US, EU, Japan, China). This stage identifies intellectual property white space—mechanisms without dominant patent position, targets with expired or near-expiration coverage, and emerging targets with minimal patent filing activity. The analysis identifies opportunities to achieve dominant freedom-to-operate and obtain blocking patent positions before competitor entry, enabling establishment of durable competitive advantages.</w:t>
      </w:r>
    </w:p>
    <w:p>
      <w:pPr>
        <w:spacing w:after="120"/>
      </w:pPr>
      <w:r>
        <w:rPr>
          <w:b/>
          <w:bCs/>
        </w:rPr>
        <w:t xml:space="preserve">Inputs:</w:t>
      </w:r>
    </w:p>
    <w:p>
      <w:pPr>
        <w:pStyle w:val="ListParagraph"/>
        <w:numPr>
          <w:ilvl w:val="0"/>
          <w:numId w:val="2"/>
        </w:numPr>
        <w:spacing w:after="120" w:line="360"/>
      </w:pPr>
      <w:r>
        <w:t xml:space="preserve">USPTO patent database and full-text patent search with advanced filtering</w:t>
      </w:r>
    </w:p>
    <w:p>
      <w:pPr>
        <w:pStyle w:val="ListParagraph"/>
        <w:numPr>
          <w:ilvl w:val="0"/>
          <w:numId w:val="2"/>
        </w:numPr>
        <w:spacing w:after="120" w:line="360"/>
      </w:pPr>
      <w:r>
        <w:t xml:space="preserve">Google Patents and Google Scholar Patents for international patent landscape analysis</w:t>
      </w:r>
    </w:p>
    <w:p>
      <w:pPr>
        <w:pStyle w:val="ListParagraph"/>
        <w:numPr>
          <w:ilvl w:val="0"/>
          <w:numId w:val="2"/>
        </w:numPr>
        <w:spacing w:after="120" w:line="360"/>
      </w:pPr>
      <w:r>
        <w:t xml:space="preserve">WIPO patent databases and European Patent Office (EPO) for global IP coverage</w:t>
      </w:r>
    </w:p>
    <w:p>
      <w:pPr>
        <w:pStyle w:val="ListParagraph"/>
        <w:numPr>
          <w:ilvl w:val="0"/>
          <w:numId w:val="2"/>
        </w:numPr>
        <w:spacing w:after="120" w:line="360"/>
      </w:pPr>
      <w:r>
        <w:t xml:space="preserve">Espacenet and other national patent databases for emerging markets (China, India)</w:t>
      </w:r>
    </w:p>
    <w:p>
      <w:pPr>
        <w:pStyle w:val="ListParagraph"/>
        <w:numPr>
          <w:ilvl w:val="0"/>
          <w:numId w:val="2"/>
        </w:numPr>
        <w:spacing w:after="120" w:line="360"/>
      </w:pPr>
      <w:r>
        <w:t xml:space="preserve">Patent pending applications and continuation filings tracking intellectual property strategy</w:t>
      </w:r>
    </w:p>
    <w:p>
      <w:pPr>
        <w:spacing w:after="120" w:before="120"/>
      </w:pPr>
      <w:r>
        <w:rPr>
          <w:b/>
          <w:bCs/>
        </w:rPr>
        <w:t xml:space="preserve">Tools &amp; Databases Called:</w:t>
      </w:r>
    </w:p>
    <w:p>
      <w:pPr>
        <w:pStyle w:val="ListParagraph"/>
        <w:numPr>
          <w:ilvl w:val="0"/>
          <w:numId w:val="2"/>
        </w:numPr>
        <w:spacing w:after="120" w:line="360"/>
      </w:pPr>
      <w:r>
        <w:t xml:space="preserve">USPTO patent examination database with full-text and image search capabilities</w:t>
      </w:r>
    </w:p>
    <w:p>
      <w:pPr>
        <w:pStyle w:val="ListParagraph"/>
        <w:numPr>
          <w:ilvl w:val="0"/>
          <w:numId w:val="2"/>
        </w:numPr>
        <w:spacing w:after="120" w:line="360"/>
      </w:pPr>
      <w:r>
        <w:t xml:space="preserve">Google Patents platform with cited patent tracking and related patent discovery</w:t>
      </w:r>
    </w:p>
    <w:p>
      <w:pPr>
        <w:pStyle w:val="ListParagraph"/>
        <w:numPr>
          <w:ilvl w:val="0"/>
          <w:numId w:val="2"/>
        </w:numPr>
        <w:spacing w:after="120" w:line="360"/>
      </w:pPr>
      <w:r>
        <w:t xml:space="preserve">WIPO PCT (Patent Cooperation Treaty) database for international patent filing status</w:t>
      </w:r>
    </w:p>
    <w:p>
      <w:pPr>
        <w:pStyle w:val="ListParagraph"/>
        <w:numPr>
          <w:ilvl w:val="0"/>
          <w:numId w:val="2"/>
        </w:numPr>
        <w:spacing w:after="120" w:line="360"/>
      </w:pPr>
      <w:r>
        <w:t xml:space="preserve">Espacenet European Patent Office database with machine translation capabilities</w:t>
      </w:r>
    </w:p>
    <w:p>
      <w:pPr>
        <w:pStyle w:val="ListParagraph"/>
        <w:numPr>
          <w:ilvl w:val="0"/>
          <w:numId w:val="2"/>
        </w:numPr>
        <w:spacing w:after="120" w:line="360"/>
      </w:pPr>
      <w:r>
        <w:t xml:space="preserve">Patent landscape analysis tools (Derwent Innovation, PatentAdvisor, LexisNexis)</w:t>
      </w:r>
    </w:p>
    <w:p>
      <w:pPr>
        <w:spacing w:after="120" w:before="120"/>
      </w:pPr>
      <w:r>
        <w:rPr>
          <w:b/>
          <w:bCs/>
        </w:rPr>
        <w:t xml:space="preserve">Exemplary Sub-Prompts:</w:t>
      </w:r>
    </w:p>
    <w:p>
      <w:pPr>
        <w:pStyle w:val="ListParagraph"/>
        <w:numPr>
          <w:ilvl w:val="0"/>
          <w:numId w:val="2"/>
        </w:numPr>
        <w:spacing w:after="120" w:line="360"/>
      </w:pPr>
      <w:r>
        <w:t xml:space="preserve">Which molecular targets or mechanisms of action lack issued composition-of-matter patents?</w:t>
      </w:r>
    </w:p>
    <w:p>
      <w:pPr>
        <w:pStyle w:val="ListParagraph"/>
        <w:numPr>
          <w:ilvl w:val="0"/>
          <w:numId w:val="2"/>
        </w:numPr>
        <w:spacing w:after="120" w:line="360"/>
      </w:pPr>
      <w:r>
        <w:t xml:space="preserve">What targets have expired or near-expiration patent coverage enabling dominant freedom-to-operate positioning?</w:t>
      </w:r>
    </w:p>
    <w:p>
      <w:pPr>
        <w:pStyle w:val="ListParagraph"/>
        <w:numPr>
          <w:ilvl w:val="0"/>
          <w:numId w:val="2"/>
        </w:numPr>
        <w:spacing w:after="120" w:line="360"/>
      </w:pPr>
      <w:r>
        <w:t xml:space="preserve">Are there novel treatment methods or biomarker-based approaches not covered by existing patent landscape?</w:t>
      </w:r>
    </w:p>
    <w:p>
      <w:pPr>
        <w:pStyle w:val="ListParagraph"/>
        <w:numPr>
          <w:ilvl w:val="0"/>
          <w:numId w:val="2"/>
        </w:numPr>
        <w:spacing w:after="120" w:line="360"/>
      </w:pPr>
      <w:r>
        <w:t xml:space="preserve">Which therapeutic indications within novel mechanism spaces have minimal patent filing activity?</w:t>
      </w:r>
    </w:p>
    <w:p>
      <w:pPr>
        <w:pStyle w:val="ListParagraph"/>
        <w:numPr>
          <w:ilvl w:val="0"/>
          <w:numId w:val="2"/>
        </w:numPr>
        <w:spacing w:after="120" w:line="360"/>
      </w:pPr>
      <w:r>
        <w:t xml:space="preserve">What is the freedom-to-operate landscape for promising candidate mechanisms?</w:t>
      </w:r>
    </w:p>
    <w:p>
      <w:pPr>
        <w:spacing w:after="120" w:before="120"/>
      </w:pPr>
      <w:r>
        <w:rPr>
          <w:b/>
          <w:bCs/>
        </w:rPr>
        <w:t xml:space="preserve">Expected Outputs:</w:t>
      </w:r>
    </w:p>
    <w:p>
      <w:pPr>
        <w:pStyle w:val="ListParagraph"/>
        <w:numPr>
          <w:ilvl w:val="0"/>
          <w:numId w:val="2"/>
        </w:numPr>
        <w:spacing w:after="120" w:line="360"/>
      </w:pPr>
      <w:r>
        <w:t xml:space="preserve">Patent landscape analysis for each candidate first-in-class mechanism</w:t>
      </w:r>
    </w:p>
    <w:p>
      <w:pPr>
        <w:pStyle w:val="ListParagraph"/>
        <w:numPr>
          <w:ilvl w:val="0"/>
          <w:numId w:val="2"/>
        </w:numPr>
        <w:spacing w:after="120" w:line="360"/>
      </w:pPr>
      <w:r>
        <w:t xml:space="preserve">Freedom-to-operate assessment indicating available intellectual property positioning</w:t>
      </w:r>
    </w:p>
    <w:p>
      <w:pPr>
        <w:pStyle w:val="ListParagraph"/>
        <w:numPr>
          <w:ilvl w:val="0"/>
          <w:numId w:val="2"/>
        </w:numPr>
        <w:spacing w:after="120" w:line="360"/>
      </w:pPr>
      <w:r>
        <w:t xml:space="preserve">Patent protection strategy recommendation for rapid blocking patent filing</w:t>
      </w:r>
    </w:p>
    <w:p>
      <w:pPr>
        <w:pStyle w:val="ListParagraph"/>
        <w:numPr>
          <w:ilvl w:val="0"/>
          <w:numId w:val="2"/>
        </w:numPr>
        <w:spacing w:after="120" w:line="360"/>
      </w:pPr>
      <w:r>
        <w:t xml:space="preserve">International patent coverage recommendations (PCT strategy, regional filing priorities)</w:t>
      </w:r>
    </w:p>
    <w:p>
      <w:pPr>
        <w:pStyle w:val="ListParagraph"/>
        <w:numPr>
          <w:ilvl w:val="0"/>
          <w:numId w:val="2"/>
        </w:numPr>
        <w:spacing w:after="120" w:line="360"/>
      </w:pPr>
      <w:r>
        <w:t xml:space="preserve">Estimated patent exclusivity period and market exclusivity runway for each mechanism</w:t>
      </w:r>
    </w:p>
    <w:p>
      <w:pPr>
        <w:spacing w:after="240" w:line="360"/>
      </w:pPr>
      <w:r>
        <w:rPr>
          <w:b/>
          <w:bCs/>
        </w:rPr>
        <w:t xml:space="preserve">Format: </w:t>
      </w:r>
      <w:r>
        <w:t xml:space="preserve">All outputs are delivered in multiple formats optimized for scientific review and business development decision-making. Scientific outputs including mechanism analysis and target validation are provided as comprehensive PDF reports with embedded literature citations and figures. Patent landscape analysis is delivered in interactive Excel dashboards enabling filtering by mechanism, target, and geography. Clinical development strategies are provided as detailed Word documents with integrated regulatory timelines and milestone planning. All databases and candidate opportunity inventories are provided in CSV and Excel formats for import into portfolio management and competitive intelligence systems.</w:t>
      </w:r>
    </w:p>
    <w:p>
      <w:pPr>
        <w:pStyle w:val="Heading2"/>
        <w:spacing w:after="200" w:before="200"/>
      </w:pPr>
      <w:r>
        <w:t xml:space="preserve">Stage 3: Competitive Pipeline Scanning and White Space Confirmation</w:t>
      </w:r>
    </w:p>
    <w:p>
      <w:pPr>
        <w:spacing w:after="240" w:line="360"/>
      </w:pPr>
      <w:r>
        <w:rPr>
          <w:b/>
          <w:bCs/>
        </w:rPr>
        <w:t xml:space="preserve">Purpose: </w:t>
      </w:r>
      <w:r>
        <w:t xml:space="preserve">The purpose of this stage is to conduct comprehensive clinical and preclinical pipeline scanning to confirm white space for each candidate first-in-class mechanism by identifying all active development programs targeting the same mechanism-of-action across all therapeutic modalities. This stage uses clinical trial registries, regulatory databases, competitor intelligence platforms, and scientific literature monitoring to identify any existing clinical programs, preclinical research programs, or disclosed preclinical development activities. The stage ensures candidate mechanisms truly represent white space with zero or minimal competitor activity.</w:t>
      </w:r>
    </w:p>
    <w:p>
      <w:pPr>
        <w:spacing w:after="120"/>
      </w:pPr>
      <w:r>
        <w:rPr>
          <w:b/>
          <w:bCs/>
        </w:rPr>
        <w:t xml:space="preserve">Inputs:</w:t>
      </w:r>
    </w:p>
    <w:p>
      <w:pPr>
        <w:pStyle w:val="ListParagraph"/>
        <w:numPr>
          <w:ilvl w:val="0"/>
          <w:numId w:val="2"/>
        </w:numPr>
        <w:spacing w:after="120" w:line="360"/>
      </w:pPr>
      <w:r>
        <w:t xml:space="preserve">ClinicalTrials.gov comprehensive database with mechanism-of-action-specific queries</w:t>
      </w:r>
    </w:p>
    <w:p>
      <w:pPr>
        <w:pStyle w:val="ListParagraph"/>
        <w:numPr>
          <w:ilvl w:val="0"/>
          <w:numId w:val="2"/>
        </w:numPr>
        <w:spacing w:after="120" w:line="360"/>
      </w:pPr>
      <w:r>
        <w:t xml:space="preserve">FDA approved drugs database and drug approvals by mechanism class</w:t>
      </w:r>
    </w:p>
    <w:p>
      <w:pPr>
        <w:pStyle w:val="ListParagraph"/>
        <w:numPr>
          <w:ilvl w:val="0"/>
          <w:numId w:val="2"/>
        </w:numPr>
        <w:spacing w:after="120" w:line="360"/>
      </w:pPr>
      <w:r>
        <w:t xml:space="preserve">EMA approvals and European regulatory decisions database</w:t>
      </w:r>
    </w:p>
    <w:p>
      <w:pPr>
        <w:pStyle w:val="ListParagraph"/>
        <w:numPr>
          <w:ilvl w:val="0"/>
          <w:numId w:val="2"/>
        </w:numPr>
        <w:spacing w:after="120" w:line="360"/>
      </w:pPr>
      <w:r>
        <w:t xml:space="preserve">Competitor intelligence platforms (Cortellis, GlobalData, BiopharmGerm) with pipeline tracking</w:t>
      </w:r>
    </w:p>
    <w:p>
      <w:pPr>
        <w:pStyle w:val="ListParagraph"/>
        <w:numPr>
          <w:ilvl w:val="0"/>
          <w:numId w:val="2"/>
        </w:numPr>
        <w:spacing w:after="120" w:line="360"/>
      </w:pPr>
      <w:r>
        <w:t xml:space="preserve">Scientific literature monitoring for announced but not yet registered clinical programs</w:t>
      </w:r>
    </w:p>
    <w:p>
      <w:pPr>
        <w:spacing w:after="120" w:before="120"/>
      </w:pPr>
      <w:r>
        <w:rPr>
          <w:b/>
          <w:bCs/>
        </w:rPr>
        <w:t xml:space="preserve">Tools &amp; Databases Called:</w:t>
      </w:r>
    </w:p>
    <w:p>
      <w:pPr>
        <w:pStyle w:val="ListParagraph"/>
        <w:numPr>
          <w:ilvl w:val="0"/>
          <w:numId w:val="2"/>
        </w:numPr>
        <w:spacing w:after="120" w:line="360"/>
      </w:pPr>
      <w:r>
        <w:t xml:space="preserve">ClinicalTrials.gov public registry with protocol and results reporting</w:t>
      </w:r>
    </w:p>
    <w:p>
      <w:pPr>
        <w:pStyle w:val="ListParagraph"/>
        <w:numPr>
          <w:ilvl w:val="0"/>
          <w:numId w:val="2"/>
        </w:numPr>
        <w:spacing w:after="120" w:line="360"/>
      </w:pPr>
      <w:r>
        <w:t xml:space="preserve">FDA Approved Drugs database with mechanism-of-action and indication classification</w:t>
      </w:r>
    </w:p>
    <w:p>
      <w:pPr>
        <w:pStyle w:val="ListParagraph"/>
        <w:numPr>
          <w:ilvl w:val="0"/>
          <w:numId w:val="2"/>
        </w:numPr>
        <w:spacing w:after="120" w:line="360"/>
      </w:pPr>
      <w:r>
        <w:t xml:space="preserve">EMA Conditional Approval and Accelerated Assessment decision databases</w:t>
      </w:r>
    </w:p>
    <w:p>
      <w:pPr>
        <w:pStyle w:val="ListParagraph"/>
        <w:numPr>
          <w:ilvl w:val="0"/>
          <w:numId w:val="2"/>
        </w:numPr>
        <w:spacing w:after="120" w:line="360"/>
      </w:pPr>
      <w:r>
        <w:t xml:space="preserve">Cortellis and GlobalData competitive intelligence platforms with pipeline transparency</w:t>
      </w:r>
    </w:p>
    <w:p>
      <w:pPr>
        <w:pStyle w:val="ListParagraph"/>
        <w:numPr>
          <w:ilvl w:val="0"/>
          <w:numId w:val="2"/>
        </w:numPr>
        <w:spacing w:after="120" w:line="360"/>
      </w:pPr>
      <w:r>
        <w:t xml:space="preserve">Company investor relations presentations and earnings call transcripts for program announcements</w:t>
      </w:r>
    </w:p>
    <w:p>
      <w:pPr>
        <w:spacing w:after="120" w:before="120"/>
      </w:pPr>
      <w:r>
        <w:rPr>
          <w:b/>
          <w:bCs/>
        </w:rPr>
        <w:t xml:space="preserve">Exemplary Sub-Prompts:</w:t>
      </w:r>
    </w:p>
    <w:p>
      <w:pPr>
        <w:pStyle w:val="ListParagraph"/>
        <w:numPr>
          <w:ilvl w:val="0"/>
          <w:numId w:val="2"/>
        </w:numPr>
        <w:spacing w:after="120" w:line="360"/>
      </w:pPr>
      <w:r>
        <w:t xml:space="preserve">What is the current clinical trial status for each candidate first-in-class mechanism?</w:t>
      </w:r>
    </w:p>
    <w:p>
      <w:pPr>
        <w:pStyle w:val="ListParagraph"/>
        <w:numPr>
          <w:ilvl w:val="0"/>
          <w:numId w:val="2"/>
        </w:numPr>
        <w:spacing w:after="120" w:line="360"/>
      </w:pPr>
      <w:r>
        <w:t xml:space="preserve">Are there any preclinical development programs disclosed by competitors targeting candidate mechanisms?</w:t>
      </w:r>
    </w:p>
    <w:p>
      <w:pPr>
        <w:pStyle w:val="ListParagraph"/>
        <w:numPr>
          <w:ilvl w:val="0"/>
          <w:numId w:val="2"/>
        </w:numPr>
        <w:spacing w:after="120" w:line="360"/>
      </w:pPr>
      <w:r>
        <w:t xml:space="preserve">Which mechanisms have published research but zero announced development programs or clinical trials?</w:t>
      </w:r>
    </w:p>
    <w:p>
      <w:pPr>
        <w:pStyle w:val="ListParagraph"/>
        <w:numPr>
          <w:ilvl w:val="0"/>
          <w:numId w:val="2"/>
        </w:numPr>
        <w:spacing w:after="120" w:line="360"/>
      </w:pPr>
      <w:r>
        <w:t xml:space="preserve">What is the patent filing activity by competitors for emerging mechanisms?</w:t>
      </w:r>
    </w:p>
    <w:p>
      <w:pPr>
        <w:pStyle w:val="ListParagraph"/>
        <w:numPr>
          <w:ilvl w:val="0"/>
          <w:numId w:val="2"/>
        </w:numPr>
        <w:spacing w:after="120" w:line="360"/>
      </w:pPr>
      <w:r>
        <w:t xml:space="preserve">Are there any white space opportunities where no competitor has staked intellectual property claims?</w:t>
      </w:r>
    </w:p>
    <w:p>
      <w:pPr>
        <w:spacing w:after="120" w:before="120"/>
      </w:pPr>
      <w:r>
        <w:rPr>
          <w:b/>
          <w:bCs/>
        </w:rPr>
        <w:t xml:space="preserve">Expected Outputs:</w:t>
      </w:r>
    </w:p>
    <w:p>
      <w:pPr>
        <w:pStyle w:val="ListParagraph"/>
        <w:numPr>
          <w:ilvl w:val="0"/>
          <w:numId w:val="2"/>
        </w:numPr>
        <w:spacing w:after="120" w:line="360"/>
      </w:pPr>
      <w:r>
        <w:t xml:space="preserve">Clinical trial registry search results confirming white space or minimal competition</w:t>
      </w:r>
    </w:p>
    <w:p>
      <w:pPr>
        <w:pStyle w:val="ListParagraph"/>
        <w:numPr>
          <w:ilvl w:val="0"/>
          <w:numId w:val="2"/>
        </w:numPr>
        <w:spacing w:after="120" w:line="360"/>
      </w:pPr>
      <w:r>
        <w:t xml:space="preserve">Approved drugs and regulatory precedent database for candidate mechanisms</w:t>
      </w:r>
    </w:p>
    <w:p>
      <w:pPr>
        <w:pStyle w:val="ListParagraph"/>
        <w:numPr>
          <w:ilvl w:val="0"/>
          <w:numId w:val="2"/>
        </w:numPr>
        <w:spacing w:after="120" w:line="360"/>
      </w:pPr>
      <w:r>
        <w:t xml:space="preserve">Competitor program status and timeline assessment for any identified programs</w:t>
      </w:r>
    </w:p>
    <w:p>
      <w:pPr>
        <w:pStyle w:val="ListParagraph"/>
        <w:numPr>
          <w:ilvl w:val="0"/>
          <w:numId w:val="2"/>
        </w:numPr>
        <w:spacing w:after="120" w:line="360"/>
      </w:pPr>
      <w:r>
        <w:t xml:space="preserve">Discontinued program analysis and failure reasons for similar mechanisms</w:t>
      </w:r>
    </w:p>
    <w:p>
      <w:pPr>
        <w:pStyle w:val="ListParagraph"/>
        <w:numPr>
          <w:ilvl w:val="0"/>
          <w:numId w:val="2"/>
        </w:numPr>
        <w:spacing w:after="120" w:line="360"/>
      </w:pPr>
      <w:r>
        <w:t xml:space="preserve">Publication and announcement tracking for emerging competitor programs</w:t>
      </w:r>
    </w:p>
    <w:p>
      <w:pPr>
        <w:spacing w:after="240" w:line="360"/>
      </w:pPr>
      <w:r>
        <w:rPr>
          <w:b/>
          <w:bCs/>
        </w:rPr>
        <w:t xml:space="preserve">Format: </w:t>
      </w:r>
      <w:r>
        <w:t xml:space="preserve">All outputs are delivered in multiple formats optimized for scientific review and business development decision-making. Scientific outputs including mechanism analysis and target validation are provided as comprehensive PDF reports with embedded literature citations and figures. Patent landscape analysis is delivered in interactive Excel dashboards enabling filtering by mechanism, target, and geography. Clinical development strategies are provided as detailed Word documents with integrated regulatory timelines and milestone planning. All databases and candidate opportunity inventories are provided in CSV and Excel formats for import into portfolio management and competitive intelligence systems.</w:t>
      </w:r>
    </w:p>
    <w:p>
      <w:pPr>
        <w:pStyle w:val="Heading2"/>
        <w:spacing w:after="200" w:before="200"/>
      </w:pPr>
      <w:r>
        <w:t xml:space="preserve">Stage 4: Scientific Tractability and Target Validation Assessment</w:t>
      </w:r>
    </w:p>
    <w:p>
      <w:pPr>
        <w:spacing w:after="240" w:line="360"/>
      </w:pPr>
      <w:r>
        <w:rPr>
          <w:b/>
          <w:bCs/>
        </w:rPr>
        <w:t xml:space="preserve">Purpose: </w:t>
      </w:r>
      <w:r>
        <w:t xml:space="preserve">The purpose of this stage is to assess scientific tractability and target validation for each first-in-class opportunity by evaluating mechanism-of-action biologic plausibility, in vitro and in vivo evidence supporting target engagement, biomarker and clinical endpoint readiness, and likelihood of successful translation from preclinical models to human clinical efficacy. This stage identifies any fundamental biological or translational barriers that would prevent first-in-class program success and requires resolution before clinical development initiation.</w:t>
      </w:r>
    </w:p>
    <w:p>
      <w:pPr>
        <w:spacing w:after="120"/>
      </w:pPr>
      <w:r>
        <w:rPr>
          <w:b/>
          <w:bCs/>
        </w:rPr>
        <w:t xml:space="preserve">Inputs:</w:t>
      </w:r>
    </w:p>
    <w:p>
      <w:pPr>
        <w:pStyle w:val="ListParagraph"/>
        <w:numPr>
          <w:ilvl w:val="0"/>
          <w:numId w:val="2"/>
        </w:numPr>
        <w:spacing w:after="120" w:line="360"/>
      </w:pPr>
      <w:r>
        <w:t xml:space="preserve">Target validation literature from academic institutions and research centers</w:t>
      </w:r>
    </w:p>
    <w:p>
      <w:pPr>
        <w:pStyle w:val="ListParagraph"/>
        <w:numPr>
          <w:ilvl w:val="0"/>
          <w:numId w:val="2"/>
        </w:numPr>
        <w:spacing w:after="120" w:line="360"/>
      </w:pPr>
      <w:r>
        <w:t xml:space="preserve">In vitro pharmacology studies and target engagement data (published and proprietary)</w:t>
      </w:r>
    </w:p>
    <w:p>
      <w:pPr>
        <w:pStyle w:val="ListParagraph"/>
        <w:numPr>
          <w:ilvl w:val="0"/>
          <w:numId w:val="2"/>
        </w:numPr>
        <w:spacing w:after="120" w:line="360"/>
      </w:pPr>
      <w:r>
        <w:t xml:space="preserve">In vivo efficacy data from transgenic mouse models, xenograft models, and disease models</w:t>
      </w:r>
    </w:p>
    <w:p>
      <w:pPr>
        <w:pStyle w:val="ListParagraph"/>
        <w:numPr>
          <w:ilvl w:val="0"/>
          <w:numId w:val="2"/>
        </w:numPr>
        <w:spacing w:after="120" w:line="360"/>
      </w:pPr>
      <w:r>
        <w:t xml:space="preserve">Published biomarker literature and clinical endpoint readiness assessments</w:t>
      </w:r>
    </w:p>
    <w:p>
      <w:pPr>
        <w:pStyle w:val="ListParagraph"/>
        <w:numPr>
          <w:ilvl w:val="0"/>
          <w:numId w:val="2"/>
        </w:numPr>
        <w:spacing w:after="120" w:line="360"/>
      </w:pPr>
      <w:r>
        <w:t xml:space="preserve">Translational research studies linking target modulation to clinical benefit indicators</w:t>
      </w:r>
    </w:p>
    <w:p>
      <w:pPr>
        <w:spacing w:after="120" w:before="120"/>
      </w:pPr>
      <w:r>
        <w:rPr>
          <w:b/>
          <w:bCs/>
        </w:rPr>
        <w:t xml:space="preserve">Tools &amp; Databases Called:</w:t>
      </w:r>
    </w:p>
    <w:p>
      <w:pPr>
        <w:pStyle w:val="ListParagraph"/>
        <w:numPr>
          <w:ilvl w:val="0"/>
          <w:numId w:val="2"/>
        </w:numPr>
        <w:spacing w:after="120" w:line="360"/>
      </w:pPr>
      <w:r>
        <w:t xml:space="preserve">PubChem and DrugBank for target mechanism-of-action annotations</w:t>
      </w:r>
    </w:p>
    <w:p>
      <w:pPr>
        <w:pStyle w:val="ListParagraph"/>
        <w:numPr>
          <w:ilvl w:val="0"/>
          <w:numId w:val="2"/>
        </w:numPr>
        <w:spacing w:after="120" w:line="360"/>
      </w:pPr>
      <w:r>
        <w:t xml:space="preserve">Literature mining tools (ScienceDirect, Elsevier, SpringerLink) for efficacy and safety data</w:t>
      </w:r>
    </w:p>
    <w:p>
      <w:pPr>
        <w:pStyle w:val="ListParagraph"/>
        <w:numPr>
          <w:ilvl w:val="0"/>
          <w:numId w:val="2"/>
        </w:numPr>
        <w:spacing w:after="120" w:line="360"/>
      </w:pPr>
      <w:r>
        <w:t xml:space="preserve">In vivo model availability databases (JAX Repository, transgenic mouse repository)</w:t>
      </w:r>
    </w:p>
    <w:p>
      <w:pPr>
        <w:pStyle w:val="ListParagraph"/>
        <w:numPr>
          <w:ilvl w:val="0"/>
          <w:numId w:val="2"/>
        </w:numPr>
        <w:spacing w:after="120" w:line="360"/>
      </w:pPr>
      <w:r>
        <w:t xml:space="preserve">Biomarker literature and clinical endpoint readiness assessment studies</w:t>
      </w:r>
    </w:p>
    <w:p>
      <w:pPr>
        <w:pStyle w:val="ListParagraph"/>
        <w:numPr>
          <w:ilvl w:val="0"/>
          <w:numId w:val="2"/>
        </w:numPr>
        <w:spacing w:after="120" w:line="360"/>
      </w:pPr>
      <w:r>
        <w:t xml:space="preserve">Case studies of successful translational research from bench to clinic</w:t>
      </w:r>
    </w:p>
    <w:p>
      <w:pPr>
        <w:spacing w:after="120" w:before="120"/>
      </w:pPr>
      <w:r>
        <w:rPr>
          <w:b/>
          <w:bCs/>
        </w:rPr>
        <w:t xml:space="preserve">Exemplary Sub-Prompts:</w:t>
      </w:r>
    </w:p>
    <w:p>
      <w:pPr>
        <w:pStyle w:val="ListParagraph"/>
        <w:numPr>
          <w:ilvl w:val="0"/>
          <w:numId w:val="2"/>
        </w:numPr>
        <w:spacing w:after="120" w:line="360"/>
      </w:pPr>
      <w:r>
        <w:t xml:space="preserve">What in vitro evidence supports target engagement and mechanism-of-action for each candidate?</w:t>
      </w:r>
    </w:p>
    <w:p>
      <w:pPr>
        <w:pStyle w:val="ListParagraph"/>
        <w:numPr>
          <w:ilvl w:val="0"/>
          <w:numId w:val="2"/>
        </w:numPr>
        <w:spacing w:after="120" w:line="360"/>
      </w:pPr>
      <w:r>
        <w:t xml:space="preserve">Are published animal models available demonstrating efficacy for candidate mechanisms?</w:t>
      </w:r>
    </w:p>
    <w:p>
      <w:pPr>
        <w:pStyle w:val="ListParagraph"/>
        <w:numPr>
          <w:ilvl w:val="0"/>
          <w:numId w:val="2"/>
        </w:numPr>
        <w:spacing w:after="120" w:line="360"/>
      </w:pPr>
      <w:r>
        <w:t xml:space="preserve">What translational barriers or biological questions require resolution before clinical development?</w:t>
      </w:r>
    </w:p>
    <w:p>
      <w:pPr>
        <w:pStyle w:val="ListParagraph"/>
        <w:numPr>
          <w:ilvl w:val="0"/>
          <w:numId w:val="2"/>
        </w:numPr>
        <w:spacing w:after="120" w:line="360"/>
      </w:pPr>
      <w:r>
        <w:t xml:space="preserve">What biomarkers enable proof-of-mechanism and clinical efficacy demonstration for each mechanism?</w:t>
      </w:r>
    </w:p>
    <w:p>
      <w:pPr>
        <w:pStyle w:val="ListParagraph"/>
        <w:numPr>
          <w:ilvl w:val="0"/>
          <w:numId w:val="2"/>
        </w:numPr>
        <w:spacing w:after="120" w:line="360"/>
      </w:pPr>
      <w:r>
        <w:t xml:space="preserve">How do published precedent studies from similar mechanisms inform probability of success for candidate programs?</w:t>
      </w:r>
    </w:p>
    <w:p>
      <w:pPr>
        <w:spacing w:after="120" w:before="120"/>
      </w:pPr>
      <w:r>
        <w:rPr>
          <w:b/>
          <w:bCs/>
        </w:rPr>
        <w:t xml:space="preserve">Expected Outputs:</w:t>
      </w:r>
    </w:p>
    <w:p>
      <w:pPr>
        <w:pStyle w:val="ListParagraph"/>
        <w:numPr>
          <w:ilvl w:val="0"/>
          <w:numId w:val="2"/>
        </w:numPr>
        <w:spacing w:after="120" w:line="360"/>
      </w:pPr>
      <w:r>
        <w:t xml:space="preserve">Target validation evidence database by mechanism with supporting literature citations</w:t>
      </w:r>
    </w:p>
    <w:p>
      <w:pPr>
        <w:pStyle w:val="ListParagraph"/>
        <w:numPr>
          <w:ilvl w:val="0"/>
          <w:numId w:val="2"/>
        </w:numPr>
        <w:spacing w:after="120" w:line="360"/>
      </w:pPr>
      <w:r>
        <w:t xml:space="preserve">In vitro and in vivo efficacy data compilation from published studies</w:t>
      </w:r>
    </w:p>
    <w:p>
      <w:pPr>
        <w:pStyle w:val="ListParagraph"/>
        <w:numPr>
          <w:ilvl w:val="0"/>
          <w:numId w:val="2"/>
        </w:numPr>
        <w:spacing w:after="120" w:line="360"/>
      </w:pPr>
      <w:r>
        <w:t xml:space="preserve">Biomarker readiness assessment and clinical endpoint recommendations</w:t>
      </w:r>
    </w:p>
    <w:p>
      <w:pPr>
        <w:pStyle w:val="ListParagraph"/>
        <w:numPr>
          <w:ilvl w:val="0"/>
          <w:numId w:val="2"/>
        </w:numPr>
        <w:spacing w:after="120" w:line="360"/>
      </w:pPr>
      <w:r>
        <w:t xml:space="preserve">Translational research gap identification and experimental validation requirements</w:t>
      </w:r>
    </w:p>
    <w:p>
      <w:pPr>
        <w:pStyle w:val="ListParagraph"/>
        <w:numPr>
          <w:ilvl w:val="0"/>
          <w:numId w:val="2"/>
        </w:numPr>
        <w:spacing w:after="120" w:line="360"/>
      </w:pPr>
      <w:r>
        <w:t xml:space="preserve">Probability-of-success estimate for clinical translation of each mechanism</w:t>
      </w:r>
    </w:p>
    <w:p>
      <w:pPr>
        <w:spacing w:after="240" w:line="360"/>
      </w:pPr>
      <w:r>
        <w:rPr>
          <w:b/>
          <w:bCs/>
        </w:rPr>
        <w:t xml:space="preserve">Format: </w:t>
      </w:r>
      <w:r>
        <w:t xml:space="preserve">All outputs are delivered in multiple formats optimized for scientific review and business development decision-making. Scientific outputs including mechanism analysis and target validation are provided as comprehensive PDF reports with embedded literature citations and figures. Patent landscape analysis is delivered in interactive Excel dashboards enabling filtering by mechanism, target, and geography. Clinical development strategies are provided as detailed Word documents with integrated regulatory timelines and milestone planning. All databases and candidate opportunity inventories are provided in CSV and Excel formats for import into portfolio management and competitive intelligence systems.</w:t>
      </w:r>
    </w:p>
    <w:p>
      <w:pPr>
        <w:pStyle w:val="Heading2"/>
        <w:spacing w:after="200" w:before="200"/>
      </w:pPr>
      <w:r>
        <w:t xml:space="preserve">Stage 5: Regulatory Pathway and Accelerated Development Opportunity Identification</w:t>
      </w:r>
    </w:p>
    <w:p>
      <w:pPr>
        <w:spacing w:after="240" w:line="360"/>
      </w:pPr>
      <w:r>
        <w:rPr>
          <w:b/>
          <w:bCs/>
        </w:rPr>
        <w:t xml:space="preserve">Purpose: </w:t>
      </w:r>
      <w:r>
        <w:t xml:space="preserve">The purpose of this stage is to identify regulatory pathways and accelerated development opportunities for each first-in-class program by assessing FDA guidance documents, breakthrough therapy designation eligibility, orphan drug status applicability, and fast-track designation potential. This stage evaluates patient population sizes, unmet need magnitude, and regulatory precedent for similar mechanisms to determine optimal clinical development strategy, trial design, and regulatory engagement approach. This stage identifies programs with potential for expedited approval pathways (breakthrough therapy, accelerated approval, conditional approval) enabling faster time-to-market.</w:t>
      </w:r>
    </w:p>
    <w:p>
      <w:pPr>
        <w:spacing w:after="120"/>
      </w:pPr>
      <w:r>
        <w:rPr>
          <w:b/>
          <w:bCs/>
        </w:rPr>
        <w:t xml:space="preserve">Inputs:</w:t>
      </w:r>
    </w:p>
    <w:p>
      <w:pPr>
        <w:pStyle w:val="ListParagraph"/>
        <w:numPr>
          <w:ilvl w:val="0"/>
          <w:numId w:val="2"/>
        </w:numPr>
        <w:spacing w:after="120" w:line="360"/>
      </w:pPr>
      <w:r>
        <w:t xml:space="preserve">FDA guidance documents and regulatory pathway decision trees for novel mechanisms</w:t>
      </w:r>
    </w:p>
    <w:p>
      <w:pPr>
        <w:pStyle w:val="ListParagraph"/>
        <w:numPr>
          <w:ilvl w:val="0"/>
          <w:numId w:val="2"/>
        </w:numPr>
        <w:spacing w:after="120" w:line="360"/>
      </w:pPr>
      <w:r>
        <w:t xml:space="preserve">Breakthrough Therapy Designation and Fast Track designation eligibility criteria</w:t>
      </w:r>
    </w:p>
    <w:p>
      <w:pPr>
        <w:pStyle w:val="ListParagraph"/>
        <w:numPr>
          <w:ilvl w:val="0"/>
          <w:numId w:val="2"/>
        </w:numPr>
        <w:spacing w:after="120" w:line="360"/>
      </w:pPr>
      <w:r>
        <w:t xml:space="preserve">Orphan Drug Act applicability for rare disease indications of first-in-class mechanisms</w:t>
      </w:r>
    </w:p>
    <w:p>
      <w:pPr>
        <w:pStyle w:val="ListParagraph"/>
        <w:numPr>
          <w:ilvl w:val="0"/>
          <w:numId w:val="2"/>
        </w:numPr>
        <w:spacing w:after="120" w:line="360"/>
      </w:pPr>
      <w:r>
        <w:t xml:space="preserve">Clinical trial endpoint guidance documents specific to disease areas of interest</w:t>
      </w:r>
    </w:p>
    <w:p>
      <w:pPr>
        <w:pStyle w:val="ListParagraph"/>
        <w:numPr>
          <w:ilvl w:val="0"/>
          <w:numId w:val="2"/>
        </w:numPr>
        <w:spacing w:after="120" w:line="360"/>
      </w:pPr>
      <w:r>
        <w:t xml:space="preserve">Regulatory precedent from analogous mechanism-of-action program approvals</w:t>
      </w:r>
    </w:p>
    <w:p>
      <w:pPr>
        <w:spacing w:after="120" w:before="120"/>
      </w:pPr>
      <w:r>
        <w:rPr>
          <w:b/>
          <w:bCs/>
        </w:rPr>
        <w:t xml:space="preserve">Tools &amp; Databases Called:</w:t>
      </w:r>
    </w:p>
    <w:p>
      <w:pPr>
        <w:pStyle w:val="ListParagraph"/>
        <w:numPr>
          <w:ilvl w:val="0"/>
          <w:numId w:val="2"/>
        </w:numPr>
        <w:spacing w:after="120" w:line="360"/>
      </w:pPr>
      <w:r>
        <w:t xml:space="preserve">FDA guidance document repositories and regulatory decision summaries</w:t>
      </w:r>
    </w:p>
    <w:p>
      <w:pPr>
        <w:pStyle w:val="ListParagraph"/>
        <w:numPr>
          <w:ilvl w:val="0"/>
          <w:numId w:val="2"/>
        </w:numPr>
        <w:spacing w:after="120" w:line="360"/>
      </w:pPr>
      <w:r>
        <w:t xml:space="preserve">Breakthrough Therapy and Fast Track designation tracking databases</w:t>
      </w:r>
    </w:p>
    <w:p>
      <w:pPr>
        <w:pStyle w:val="ListParagraph"/>
        <w:numPr>
          <w:ilvl w:val="0"/>
          <w:numId w:val="2"/>
        </w:numPr>
        <w:spacing w:after="120" w:line="360"/>
      </w:pPr>
      <w:r>
        <w:t xml:space="preserve">Orphan Drug Act patient population size estimates and rare disease epidemiology</w:t>
      </w:r>
    </w:p>
    <w:p>
      <w:pPr>
        <w:pStyle w:val="ListParagraph"/>
        <w:numPr>
          <w:ilvl w:val="0"/>
          <w:numId w:val="2"/>
        </w:numPr>
        <w:spacing w:after="120" w:line="360"/>
      </w:pPr>
      <w:r>
        <w:t xml:space="preserve">Clinical endpoint guidance by disease area (NINDS, NIA, NIDDK guidance documents)</w:t>
      </w:r>
    </w:p>
    <w:p>
      <w:pPr>
        <w:pStyle w:val="ListParagraph"/>
        <w:numPr>
          <w:ilvl w:val="0"/>
          <w:numId w:val="2"/>
        </w:numPr>
        <w:spacing w:after="120" w:line="360"/>
      </w:pPr>
      <w:r>
        <w:t xml:space="preserve">Regulatory approval timelines and clinical development cost benchmark studies</w:t>
      </w:r>
    </w:p>
    <w:p>
      <w:pPr>
        <w:spacing w:after="120" w:before="120"/>
      </w:pPr>
      <w:r>
        <w:rPr>
          <w:b/>
          <w:bCs/>
        </w:rPr>
        <w:t xml:space="preserve">Exemplary Sub-Prompts:</w:t>
      </w:r>
    </w:p>
    <w:p>
      <w:pPr>
        <w:pStyle w:val="ListParagraph"/>
        <w:numPr>
          <w:ilvl w:val="0"/>
          <w:numId w:val="2"/>
        </w:numPr>
        <w:spacing w:after="120" w:line="360"/>
      </w:pPr>
      <w:r>
        <w:t xml:space="preserve">What is the patient population size for key indications of candidate first-in-class mechanisms?</w:t>
      </w:r>
    </w:p>
    <w:p>
      <w:pPr>
        <w:pStyle w:val="ListParagraph"/>
        <w:numPr>
          <w:ilvl w:val="0"/>
          <w:numId w:val="2"/>
        </w:numPr>
        <w:spacing w:after="120" w:line="360"/>
      </w:pPr>
      <w:r>
        <w:t xml:space="preserve">What unmet medical need exists in disease areas addressed by candidate mechanisms?</w:t>
      </w:r>
    </w:p>
    <w:p>
      <w:pPr>
        <w:pStyle w:val="ListParagraph"/>
        <w:numPr>
          <w:ilvl w:val="0"/>
          <w:numId w:val="2"/>
        </w:numPr>
        <w:spacing w:after="120" w:line="360"/>
      </w:pPr>
      <w:r>
        <w:t xml:space="preserve">Are candidate mechanisms eligible for Breakthrough Therapy Designation under current FDA criteria?</w:t>
      </w:r>
    </w:p>
    <w:p>
      <w:pPr>
        <w:pStyle w:val="ListParagraph"/>
        <w:numPr>
          <w:ilvl w:val="0"/>
          <w:numId w:val="2"/>
        </w:numPr>
        <w:spacing w:after="120" w:line="360"/>
      </w:pPr>
      <w:r>
        <w:t xml:space="preserve">Do candidate indications qualify for Fast Track designation or Orphan Drug designation?</w:t>
      </w:r>
    </w:p>
    <w:p>
      <w:pPr>
        <w:pStyle w:val="ListParagraph"/>
        <w:numPr>
          <w:ilvl w:val="0"/>
          <w:numId w:val="2"/>
        </w:numPr>
        <w:spacing w:after="120" w:line="360"/>
      </w:pPr>
      <w:r>
        <w:t xml:space="preserve">What regulatory precedent exists for comparable mechanisms regarding clinical trial design and endpoints?</w:t>
      </w:r>
    </w:p>
    <w:p>
      <w:pPr>
        <w:spacing w:after="120" w:before="120"/>
      </w:pPr>
      <w:r>
        <w:rPr>
          <w:b/>
          <w:bCs/>
        </w:rPr>
        <w:t xml:space="preserve">Expected Outputs:</w:t>
      </w:r>
    </w:p>
    <w:p>
      <w:pPr>
        <w:pStyle w:val="ListParagraph"/>
        <w:numPr>
          <w:ilvl w:val="0"/>
          <w:numId w:val="2"/>
        </w:numPr>
        <w:spacing w:after="120" w:line="360"/>
      </w:pPr>
      <w:r>
        <w:t xml:space="preserve">Regulatory pathway analysis and decision tree for each candidate first-in-class program</w:t>
      </w:r>
    </w:p>
    <w:p>
      <w:pPr>
        <w:pStyle w:val="ListParagraph"/>
        <w:numPr>
          <w:ilvl w:val="0"/>
          <w:numId w:val="2"/>
        </w:numPr>
        <w:spacing w:after="120" w:line="360"/>
      </w:pPr>
      <w:r>
        <w:t xml:space="preserve">Breakthrough Therapy Designation and Fast Track eligibility assessment</w:t>
      </w:r>
    </w:p>
    <w:p>
      <w:pPr>
        <w:pStyle w:val="ListParagraph"/>
        <w:numPr>
          <w:ilvl w:val="0"/>
          <w:numId w:val="2"/>
        </w:numPr>
        <w:spacing w:after="120" w:line="360"/>
      </w:pPr>
      <w:r>
        <w:t xml:space="preserve">Orphan Drug Designation applicability and market exclusivity runway estimates</w:t>
      </w:r>
    </w:p>
    <w:p>
      <w:pPr>
        <w:pStyle w:val="ListParagraph"/>
        <w:numPr>
          <w:ilvl w:val="0"/>
          <w:numId w:val="2"/>
        </w:numPr>
        <w:spacing w:after="120" w:line="360"/>
      </w:pPr>
      <w:r>
        <w:t xml:space="preserve">Clinical development timeline and phase structure recommendations</w:t>
      </w:r>
    </w:p>
    <w:p>
      <w:pPr>
        <w:pStyle w:val="ListParagraph"/>
        <w:numPr>
          <w:ilvl w:val="0"/>
          <w:numId w:val="2"/>
        </w:numPr>
        <w:spacing w:after="120" w:line="360"/>
      </w:pPr>
      <w:r>
        <w:t xml:space="preserve">Regulatory engagement strategy and FDA pre-IND meeting recommendations</w:t>
      </w:r>
    </w:p>
    <w:p>
      <w:pPr>
        <w:spacing w:after="240" w:line="360"/>
      </w:pPr>
      <w:r>
        <w:rPr>
          <w:b/>
          <w:bCs/>
        </w:rPr>
        <w:t xml:space="preserve">Format: </w:t>
      </w:r>
      <w:r>
        <w:t xml:space="preserve">All outputs are delivered in multiple formats optimized for scientific review and business development decision-making. Scientific outputs including mechanism analysis and target validation are provided as comprehensive PDF reports with embedded literature citations and figures. Patent landscape analysis is delivered in interactive Excel dashboards enabling filtering by mechanism, target, and geography. Clinical development strategies are provided as detailed Word documents with integrated regulatory timelines and milestone planning. All databases and candidate opportunity inventories are provided in CSV and Excel formats for import into portfolio management and competitive intelligence systems.</w:t>
      </w:r>
    </w:p>
    <w:p>
      <w:pPr>
        <w:pStyle w:val="Heading2"/>
        <w:spacing w:after="200" w:before="200"/>
      </w:pPr>
      <w:r>
        <w:t xml:space="preserve">Stage 6: First-in-Class Opportunity Prioritization and Strategy Development</w:t>
      </w:r>
    </w:p>
    <w:p>
      <w:pPr>
        <w:spacing w:after="240" w:line="360"/>
      </w:pPr>
      <w:r>
        <w:rPr>
          <w:b/>
          <w:bCs/>
        </w:rPr>
        <w:t xml:space="preserve">Purpose: </w:t>
      </w:r>
      <w:r>
        <w:t xml:space="preserve">The purpose of this stage is to synthesize all preceding analyses into a strategic prioritization and development plan for the highest-value first-in-class opportunities, integrating scientific merit, commercial opportunity, competitive positioning, regulatory feasibility, and organizational capability alignment. The final stage recommends specific first-in-class programs for immediate development investment, identifies critical de-risking milestones and go/no-go decision points, and provides detailed clinical development strategy incorporating patient selection, biomarker strategies, and regulatory engagement approach.</w:t>
      </w:r>
    </w:p>
    <w:p>
      <w:pPr>
        <w:spacing w:after="120"/>
      </w:pPr>
      <w:r>
        <w:rPr>
          <w:b/>
          <w:bCs/>
        </w:rPr>
        <w:t xml:space="preserve">Inputs:</w:t>
      </w:r>
    </w:p>
    <w:p>
      <w:pPr>
        <w:pStyle w:val="ListParagraph"/>
        <w:numPr>
          <w:ilvl w:val="0"/>
          <w:numId w:val="2"/>
        </w:numPr>
        <w:spacing w:after="120" w:line="360"/>
      </w:pPr>
      <w:r>
        <w:t xml:space="preserve">Multi-criteria decision analysis (MCDA) scoring matrices integrating all preceding outputs</w:t>
      </w:r>
    </w:p>
    <w:p>
      <w:pPr>
        <w:pStyle w:val="ListParagraph"/>
        <w:numPr>
          <w:ilvl w:val="0"/>
          <w:numId w:val="2"/>
        </w:numPr>
        <w:spacing w:after="120" w:line="360"/>
      </w:pPr>
      <w:r>
        <w:t xml:space="preserve">Organizational strategic priorities and R&amp;D portfolio architecture preferences</w:t>
      </w:r>
    </w:p>
    <w:p>
      <w:pPr>
        <w:pStyle w:val="ListParagraph"/>
        <w:numPr>
          <w:ilvl w:val="0"/>
          <w:numId w:val="2"/>
        </w:numPr>
        <w:spacing w:after="120" w:line="360"/>
      </w:pPr>
      <w:r>
        <w:t xml:space="preserve">Competitive intensity assessment and market opportunity quantification by program</w:t>
      </w:r>
    </w:p>
    <w:p>
      <w:pPr>
        <w:pStyle w:val="ListParagraph"/>
        <w:numPr>
          <w:ilvl w:val="0"/>
          <w:numId w:val="2"/>
        </w:numPr>
        <w:spacing w:after="120" w:line="360"/>
      </w:pPr>
      <w:r>
        <w:t xml:space="preserve">Probability-of-success models based on precedent clinical development timelines</w:t>
      </w:r>
    </w:p>
    <w:p>
      <w:pPr>
        <w:pStyle w:val="ListParagraph"/>
        <w:numPr>
          <w:ilvl w:val="0"/>
          <w:numId w:val="2"/>
        </w:numPr>
        <w:spacing w:after="120" w:line="360"/>
      </w:pPr>
      <w:r>
        <w:t xml:space="preserve">Financial modeling including development costs and market exclusivity value estimates</w:t>
      </w:r>
    </w:p>
    <w:p>
      <w:pPr>
        <w:spacing w:after="120" w:before="120"/>
      </w:pPr>
      <w:r>
        <w:rPr>
          <w:b/>
          <w:bCs/>
        </w:rPr>
        <w:t xml:space="preserve">Tools &amp; Databases Called:</w:t>
      </w:r>
    </w:p>
    <w:p>
      <w:pPr>
        <w:pStyle w:val="ListParagraph"/>
        <w:numPr>
          <w:ilvl w:val="0"/>
          <w:numId w:val="2"/>
        </w:numPr>
        <w:spacing w:after="120" w:line="360"/>
      </w:pPr>
      <w:r>
        <w:t xml:space="preserve">Multi-criteria decision analysis software (1000Minds, Hiview3) for integrated scoring</w:t>
      </w:r>
    </w:p>
    <w:p>
      <w:pPr>
        <w:pStyle w:val="ListParagraph"/>
        <w:numPr>
          <w:ilvl w:val="0"/>
          <w:numId w:val="2"/>
        </w:numPr>
        <w:spacing w:after="120" w:line="360"/>
      </w:pPr>
      <w:r>
        <w:t xml:space="preserve">Tableau and Power BI for visualization of opportunity assessment results</w:t>
      </w:r>
    </w:p>
    <w:p>
      <w:pPr>
        <w:pStyle w:val="ListParagraph"/>
        <w:numPr>
          <w:ilvl w:val="0"/>
          <w:numId w:val="2"/>
        </w:numPr>
        <w:spacing w:after="120" w:line="360"/>
      </w:pPr>
      <w:r>
        <w:t xml:space="preserve">Financial modeling tools with NPV calculation and market exclusivity value estimates</w:t>
      </w:r>
    </w:p>
    <w:p>
      <w:pPr>
        <w:pStyle w:val="ListParagraph"/>
        <w:numPr>
          <w:ilvl w:val="0"/>
          <w:numId w:val="2"/>
        </w:numPr>
        <w:spacing w:after="120" w:line="360"/>
      </w:pPr>
      <w:r>
        <w:t xml:space="preserve">Portfolio optimization algorithms (integer linear programming for program selection)</w:t>
      </w:r>
    </w:p>
    <w:p>
      <w:pPr>
        <w:pStyle w:val="ListParagraph"/>
        <w:numPr>
          <w:ilvl w:val="0"/>
          <w:numId w:val="2"/>
        </w:numPr>
        <w:spacing w:after="120" w:line="360"/>
      </w:pPr>
      <w:r>
        <w:t xml:space="preserve">Strategic scenario modeling for go/no-go decision point identification</w:t>
      </w:r>
    </w:p>
    <w:p>
      <w:pPr>
        <w:spacing w:after="120" w:before="120"/>
      </w:pPr>
      <w:r>
        <w:rPr>
          <w:b/>
          <w:bCs/>
        </w:rPr>
        <w:t xml:space="preserve">Exemplary Sub-Prompts:</w:t>
      </w:r>
    </w:p>
    <w:p>
      <w:pPr>
        <w:pStyle w:val="ListParagraph"/>
        <w:numPr>
          <w:ilvl w:val="0"/>
          <w:numId w:val="2"/>
        </w:numPr>
        <w:spacing w:after="120" w:line="360"/>
      </w:pPr>
      <w:r>
        <w:t xml:space="preserve">Which candidate first-in-class mechanisms should be prioritized for immediate development?</w:t>
      </w:r>
    </w:p>
    <w:p>
      <w:pPr>
        <w:pStyle w:val="ListParagraph"/>
        <w:numPr>
          <w:ilvl w:val="0"/>
          <w:numId w:val="2"/>
        </w:numPr>
        <w:spacing w:after="120" w:line="360"/>
      </w:pPr>
      <w:r>
        <w:t xml:space="preserve">What is the go/no-go decision framework and key risk mitigation milestones for each top opportunity?</w:t>
      </w:r>
    </w:p>
    <w:p>
      <w:pPr>
        <w:pStyle w:val="ListParagraph"/>
        <w:numPr>
          <w:ilvl w:val="0"/>
          <w:numId w:val="2"/>
        </w:numPr>
        <w:spacing w:after="120" w:line="360"/>
      </w:pPr>
      <w:r>
        <w:t xml:space="preserve">What clinical development strategy (indication selection, patient population, biomarker strategy) optimizes probability of success?</w:t>
      </w:r>
    </w:p>
    <w:p>
      <w:pPr>
        <w:pStyle w:val="ListParagraph"/>
        <w:numPr>
          <w:ilvl w:val="0"/>
          <w:numId w:val="2"/>
        </w:numPr>
        <w:spacing w:after="120" w:line="360"/>
      </w:pPr>
      <w:r>
        <w:t xml:space="preserve">What is the estimated net present value (NPV) and market exclusivity value for each recommended program?</w:t>
      </w:r>
    </w:p>
    <w:p>
      <w:pPr>
        <w:pStyle w:val="ListParagraph"/>
        <w:numPr>
          <w:ilvl w:val="0"/>
          <w:numId w:val="2"/>
        </w:numPr>
        <w:spacing w:after="120" w:line="360"/>
      </w:pPr>
      <w:r>
        <w:t xml:space="preserve">How should portfolio investment be allocated across multiple first-in-class opportunities to optimize organizational returns?</w:t>
      </w:r>
    </w:p>
    <w:p>
      <w:pPr>
        <w:spacing w:after="120" w:before="120"/>
      </w:pPr>
      <w:r>
        <w:rPr>
          <w:b/>
          <w:bCs/>
        </w:rPr>
        <w:t xml:space="preserve">Expected Outputs:</w:t>
      </w:r>
    </w:p>
    <w:p>
      <w:pPr>
        <w:pStyle w:val="ListParagraph"/>
        <w:numPr>
          <w:ilvl w:val="0"/>
          <w:numId w:val="2"/>
        </w:numPr>
        <w:spacing w:after="120" w:line="360"/>
      </w:pPr>
      <w:r>
        <w:t xml:space="preserve">Ranked priority list of first-in-class opportunities with integrated multi-criteria scoring</w:t>
      </w:r>
    </w:p>
    <w:p>
      <w:pPr>
        <w:pStyle w:val="ListParagraph"/>
        <w:numPr>
          <w:ilvl w:val="0"/>
          <w:numId w:val="2"/>
        </w:numPr>
        <w:spacing w:after="120" w:line="360"/>
      </w:pPr>
      <w:r>
        <w:t xml:space="preserve">Individual program briefing documents with scientific rationale and development strategy</w:t>
      </w:r>
    </w:p>
    <w:p>
      <w:pPr>
        <w:pStyle w:val="ListParagraph"/>
        <w:numPr>
          <w:ilvl w:val="0"/>
          <w:numId w:val="2"/>
        </w:numPr>
        <w:spacing w:after="120" w:line="360"/>
      </w:pPr>
      <w:r>
        <w:t xml:space="preserve">Clinical development plan with patient selection, biomarker strategy, and endpoint recommendations</w:t>
      </w:r>
    </w:p>
    <w:p>
      <w:pPr>
        <w:pStyle w:val="ListParagraph"/>
        <w:numPr>
          <w:ilvl w:val="0"/>
          <w:numId w:val="2"/>
        </w:numPr>
        <w:spacing w:after="120" w:line="360"/>
      </w:pPr>
      <w:r>
        <w:t xml:space="preserve">Go/no-go decision framework with key risk mitigation milestones</w:t>
      </w:r>
    </w:p>
    <w:p>
      <w:pPr>
        <w:pStyle w:val="ListParagraph"/>
        <w:numPr>
          <w:ilvl w:val="0"/>
          <w:numId w:val="2"/>
        </w:numPr>
        <w:spacing w:after="120" w:line="360"/>
      </w:pPr>
      <w:r>
        <w:t xml:space="preserve">Market exclusivity value and net present value (NPV) projections for each priority program</w:t>
      </w:r>
    </w:p>
    <w:p>
      <w:pPr>
        <w:spacing w:after="240" w:line="360"/>
      </w:pPr>
      <w:r>
        <w:rPr>
          <w:b/>
          <w:bCs/>
        </w:rPr>
        <w:t xml:space="preserve">Format: </w:t>
      </w:r>
      <w:r>
        <w:t xml:space="preserve">All outputs are delivered in multiple formats optimized for scientific review and business development decision-making. Scientific outputs including mechanism analysis and target validation are provided as comprehensive PDF reports with embedded literature citations and figures. Patent landscape analysis is delivered in interactive Excel dashboards enabling filtering by mechanism, target, and geography. Clinical development strategies are provided as detailed Word documents with integrated regulatory timelines and milestone planning. All databases and candidate opportunity inventories are provided in CSV and Excel formats for import into portfolio management and competitive intelligence systems.</w:t>
      </w:r>
    </w:p>
    <w:p>
      <w:pPr>
        <w:pStyle w:val="Heading2"/>
        <w:spacing w:after="200" w:before="200"/>
      </w:pPr>
      <w:r>
        <w:t xml:space="preserve">Tools &amp; Databases Summary</w:t>
      </w:r>
    </w:p>
    <w:p>
      <w:pPr>
        <w:pStyle w:val="ListParagraph"/>
        <w:numPr>
          <w:ilvl w:val="0"/>
          <w:numId w:val="2"/>
        </w:numPr>
        <w:spacing w:after="120" w:line="360"/>
      </w:pPr>
      <w:r>
        <w:t xml:space="preserve">PubMed/MEDLINE—National Center for Biotechnology Information (NCBI) comprehensive biomedical literature database with MeSH indexing and advanced Boolean search syntax</w:t>
      </w:r>
    </w:p>
    <w:p>
      <w:pPr>
        <w:pStyle w:val="ListParagraph"/>
        <w:numPr>
          <w:ilvl w:val="0"/>
          <w:numId w:val="2"/>
        </w:numPr>
        <w:spacing w:after="120" w:line="360"/>
      </w:pPr>
      <w:r>
        <w:t xml:space="preserve">Scopus—multidisciplinary abstract and citation database covering life sciences, physical sciences, and social sciences with comprehensive citation tracking and bibliometric analysis</w:t>
      </w:r>
    </w:p>
    <w:p>
      <w:pPr>
        <w:pStyle w:val="ListParagraph"/>
        <w:numPr>
          <w:ilvl w:val="0"/>
          <w:numId w:val="2"/>
        </w:numPr>
        <w:spacing w:after="120" w:line="360"/>
      </w:pPr>
      <w:r>
        <w:t xml:space="preserve">Google Scholar—free academic literature search engine with citation counting and related article discovery for identifying emerging research topics</w:t>
      </w:r>
    </w:p>
    <w:p>
      <w:pPr>
        <w:pStyle w:val="ListParagraph"/>
        <w:numPr>
          <w:ilvl w:val="0"/>
          <w:numId w:val="2"/>
        </w:numPr>
        <w:spacing w:after="120" w:line="360"/>
      </w:pPr>
      <w:r>
        <w:t xml:space="preserve">bioRxiv and medRxiv—preprint repositories for life sciences and medical research enabling early access to emerging findings before formal peer-review publication</w:t>
      </w:r>
    </w:p>
    <w:p>
      <w:pPr>
        <w:pStyle w:val="ListParagraph"/>
        <w:numPr>
          <w:ilvl w:val="0"/>
          <w:numId w:val="2"/>
        </w:numPr>
        <w:spacing w:after="120" w:line="360"/>
      </w:pPr>
      <w:r>
        <w:t xml:space="preserve">NIH RePORTER—searchable database of NIH-funded research projects with abstracts, enabling identification of emerging mechanisms and academic research activity</w:t>
      </w:r>
    </w:p>
    <w:p>
      <w:pPr>
        <w:pStyle w:val="ListParagraph"/>
        <w:numPr>
          <w:ilvl w:val="0"/>
          <w:numId w:val="2"/>
        </w:numPr>
        <w:spacing w:after="120" w:line="360"/>
      </w:pPr>
      <w:r>
        <w:t xml:space="preserve">USPTO Patent Database—comprehensive US patent examination and issued patents database with full-text searching, image retrieval, and classification hierarchies</w:t>
      </w:r>
    </w:p>
    <w:p>
      <w:pPr>
        <w:pStyle w:val="ListParagraph"/>
        <w:numPr>
          <w:ilvl w:val="0"/>
          <w:numId w:val="2"/>
        </w:numPr>
        <w:spacing w:after="120" w:line="360"/>
      </w:pPr>
      <w:r>
        <w:t xml:space="preserve">Google Patents—web-based patent search tool with automatic translation, cited patent tracking, and patent family association discovery</w:t>
      </w:r>
    </w:p>
    <w:p>
      <w:pPr>
        <w:pStyle w:val="ListParagraph"/>
        <w:numPr>
          <w:ilvl w:val="0"/>
          <w:numId w:val="2"/>
        </w:numPr>
        <w:spacing w:after="120" w:line="360"/>
      </w:pPr>
      <w:r>
        <w:t xml:space="preserve">WIPO PCT Database—World Intellectual Property Organization Patent Cooperation Treaty database for international patent filing status and geographic coverage</w:t>
      </w:r>
    </w:p>
    <w:p>
      <w:pPr>
        <w:pStyle w:val="ListParagraph"/>
        <w:numPr>
          <w:ilvl w:val="0"/>
          <w:numId w:val="2"/>
        </w:numPr>
        <w:spacing w:after="120" w:line="360"/>
      </w:pPr>
      <w:r>
        <w:t xml:space="preserve">Espacenet—European Patent Office patent search with machine translation and European and international patent coverage assessment</w:t>
      </w:r>
    </w:p>
    <w:p>
      <w:pPr>
        <w:pStyle w:val="ListParagraph"/>
        <w:numPr>
          <w:ilvl w:val="0"/>
          <w:numId w:val="2"/>
        </w:numPr>
        <w:spacing w:after="120" w:line="360"/>
      </w:pPr>
      <w:r>
        <w:t xml:space="preserve">Derwent Innovation—comprehensive patent landscape analysis tool with competitive intelligence and emerging technology trend detection</w:t>
      </w:r>
    </w:p>
    <w:p>
      <w:pPr>
        <w:pStyle w:val="ListParagraph"/>
        <w:numPr>
          <w:ilvl w:val="0"/>
          <w:numId w:val="2"/>
        </w:numPr>
        <w:spacing w:after="120" w:line="360"/>
      </w:pPr>
      <w:r>
        <w:t xml:space="preserve">ClinicalTrials.gov—US National Institutes of Health registry of clinical studies with protocol details, enrollment status, and results reporting</w:t>
      </w:r>
    </w:p>
    <w:p>
      <w:pPr>
        <w:pStyle w:val="ListParagraph"/>
        <w:numPr>
          <w:ilvl w:val="0"/>
          <w:numId w:val="2"/>
        </w:numPr>
        <w:spacing w:after="120" w:line="360"/>
      </w:pPr>
      <w:r>
        <w:t xml:space="preserve">FDA Approved Drugs Database—comprehensive listing of FDA-approved medications with indication, mechanism-of-action, and approval date information</w:t>
      </w:r>
    </w:p>
    <w:p>
      <w:pPr>
        <w:pStyle w:val="ListParagraph"/>
        <w:numPr>
          <w:ilvl w:val="0"/>
          <w:numId w:val="2"/>
        </w:numPr>
        <w:spacing w:after="120" w:line="360"/>
      </w:pPr>
      <w:r>
        <w:t xml:space="preserve">EMA European Medicines Database—European regulatory approval database with assessment reports and conditional approval decisions</w:t>
      </w:r>
    </w:p>
    <w:p>
      <w:pPr>
        <w:pStyle w:val="ListParagraph"/>
        <w:numPr>
          <w:ilvl w:val="0"/>
          <w:numId w:val="2"/>
        </w:numPr>
        <w:spacing w:after="120" w:line="360"/>
      </w:pPr>
      <w:r>
        <w:t xml:space="preserve">Cortellis/Clarivate—competitive intelligence platform for tracking clinical and preclinical development programs by company and mechanism</w:t>
      </w:r>
    </w:p>
    <w:p>
      <w:pPr>
        <w:pStyle w:val="ListParagraph"/>
        <w:numPr>
          <w:ilvl w:val="0"/>
          <w:numId w:val="2"/>
        </w:numPr>
        <w:spacing w:after="120" w:line="360"/>
      </w:pPr>
      <w:r>
        <w:t xml:space="preserve">GlobalData—pharmaceutical and biotech intelligence platform with pipeline tracking and clinical development insights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2026-03-02T15:57:44.083Z</dcterms:created>
  <dcterms:modified xsi:type="dcterms:W3CDTF">2026-03-02T15:57:44.083Z</dcterms:modified>
</cp:coreProperties>
</file>

<file path=docProps/custom.xml><?xml version="1.0" encoding="utf-8"?>
<Properties xmlns="http://schemas.openxmlformats.org/officeDocument/2006/custom-properties" xmlns:vt="http://schemas.openxmlformats.org/officeDocument/2006/docPropsVTypes"/>
</file>