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Sapphire Pipeline Workflow</w:t>
      </w:r>
    </w:p>
    <w:p>
      <w:pPr>
        <w:pStyle w:val="Heading2"/>
        <w:pStyle w:val="Heading2"/>
      </w:pPr>
      <w:r>
        <w:rPr>
          <w:b/>
          <w:bCs/>
        </w:rPr>
        <w:t xml:space="preserve">Prompt: </w:t>
      </w:r>
      <w:r>
        <w:t xml:space="preserve">"Identify ASO strategies for MECP2 duplication syndrome and rank by predicted functional rescue and toxicity profile."</w:t>
      </w:r>
    </w:p>
    <w:p>
      <w:r>
        <w:t xml:space="preserve">This document defines the complete Sapphire pipeline — the sequential stages, tools called, external datasets used, inputs, outputs, and decision logic — required to deliver a valid, actionable answer to this prompt.</w:t>
      </w:r>
    </w:p>
    <w:p>
      <w:r>
        <w:t xml:space="preserve"> </w:t>
      </w:r>
    </w:p>
    <w:p>
      <w:pPr>
        <w:pStyle w:val="Heading2"/>
        <w:pStyle w:val="Heading2"/>
      </w:pPr>
      <w:r>
        <w:rPr>
          <w:b/>
          <w:bCs/>
        </w:rPr>
        <w:t xml:space="preserve">Pipeline Overview</w:t>
      </w:r>
    </w:p>
    <w:p>
      <w:r>
        <w:t xml:space="preserve">The Sapphire pipeline for MECP2 duplication syndrome ASO strategy identification integrates genomic target prioritization, pharmacochemical property assessment, functional rescue prediction, and toxicity profiling across multiple computational and experimental modalities. This workflow begins with comprehensive target gene and isoform characterization, proceeds through ASO design optimization and functional validation, and culminates in a ranked portfolio of candidates stratified by predicted clinical utility.</w:t>
      </w:r>
    </w:p>
    <w:p>
      <w:r>
        <w:t xml:space="preserve">The pipeline leverages orthogonal data streams including transcript abundance profiling, protein interaction networks, clinical phenotype associations, preclinical rescue models, and safety pharmacology databases to construct a multi-dimensional decision space. Integration of human genetic evidence, cell-based rescue assays, and in silico toxicity modeling ensures that final rankings reflect both therapeutic potential and clinical de-risking considerations.</w:t>
      </w:r>
    </w:p>
    <w:p>
      <w:r>
        <w:t xml:space="preserve"> </w:t>
      </w:r>
    </w:p>
    <w:p>
      <w:pPr>
        <w:pStyle w:val="Heading2"/>
        <w:pStyle w:val="Heading2"/>
      </w:pPr>
      <w:r>
        <w:rPr>
          <w:b/>
          <w:bCs/>
        </w:rPr>
        <w:t xml:space="preserve">Stage 1: MECP2 Isoform Characterization and Target Validation</w:t>
      </w:r>
    </w:p>
    <w:p>
      <w:r>
        <w:rPr>
          <w:b/>
          <w:bCs/>
        </w:rPr>
        <w:t xml:space="preserve">Purpose: </w:t>
      </w:r>
      <w:r>
        <w:t xml:space="preserve">Establish comprehensive molecular profile of MECP2 transcripts, protein domains, and cellular roles to define rational ASO target regions and validate biological tractability.</w:t>
      </w:r>
    </w:p>
    <w:p>
      <w:r>
        <w:rPr>
          <w:b/>
          <w:bCs/>
        </w:rPr>
        <w:t xml:space="preserve">Inputs:</w:t>
      </w:r>
    </w:p>
    <w:p>
      <w:pPr>
        <w:pStyle w:val="ListParagraph"/>
        <w:numPr>
          <w:ilvl w:val="0"/>
          <w:numId w:val="2"/>
        </w:numPr>
      </w:pPr>
      <w:r>
        <w:t xml:space="preserve">MECP2 genomic sequence (GRCh38 reference)</w:t>
      </w:r>
    </w:p>
    <w:p>
      <w:pPr>
        <w:pStyle w:val="ListParagraph"/>
        <w:numPr>
          <w:ilvl w:val="0"/>
          <w:numId w:val="2"/>
        </w:numPr>
      </w:pPr>
      <w:r>
        <w:t xml:space="preserve">MECP2 transcript annotation database (RefSeq, Ensembl, NCBI)</w:t>
      </w:r>
    </w:p>
    <w:p>
      <w:pPr>
        <w:pStyle w:val="ListParagraph"/>
        <w:numPr>
          <w:ilvl w:val="0"/>
          <w:numId w:val="2"/>
        </w:numPr>
      </w:pPr>
      <w:r>
        <w:t xml:space="preserve">Protein domain architecture (Pfam, InterPro, UniProt)</w:t>
      </w:r>
    </w:p>
    <w:p>
      <w:pPr>
        <w:pStyle w:val="ListParagraph"/>
        <w:numPr>
          <w:ilvl w:val="0"/>
          <w:numId w:val="2"/>
        </w:numPr>
      </w:pPr>
      <w:r>
        <w:t xml:space="preserve">RNA-seq expression profiles across brain regions (GTEx, FANTOM5, Human Protein Atlas)</w:t>
      </w:r>
    </w:p>
    <w:p>
      <w:pPr>
        <w:pStyle w:val="ListParagraph"/>
        <w:numPr>
          <w:ilvl w:val="0"/>
          <w:numId w:val="2"/>
        </w:numPr>
      </w:pPr>
      <w:r>
        <w:t xml:space="preserve">MECP2 mutation phenotype database (LOVD, ClinVar, HGMD)</w:t>
      </w:r>
    </w:p>
    <w:p>
      <w:r>
        <w:rPr>
          <w:b/>
          <w:bCs/>
        </w:rPr>
        <w:t xml:space="preserve">Tools &amp; Databases Called:</w:t>
      </w:r>
    </w:p>
    <w:p>
      <w:pPr>
        <w:pStyle w:val="ListParagraph"/>
        <w:numPr>
          <w:ilvl w:val="0"/>
          <w:numId w:val="2"/>
        </w:numPr>
      </w:pPr>
      <w:r>
        <w:rPr>
          <w:b/>
          <w:bCs/>
        </w:rPr>
        <w:t xml:space="preserve">NCBI Gene: </w:t>
      </w:r>
      <w:r>
        <w:t xml:space="preserve">Retrieve full gene annotation, transcript variants, and genomic coordinates</w:t>
      </w:r>
    </w:p>
    <w:p>
      <w:pPr>
        <w:pStyle w:val="ListParagraph"/>
        <w:numPr>
          <w:ilvl w:val="0"/>
          <w:numId w:val="2"/>
        </w:numPr>
      </w:pPr>
      <w:r>
        <w:rPr>
          <w:b/>
          <w:bCs/>
        </w:rPr>
        <w:t xml:space="preserve">Ensembl REST API: </w:t>
      </w:r>
      <w:r>
        <w:t xml:space="preserve">Access canonical transcript sequences and exon-intron boundaries</w:t>
      </w:r>
    </w:p>
    <w:p>
      <w:pPr>
        <w:pStyle w:val="ListParagraph"/>
        <w:numPr>
          <w:ilvl w:val="0"/>
          <w:numId w:val="2"/>
        </w:numPr>
      </w:pPr>
      <w:r>
        <w:rPr>
          <w:b/>
          <w:bCs/>
        </w:rPr>
        <w:t xml:space="preserve">UniProt Database: </w:t>
      </w:r>
      <w:r>
        <w:t xml:space="preserve">Obtain protein sequence, functional domains, and post-translational modifications</w:t>
      </w:r>
    </w:p>
    <w:p>
      <w:pPr>
        <w:pStyle w:val="ListParagraph"/>
        <w:numPr>
          <w:ilvl w:val="0"/>
          <w:numId w:val="2"/>
        </w:numPr>
      </w:pPr>
      <w:r>
        <w:rPr>
          <w:b/>
          <w:bCs/>
        </w:rPr>
        <w:t xml:space="preserve">GTEx Portal: </w:t>
      </w:r>
      <w:r>
        <w:t xml:space="preserve">Query tissue-specific and region-specific transcript abundance</w:t>
      </w:r>
    </w:p>
    <w:p>
      <w:pPr>
        <w:pStyle w:val="ListParagraph"/>
        <w:numPr>
          <w:ilvl w:val="0"/>
          <w:numId w:val="2"/>
        </w:numPr>
      </w:pPr>
      <w:r>
        <w:rPr>
          <w:b/>
          <w:bCs/>
        </w:rPr>
        <w:t xml:space="preserve">ClinVar/LOVD: </w:t>
      </w:r>
      <w:r>
        <w:t xml:space="preserve">Retrieve clinical variant interpretations and genotype-phenotype associations</w:t>
      </w:r>
    </w:p>
    <w:p>
      <w:pPr>
        <w:pStyle w:val="ListParagraph"/>
        <w:numPr>
          <w:ilvl w:val="0"/>
          <w:numId w:val="2"/>
        </w:numPr>
      </w:pPr>
      <w:r>
        <w:rPr>
          <w:b/>
          <w:bCs/>
        </w:rPr>
        <w:t xml:space="preserve">InterPro: </w:t>
      </w:r>
      <w:r>
        <w:t xml:space="preserve">Map conserved protein domains and functional motifs</w:t>
      </w:r>
    </w:p>
    <w:p>
      <w:r>
        <w:rPr>
          <w:b/>
          <w:bCs/>
        </w:rPr>
        <w:t xml:space="preserve">Exemplary Sub-Prompts:</w:t>
      </w:r>
    </w:p>
    <w:p>
      <w:pPr>
        <w:pStyle w:val="ListParagraph"/>
        <w:numPr>
          <w:ilvl w:val="0"/>
          <w:numId w:val="2"/>
        </w:numPr>
      </w:pPr>
      <w:r>
        <w:t xml:space="preserve">What are the alternative transcription start sites, exon usage patterns, and protein isoforms for MECP2, and which are expressed in cortical pyramidal neurons?</w:t>
      </w:r>
    </w:p>
    <w:p>
      <w:pPr>
        <w:pStyle w:val="ListParagraph"/>
        <w:numPr>
          <w:ilvl w:val="0"/>
          <w:numId w:val="2"/>
        </w:numPr>
      </w:pPr>
      <w:r>
        <w:t xml:space="preserve">Define the MeCP2 methyl-CpG-binding domain (MBD), transcriptional repression domain (TRD), and intrinsically disordered regions that are structurally critical for function.</w:t>
      </w:r>
    </w:p>
    <w:p>
      <w:pPr>
        <w:pStyle w:val="ListParagraph"/>
        <w:numPr>
          <w:ilvl w:val="0"/>
          <w:numId w:val="2"/>
        </w:numPr>
      </w:pPr>
      <w:r>
        <w:t xml:space="preserve">Which human MECP2 mutations cause Rett syndrome, MECP2-related disorders, and duplication syndrome, and how do they map to functional domains?</w:t>
      </w:r>
    </w:p>
    <w:p>
      <w:pPr>
        <w:pStyle w:val="ListParagraph"/>
        <w:numPr>
          <w:ilvl w:val="0"/>
          <w:numId w:val="2"/>
        </w:numPr>
      </w:pPr>
      <w:r>
        <w:t xml:space="preserve">What are the cell type-specific and developmental stage-specific expression patterns of MECP2 across the human brain?</w:t>
      </w:r>
    </w:p>
    <w:p>
      <w:pPr>
        <w:pStyle w:val="ListParagraph"/>
        <w:numPr>
          <w:ilvl w:val="0"/>
          <w:numId w:val="2"/>
        </w:numPr>
      </w:pPr>
      <w:r>
        <w:t xml:space="preserve">Which protein-protein interactions and target genes define MeCP2 cellular function in neuronal development, maturation, and maintenance?</w:t>
      </w:r>
    </w:p>
    <w:p>
      <w:r>
        <w:rPr>
          <w:b/>
          <w:bCs/>
        </w:rPr>
        <w:t xml:space="preserve">Expected Outputs:</w:t>
      </w:r>
    </w:p>
    <w:p>
      <w:pPr>
        <w:pStyle w:val="ListParagraph"/>
        <w:numPr>
          <w:ilvl w:val="0"/>
          <w:numId w:val="2"/>
        </w:numPr>
      </w:pPr>
      <w:r>
        <w:t xml:space="preserve">Curated MECP2 transcript annotation file (canonical exon-intron structure, 5'-UTR/3'-UTR boundaries, protein ORF)</w:t>
      </w:r>
    </w:p>
    <w:p>
      <w:pPr>
        <w:pStyle w:val="ListParagraph"/>
        <w:numPr>
          <w:ilvl w:val="0"/>
          <w:numId w:val="2"/>
        </w:numPr>
      </w:pPr>
      <w:r>
        <w:t xml:space="preserve">Protein domain map with coordinates of MBD, TRD, NLS, and other functional motifs</w:t>
      </w:r>
    </w:p>
    <w:p>
      <w:pPr>
        <w:pStyle w:val="ListParagraph"/>
        <w:numPr>
          <w:ilvl w:val="0"/>
          <w:numId w:val="2"/>
        </w:numPr>
      </w:pPr>
      <w:r>
        <w:t xml:space="preserve">Tissue and cell-type expression profile (normalized TPM/FPKM values) highlighting CNS expression</w:t>
      </w:r>
    </w:p>
    <w:p>
      <w:pPr>
        <w:pStyle w:val="ListParagraph"/>
        <w:numPr>
          <w:ilvl w:val="0"/>
          <w:numId w:val="2"/>
        </w:numPr>
      </w:pPr>
      <w:r>
        <w:t xml:space="preserve">Curated mutation database linking MECP2 variants to clinical phenotypes and functional consequences</w:t>
      </w:r>
    </w:p>
    <w:p>
      <w:pPr>
        <w:pStyle w:val="ListParagraph"/>
        <w:numPr>
          <w:ilvl w:val="0"/>
          <w:numId w:val="2"/>
        </w:numPr>
      </w:pPr>
      <w:r>
        <w:t xml:space="preserve">Target region prioritization matrix identifying domains critical for duplication toxicity vs. loss-of-function phenotypes</w:t>
      </w:r>
    </w:p>
    <w:p>
      <w:pPr>
        <w:pStyle w:val="ListParagraph"/>
        <w:numPr>
          <w:ilvl w:val="0"/>
          <w:numId w:val="2"/>
        </w:numPr>
      </w:pPr>
      <w:r>
        <w:t xml:space="preserve">Protein interaction network map defining MeCP2 binding partners and downstream effectors</w:t>
      </w:r>
    </w:p>
    <w:p>
      <w:r>
        <w:rPr>
          <w:b/>
          <w:bCs/>
        </w:rPr>
        <w:t xml:space="preserve">Format: </w:t>
      </w:r>
      <w:r>
        <w:t xml:space="preserve">Structured JSON/CSV files with genomic coordinates, sequence information, functional annotations, and experimental evidence citations.</w:t>
      </w:r>
    </w:p>
    <w:p>
      <w:r>
        <w:t xml:space="preserve"> </w:t>
      </w:r>
    </w:p>
    <w:p>
      <w:pPr>
        <w:pStyle w:val="Heading2"/>
        <w:pStyle w:val="Heading2"/>
      </w:pPr>
      <w:r>
        <w:rPr>
          <w:b/>
          <w:bCs/>
        </w:rPr>
        <w:t xml:space="preserve">Stage 2: ASO Design and Physicochemical Optimization</w:t>
      </w:r>
    </w:p>
    <w:p>
      <w:r>
        <w:rPr>
          <w:b/>
          <w:bCs/>
        </w:rPr>
        <w:t xml:space="preserve">Purpose: </w:t>
      </w:r>
      <w:r>
        <w:t xml:space="preserve">Design ASOs targeting MECP2 transcript regions identified in Stage 1, optimize physicochemical properties, and predict cellular uptake, binding kinetics, and off-target potential.</w:t>
      </w:r>
    </w:p>
    <w:p>
      <w:r>
        <w:rPr>
          <w:b/>
          <w:bCs/>
        </w:rPr>
        <w:t xml:space="preserve">Inputs:</w:t>
      </w:r>
    </w:p>
    <w:p>
      <w:pPr>
        <w:pStyle w:val="ListParagraph"/>
        <w:numPr>
          <w:ilvl w:val="0"/>
          <w:numId w:val="2"/>
        </w:numPr>
      </w:pPr>
      <w:r>
        <w:t xml:space="preserve">MECP2 transcript sequences from Stage 1</w:t>
      </w:r>
    </w:p>
    <w:p>
      <w:pPr>
        <w:pStyle w:val="ListParagraph"/>
        <w:numPr>
          <w:ilvl w:val="0"/>
          <w:numId w:val="2"/>
        </w:numPr>
      </w:pPr>
      <w:r>
        <w:t xml:space="preserve">ASO design rules and chemistry parameters (2'-MOE, phosphorothioate backbone, gapmer structure)</w:t>
      </w:r>
    </w:p>
    <w:p>
      <w:pPr>
        <w:pStyle w:val="ListParagraph"/>
        <w:numPr>
          <w:ilvl w:val="0"/>
          <w:numId w:val="2"/>
        </w:numPr>
      </w:pPr>
      <w:r>
        <w:t xml:space="preserve">Human transcriptome reference (all expressed transcripts for off-target assessment)</w:t>
      </w:r>
    </w:p>
    <w:p>
      <w:pPr>
        <w:pStyle w:val="ListParagraph"/>
        <w:numPr>
          <w:ilvl w:val="0"/>
          <w:numId w:val="2"/>
        </w:numPr>
      </w:pPr>
      <w:r>
        <w:t xml:space="preserve">Secondary structure prediction tools and RNA folding models</w:t>
      </w:r>
    </w:p>
    <w:p>
      <w:pPr>
        <w:pStyle w:val="ListParagraph"/>
        <w:numPr>
          <w:ilvl w:val="0"/>
          <w:numId w:val="2"/>
        </w:numPr>
      </w:pPr>
      <w:r>
        <w:t xml:space="preserve">Physicochemical property databases (logP, molecular weight, polar surface area)</w:t>
      </w:r>
    </w:p>
    <w:p>
      <w:r>
        <w:rPr>
          <w:b/>
          <w:bCs/>
        </w:rPr>
        <w:t xml:space="preserve">Tools &amp; Databases Called:</w:t>
      </w:r>
    </w:p>
    <w:p>
      <w:pPr>
        <w:pStyle w:val="ListParagraph"/>
        <w:numPr>
          <w:ilvl w:val="0"/>
          <w:numId w:val="2"/>
        </w:numPr>
      </w:pPr>
      <w:r>
        <w:rPr>
          <w:b/>
          <w:bCs/>
        </w:rPr>
        <w:t xml:space="preserve">Geneious Prime / BLAST: </w:t>
      </w:r>
      <w:r>
        <w:t xml:space="preserve">Perform sequence alignment and off-target screening against human transcriptome</w:t>
      </w:r>
    </w:p>
    <w:p>
      <w:pPr>
        <w:pStyle w:val="ListParagraph"/>
        <w:numPr>
          <w:ilvl w:val="0"/>
          <w:numId w:val="2"/>
        </w:numPr>
      </w:pPr>
      <w:r>
        <w:rPr>
          <w:b/>
          <w:bCs/>
        </w:rPr>
        <w:t xml:space="preserve">RNAStructure / Mfold: </w:t>
      </w:r>
      <w:r>
        <w:t xml:space="preserve">Predict RNA secondary structure and identify accessible ASO binding sites</w:t>
      </w:r>
    </w:p>
    <w:p>
      <w:pPr>
        <w:pStyle w:val="ListParagraph"/>
        <w:numPr>
          <w:ilvl w:val="0"/>
          <w:numId w:val="2"/>
        </w:numPr>
      </w:pPr>
      <w:r>
        <w:rPr>
          <w:b/>
          <w:bCs/>
        </w:rPr>
        <w:t xml:space="preserve">OligoWalk / Sfold: </w:t>
      </w:r>
      <w:r>
        <w:t xml:space="preserve">Calculate ASO-RNA binding affinity and duplex stability thermodynamics</w:t>
      </w:r>
    </w:p>
    <w:p>
      <w:pPr>
        <w:pStyle w:val="ListParagraph"/>
        <w:numPr>
          <w:ilvl w:val="0"/>
          <w:numId w:val="2"/>
        </w:numPr>
      </w:pPr>
      <w:r>
        <w:rPr>
          <w:b/>
          <w:bCs/>
        </w:rPr>
        <w:t xml:space="preserve">ChemAxon / RDKit: </w:t>
      </w:r>
      <w:r>
        <w:t xml:space="preserve">Calculate molecular weight, logP, hydrogen bond donors/acceptors, and Lipinski-compliant properties</w:t>
      </w:r>
    </w:p>
    <w:p>
      <w:pPr>
        <w:pStyle w:val="ListParagraph"/>
        <w:numPr>
          <w:ilvl w:val="0"/>
          <w:numId w:val="2"/>
        </w:numPr>
      </w:pPr>
      <w:r>
        <w:rPr>
          <w:b/>
          <w:bCs/>
        </w:rPr>
        <w:t xml:space="preserve">Proprietary ASO Design Engine: </w:t>
      </w:r>
      <w:r>
        <w:t xml:space="preserve">Generate candidate ASO sequences with optimized chemistry variants (MOE linkage patterns, backbone modifications)</w:t>
      </w:r>
    </w:p>
    <w:p>
      <w:pPr>
        <w:pStyle w:val="ListParagraph"/>
        <w:numPr>
          <w:ilvl w:val="0"/>
          <w:numId w:val="2"/>
        </w:numPr>
      </w:pPr>
      <w:r>
        <w:rPr>
          <w:b/>
          <w:bCs/>
        </w:rPr>
        <w:t xml:space="preserve">NCBI SNP Database / dbSNP: </w:t>
      </w:r>
      <w:r>
        <w:t xml:space="preserve">Cross-reference ASO binding regions against common human genetic polymorphisms</w:t>
      </w:r>
    </w:p>
    <w:p>
      <w:r>
        <w:rPr>
          <w:b/>
          <w:bCs/>
        </w:rPr>
        <w:t xml:space="preserve">Exemplary Sub-Prompts:</w:t>
      </w:r>
    </w:p>
    <w:p>
      <w:pPr>
        <w:pStyle w:val="ListParagraph"/>
        <w:numPr>
          <w:ilvl w:val="0"/>
          <w:numId w:val="2"/>
        </w:numPr>
      </w:pPr>
      <w:r>
        <w:t xml:space="preserve">What 20-25 nucleotide ASO sequences targeting exon 3 and exon 4 of MECP2 have optimal predicted binding affinity while minimizing off-target hits?</w:t>
      </w:r>
    </w:p>
    <w:p>
      <w:pPr>
        <w:pStyle w:val="ListParagraph"/>
        <w:numPr>
          <w:ilvl w:val="0"/>
          <w:numId w:val="2"/>
        </w:numPr>
      </w:pPr>
      <w:r>
        <w:t xml:space="preserve">For each ASO candidate, calculate predicted cellular uptake rate, receptor-mediated internalization potential, and Tm/Cot kinetics.</w:t>
      </w:r>
    </w:p>
    <w:p>
      <w:pPr>
        <w:pStyle w:val="ListParagraph"/>
        <w:numPr>
          <w:ilvl w:val="0"/>
          <w:numId w:val="2"/>
        </w:numPr>
      </w:pPr>
      <w:r>
        <w:t xml:space="preserve">Which ASO designs achieve optimal balance of MECP2 specificity (&gt;10-fold selectivity over near-cognate transcripts) and physicochemical tractability?</w:t>
      </w:r>
    </w:p>
    <w:p>
      <w:pPr>
        <w:pStyle w:val="ListParagraph"/>
        <w:numPr>
          <w:ilvl w:val="0"/>
          <w:numId w:val="2"/>
        </w:numPr>
      </w:pPr>
      <w:r>
        <w:t xml:space="preserve">How do different 2'-MOE linker positions, gap lengths, and terminal chemistry modifications (PS backbone) impact predicted binding stability and off-target potential?</w:t>
      </w:r>
    </w:p>
    <w:p>
      <w:pPr>
        <w:pStyle w:val="ListParagraph"/>
        <w:numPr>
          <w:ilvl w:val="0"/>
          <w:numId w:val="2"/>
        </w:numPr>
      </w:pPr>
      <w:r>
        <w:t xml:space="preserve">Which ASOs have predicted properties consistent with CNS penetration (logP, molecular weight, protein binding profiles)?</w:t>
      </w:r>
    </w:p>
    <w:p>
      <w:r>
        <w:rPr>
          <w:b/>
          <w:bCs/>
        </w:rPr>
        <w:t xml:space="preserve">Expected Outputs:</w:t>
      </w:r>
    </w:p>
    <w:p>
      <w:pPr>
        <w:pStyle w:val="ListParagraph"/>
        <w:numPr>
          <w:ilvl w:val="0"/>
          <w:numId w:val="2"/>
        </w:numPr>
      </w:pPr>
      <w:r>
        <w:t xml:space="preserve">Ranked ASO candidate library (15-25 sequences) with physicochemical property predictions</w:t>
      </w:r>
    </w:p>
    <w:p>
      <w:pPr>
        <w:pStyle w:val="ListParagraph"/>
        <w:numPr>
          <w:ilvl w:val="0"/>
          <w:numId w:val="2"/>
        </w:numPr>
      </w:pPr>
      <w:r>
        <w:t xml:space="preserve">Off-target assessment report quantifying predicted binding to homologous transcripts and related neuronal genes</w:t>
      </w:r>
    </w:p>
    <w:p>
      <w:pPr>
        <w:pStyle w:val="ListParagraph"/>
        <w:numPr>
          <w:ilvl w:val="0"/>
          <w:numId w:val="2"/>
        </w:numPr>
      </w:pPr>
      <w:r>
        <w:t xml:space="preserve">ASO-RNA binding thermodynamics data (Tm, ΔG, Cot50 predictions) for each candidate</w:t>
      </w:r>
    </w:p>
    <w:p>
      <w:pPr>
        <w:pStyle w:val="ListParagraph"/>
        <w:numPr>
          <w:ilvl w:val="0"/>
          <w:numId w:val="2"/>
        </w:numPr>
      </w:pPr>
      <w:r>
        <w:t xml:space="preserve">Secondary structure impact analysis identifying optimal ASO binding windows within MECP2 transcript</w:t>
      </w:r>
    </w:p>
    <w:p>
      <w:pPr>
        <w:pStyle w:val="ListParagraph"/>
        <w:numPr>
          <w:ilvl w:val="0"/>
          <w:numId w:val="2"/>
        </w:numPr>
      </w:pPr>
      <w:r>
        <w:t xml:space="preserve">Chemistry optimization matrix (2'-MOE position, gap length, backbone chemistry variants)</w:t>
      </w:r>
    </w:p>
    <w:p>
      <w:pPr>
        <w:pStyle w:val="ListParagraph"/>
        <w:numPr>
          <w:ilvl w:val="0"/>
          <w:numId w:val="2"/>
        </w:numPr>
      </w:pPr>
      <w:r>
        <w:t xml:space="preserve">Physicochemical property scorecard (logP, MW, TPSA, PSA, protein binding predictions) for CNS penetration assessment</w:t>
      </w:r>
    </w:p>
    <w:p>
      <w:r>
        <w:rPr>
          <w:b/>
          <w:bCs/>
        </w:rPr>
        <w:t xml:space="preserve">Format: </w:t>
      </w:r>
      <w:r>
        <w:t xml:space="preserve">Spreadsheet with ASO sequence, chemistry variant, thermodynamic predictions, off-target hits, and physicochemical properties.</w:t>
      </w:r>
    </w:p>
    <w:p>
      <w:r>
        <w:t xml:space="preserve"> </w:t>
      </w:r>
    </w:p>
    <w:p>
      <w:pPr>
        <w:pStyle w:val="Heading2"/>
        <w:pStyle w:val="Heading2"/>
      </w:pPr>
      <w:r>
        <w:rPr>
          <w:b/>
          <w:bCs/>
        </w:rPr>
        <w:t xml:space="preserve">Stage 3: MECP2 Duplication Syndrome Phenotype Characterization</w:t>
      </w:r>
    </w:p>
    <w:p>
      <w:r>
        <w:rPr>
          <w:b/>
          <w:bCs/>
        </w:rPr>
        <w:t xml:space="preserve">Purpose: </w:t>
      </w:r>
      <w:r>
        <w:t xml:space="preserve">Define molecular, cellular, and systems-level phenotypes of MECP2 duplication, identify key drivers of neurological dysfunction, and establish functional readouts for rescue validation.</w:t>
      </w:r>
    </w:p>
    <w:p>
      <w:r>
        <w:rPr>
          <w:b/>
          <w:bCs/>
        </w:rPr>
        <w:t xml:space="preserve">Inputs:</w:t>
      </w:r>
    </w:p>
    <w:p>
      <w:pPr>
        <w:pStyle w:val="ListParagraph"/>
        <w:numPr>
          <w:ilvl w:val="0"/>
          <w:numId w:val="2"/>
        </w:numPr>
      </w:pPr>
      <w:r>
        <w:t xml:space="preserve">MECP2 duplication clinical phenotype literature and case reports</w:t>
      </w:r>
    </w:p>
    <w:p>
      <w:pPr>
        <w:pStyle w:val="ListParagraph"/>
        <w:numPr>
          <w:ilvl w:val="0"/>
          <w:numId w:val="2"/>
        </w:numPr>
      </w:pPr>
      <w:r>
        <w:t xml:space="preserve">Transcriptomic data from MECP2-overexpressing cell models and animal models</w:t>
      </w:r>
    </w:p>
    <w:p>
      <w:pPr>
        <w:pStyle w:val="ListParagraph"/>
        <w:numPr>
          <w:ilvl w:val="0"/>
          <w:numId w:val="2"/>
        </w:numPr>
      </w:pPr>
      <w:r>
        <w:t xml:space="preserve">Proteomics and phosphoproteomics datasets from duplication model systems</w:t>
      </w:r>
    </w:p>
    <w:p>
      <w:pPr>
        <w:pStyle w:val="ListParagraph"/>
        <w:numPr>
          <w:ilvl w:val="0"/>
          <w:numId w:val="2"/>
        </w:numPr>
      </w:pPr>
      <w:r>
        <w:t xml:space="preserve">Synaptomic and connectomic data from Mecp2-duplication transgenic mice</w:t>
      </w:r>
    </w:p>
    <w:p>
      <w:pPr>
        <w:pStyle w:val="ListParagraph"/>
        <w:numPr>
          <w:ilvl w:val="0"/>
          <w:numId w:val="2"/>
        </w:numPr>
      </w:pPr>
      <w:r>
        <w:t xml:space="preserve">Neuroimaging and electrophysiology data from patient cohorts and model systems</w:t>
      </w:r>
    </w:p>
    <w:p>
      <w:r>
        <w:rPr>
          <w:b/>
          <w:bCs/>
        </w:rPr>
        <w:t xml:space="preserve">Tools &amp; Databases Called:</w:t>
      </w:r>
    </w:p>
    <w:p>
      <w:pPr>
        <w:pStyle w:val="ListParagraph"/>
        <w:numPr>
          <w:ilvl w:val="0"/>
          <w:numId w:val="2"/>
        </w:numPr>
      </w:pPr>
      <w:r>
        <w:rPr>
          <w:b/>
          <w:bCs/>
        </w:rPr>
        <w:t xml:space="preserve">PubMed / Google Scholar: </w:t>
      </w:r>
      <w:r>
        <w:t xml:space="preserve">Comprehensive literature search for MECP2 duplication clinical and preclinical phenotypes</w:t>
      </w:r>
    </w:p>
    <w:p>
      <w:pPr>
        <w:pStyle w:val="ListParagraph"/>
        <w:numPr>
          <w:ilvl w:val="0"/>
          <w:numId w:val="2"/>
        </w:numPr>
      </w:pPr>
      <w:r>
        <w:rPr>
          <w:b/>
          <w:bCs/>
        </w:rPr>
        <w:t xml:space="preserve">GEO / ArrayExpress: </w:t>
      </w:r>
      <w:r>
        <w:t xml:space="preserve">Access publicly available transcriptomic datasets from MECP2 duplication and overexpression models</w:t>
      </w:r>
    </w:p>
    <w:p>
      <w:pPr>
        <w:pStyle w:val="ListParagraph"/>
        <w:numPr>
          <w:ilvl w:val="0"/>
          <w:numId w:val="2"/>
        </w:numPr>
      </w:pPr>
      <w:r>
        <w:rPr>
          <w:b/>
          <w:bCs/>
        </w:rPr>
        <w:t xml:space="preserve">Reactome / KEGG: </w:t>
      </w:r>
      <w:r>
        <w:t xml:space="preserve">Map dysregulated transcriptional and signaling pathways in MECP2 duplication</w:t>
      </w:r>
    </w:p>
    <w:p>
      <w:pPr>
        <w:pStyle w:val="ListParagraph"/>
        <w:numPr>
          <w:ilvl w:val="0"/>
          <w:numId w:val="2"/>
        </w:numPr>
      </w:pPr>
      <w:r>
        <w:rPr>
          <w:b/>
          <w:bCs/>
        </w:rPr>
        <w:t xml:space="preserve">STRING Database: </w:t>
      </w:r>
      <w:r>
        <w:t xml:space="preserve">Construct protein interaction networks for MeCP2 and its dysregulated targets in duplication</w:t>
      </w:r>
    </w:p>
    <w:p>
      <w:pPr>
        <w:pStyle w:val="ListParagraph"/>
        <w:numPr>
          <w:ilvl w:val="0"/>
          <w:numId w:val="2"/>
        </w:numPr>
      </w:pPr>
      <w:r>
        <w:rPr>
          <w:b/>
          <w:bCs/>
        </w:rPr>
        <w:t xml:space="preserve">Brain Atlas Resources (Allen Brain Atlas, Human Brain Project): </w:t>
      </w:r>
      <w:r>
        <w:t xml:space="preserve">Characterize regional vulnerability patterns and cell-type-specific effects of MECP2 overexpression</w:t>
      </w:r>
    </w:p>
    <w:p>
      <w:pPr>
        <w:pStyle w:val="ListParagraph"/>
        <w:numPr>
          <w:ilvl w:val="0"/>
          <w:numId w:val="2"/>
        </w:numPr>
      </w:pPr>
      <w:r>
        <w:rPr>
          <w:b/>
          <w:bCs/>
        </w:rPr>
        <w:t xml:space="preserve">Mammalian Phenotype Ontology / IMPC: </w:t>
      </w:r>
      <w:r>
        <w:t xml:space="preserve">Cross-reference Mecp2 overexpression models with standardized phenotypic descriptors</w:t>
      </w:r>
    </w:p>
    <w:p>
      <w:r>
        <w:rPr>
          <w:b/>
          <w:bCs/>
        </w:rPr>
        <w:t xml:space="preserve">Exemplary Sub-Prompts:</w:t>
      </w:r>
    </w:p>
    <w:p>
      <w:pPr>
        <w:pStyle w:val="ListParagraph"/>
        <w:numPr>
          <w:ilvl w:val="0"/>
          <w:numId w:val="2"/>
        </w:numPr>
      </w:pPr>
      <w:r>
        <w:t xml:space="preserve">What are the cardinal neurological, behavioral, and developmental phenotypes of MECP2 duplication syndrome (developmental delay, hypotonia, seizures, autism-spectrum features)?</w:t>
      </w:r>
    </w:p>
    <w:p>
      <w:pPr>
        <w:pStyle w:val="ListParagraph"/>
        <w:numPr>
          <w:ilvl w:val="0"/>
          <w:numId w:val="2"/>
        </w:numPr>
      </w:pPr>
      <w:r>
        <w:t xml:space="preserve">Which genes and pathways are dysregulated as a direct consequence of MECP2 overexpression in neuronal and non-neuronal cells?</w:t>
      </w:r>
    </w:p>
    <w:p>
      <w:pPr>
        <w:pStyle w:val="ListParagraph"/>
        <w:numPr>
          <w:ilvl w:val="0"/>
          <w:numId w:val="2"/>
        </w:numPr>
      </w:pPr>
      <w:r>
        <w:t xml:space="preserve">What are the dose-dependent effects of MECP2 overexpression on synaptic plasticity, dendritic spine density, and circuit-level function?</w:t>
      </w:r>
    </w:p>
    <w:p>
      <w:pPr>
        <w:pStyle w:val="ListParagraph"/>
        <w:numPr>
          <w:ilvl w:val="0"/>
          <w:numId w:val="2"/>
        </w:numPr>
      </w:pPr>
      <w:r>
        <w:t xml:space="preserve">Which animal models (transgenic mice, zebrafish, iPSC-derived neurons) most faithfully recapitulate human MECP2 duplication phenotypes?</w:t>
      </w:r>
    </w:p>
    <w:p>
      <w:pPr>
        <w:pStyle w:val="ListParagraph"/>
        <w:numPr>
          <w:ilvl w:val="0"/>
          <w:numId w:val="2"/>
        </w:numPr>
      </w:pPr>
      <w:r>
        <w:t xml:space="preserve">What quantifiable, high-throughput functional readouts (calcium imaging, patch-clamp, morphometry) can sensitively detect MECP2-related neuronal dysfunction?</w:t>
      </w:r>
    </w:p>
    <w:p>
      <w:r>
        <w:rPr>
          <w:b/>
          <w:bCs/>
        </w:rPr>
        <w:t xml:space="preserve">Expected Outputs:</w:t>
      </w:r>
    </w:p>
    <w:p>
      <w:pPr>
        <w:pStyle w:val="ListParagraph"/>
        <w:numPr>
          <w:ilvl w:val="0"/>
          <w:numId w:val="2"/>
        </w:numPr>
      </w:pPr>
      <w:r>
        <w:t xml:space="preserve">Comprehensive phenotype database listing clinical manifestations, severity metrics, and natural history of MECP2 duplication</w:t>
      </w:r>
    </w:p>
    <w:p>
      <w:pPr>
        <w:pStyle w:val="ListParagraph"/>
        <w:numPr>
          <w:ilvl w:val="0"/>
          <w:numId w:val="2"/>
        </w:numPr>
      </w:pPr>
      <w:r>
        <w:t xml:space="preserve">Curated transcriptomic signature of MECP2 overexpression (differentially expressed genes, pathway enrichment, GSEA results)</w:t>
      </w:r>
    </w:p>
    <w:p>
      <w:pPr>
        <w:pStyle w:val="ListParagraph"/>
        <w:numPr>
          <w:ilvl w:val="0"/>
          <w:numId w:val="2"/>
        </w:numPr>
      </w:pPr>
      <w:r>
        <w:t xml:space="preserve">Protein interaction map highlighting MeCP2-binding partners and downstream effectors dysregulated in duplication</w:t>
      </w:r>
    </w:p>
    <w:p>
      <w:pPr>
        <w:pStyle w:val="ListParagraph"/>
        <w:numPr>
          <w:ilvl w:val="0"/>
          <w:numId w:val="2"/>
        </w:numPr>
      </w:pPr>
      <w:r>
        <w:t xml:space="preserve">Cell-type-specific and circuit-level vulnerability mapping (which neural cell types and brain regions are most affected)</w:t>
      </w:r>
    </w:p>
    <w:p>
      <w:pPr>
        <w:pStyle w:val="ListParagraph"/>
        <w:numPr>
          <w:ilvl w:val="0"/>
          <w:numId w:val="2"/>
        </w:numPr>
      </w:pPr>
      <w:r>
        <w:t xml:space="preserve">Functional readout toolkit (assay protocols, sensitivity metrics, effect size benchmarks) for measuring MECP2 dysfunction</w:t>
      </w:r>
    </w:p>
    <w:p>
      <w:pPr>
        <w:pStyle w:val="ListParagraph"/>
        <w:numPr>
          <w:ilvl w:val="0"/>
          <w:numId w:val="2"/>
        </w:numPr>
      </w:pPr>
      <w:r>
        <w:t xml:space="preserve">Mechanistic hypothesis framework linking MECP2 overexpression to downstream neurodevelopmental and neurophysiological phenotypes</w:t>
      </w:r>
    </w:p>
    <w:p>
      <w:r>
        <w:rPr>
          <w:b/>
          <w:bCs/>
        </w:rPr>
        <w:t xml:space="preserve">Format: </w:t>
      </w:r>
      <w:r>
        <w:t xml:space="preserve">Narrative synthesis document with supporting data tables, pathway diagrams, and reference list.</w:t>
      </w:r>
    </w:p>
    <w:p>
      <w:r>
        <w:t xml:space="preserve"> </w:t>
      </w:r>
    </w:p>
    <w:p>
      <w:pPr>
        <w:pStyle w:val="Heading2"/>
        <w:pStyle w:val="Heading2"/>
      </w:pPr>
      <w:r>
        <w:rPr>
          <w:b/>
          <w:bCs/>
        </w:rPr>
        <w:t xml:space="preserve">Stage 4: ASO-Mediated Functional Rescue Prediction</w:t>
      </w:r>
    </w:p>
    <w:p>
      <w:r>
        <w:rPr>
          <w:b/>
          <w:bCs/>
        </w:rPr>
        <w:t xml:space="preserve">Purpose: </w:t>
      </w:r>
      <w:r>
        <w:t xml:space="preserve">Model ASO activity in MECP2 duplication cellular and animal models, predict efficacy of transcript knockdown on disease phenotypes, and quantify functional rescue potential.</w:t>
      </w:r>
    </w:p>
    <w:p>
      <w:r>
        <w:rPr>
          <w:b/>
          <w:bCs/>
        </w:rPr>
        <w:t xml:space="preserve">Inputs:</w:t>
      </w:r>
    </w:p>
    <w:p>
      <w:pPr>
        <w:pStyle w:val="ListParagraph"/>
        <w:numPr>
          <w:ilvl w:val="0"/>
          <w:numId w:val="2"/>
        </w:numPr>
      </w:pPr>
      <w:r>
        <w:t xml:space="preserve">ASO candidate sequences from Stage 2</w:t>
      </w:r>
    </w:p>
    <w:p>
      <w:pPr>
        <w:pStyle w:val="ListParagraph"/>
        <w:numPr>
          <w:ilvl w:val="0"/>
          <w:numId w:val="2"/>
        </w:numPr>
      </w:pPr>
      <w:r>
        <w:t xml:space="preserve">MECP2 duplication disease phenotype data from Stage 3</w:t>
      </w:r>
    </w:p>
    <w:p>
      <w:pPr>
        <w:pStyle w:val="ListParagraph"/>
        <w:numPr>
          <w:ilvl w:val="0"/>
          <w:numId w:val="2"/>
        </w:numPr>
      </w:pPr>
      <w:r>
        <w:t xml:space="preserve">In vitro knockdown efficiency data (qRT-PCR, RNA-seq, protein quantification)</w:t>
      </w:r>
    </w:p>
    <w:p>
      <w:pPr>
        <w:pStyle w:val="ListParagraph"/>
        <w:numPr>
          <w:ilvl w:val="0"/>
          <w:numId w:val="2"/>
        </w:numPr>
      </w:pPr>
      <w:r>
        <w:t xml:space="preserve">Dose-response and pharmacokinetic/pharmacodynamic modeling frameworks</w:t>
      </w:r>
    </w:p>
    <w:p>
      <w:pPr>
        <w:pStyle w:val="ListParagraph"/>
        <w:numPr>
          <w:ilvl w:val="0"/>
          <w:numId w:val="2"/>
        </w:numPr>
      </w:pPr>
      <w:r>
        <w:t xml:space="preserve">Machine learning models trained on ASO-gene interactions and functional outcomes</w:t>
      </w:r>
    </w:p>
    <w:p>
      <w:r>
        <w:rPr>
          <w:b/>
          <w:bCs/>
        </w:rPr>
        <w:t xml:space="preserve">Tools &amp; Databases Called:</w:t>
      </w:r>
    </w:p>
    <w:p>
      <w:pPr>
        <w:pStyle w:val="ListParagraph"/>
        <w:numPr>
          <w:ilvl w:val="0"/>
          <w:numId w:val="2"/>
        </w:numPr>
      </w:pPr>
      <w:r>
        <w:rPr>
          <w:b/>
          <w:bCs/>
        </w:rPr>
        <w:t xml:space="preserve">RNAi Design Engines (e.g., Inviragen, Dharmacon siRNA design): </w:t>
      </w:r>
      <w:r>
        <w:t xml:space="preserve">Predict knockdown efficiency and relative activity ranking for candidate ASOs</w:t>
      </w:r>
    </w:p>
    <w:p>
      <w:pPr>
        <w:pStyle w:val="ListParagraph"/>
        <w:numPr>
          <w:ilvl w:val="0"/>
          <w:numId w:val="2"/>
        </w:numPr>
      </w:pPr>
      <w:r>
        <w:rPr>
          <w:b/>
          <w:bCs/>
        </w:rPr>
        <w:t xml:space="preserve">Antisense Oligonucleotide Database (AODB): </w:t>
      </w:r>
      <w:r>
        <w:t xml:space="preserve">Cross-reference published ASO sequences and their reported in vitro/in vivo knockdown percentages</w:t>
      </w:r>
    </w:p>
    <w:p>
      <w:pPr>
        <w:pStyle w:val="ListParagraph"/>
        <w:numPr>
          <w:ilvl w:val="0"/>
          <w:numId w:val="2"/>
        </w:numPr>
      </w:pPr>
      <w:r>
        <w:rPr>
          <w:b/>
          <w:bCs/>
        </w:rPr>
        <w:t xml:space="preserve">Molecular Dynamics Simulation Packages (GROMACS, NAMD): </w:t>
      </w:r>
      <w:r>
        <w:t xml:space="preserve">Model ASO-RNA duplex stability and conformational dynamics</w:t>
      </w:r>
    </w:p>
    <w:p>
      <w:pPr>
        <w:pStyle w:val="ListParagraph"/>
        <w:numPr>
          <w:ilvl w:val="0"/>
          <w:numId w:val="2"/>
        </w:numPr>
      </w:pPr>
      <w:r>
        <w:rPr>
          <w:b/>
          <w:bCs/>
        </w:rPr>
        <w:t xml:space="preserve">CellOracle / Scenic: </w:t>
      </w:r>
      <w:r>
        <w:t xml:space="preserve">Predict transcriptional network responses to MECP2 reduction using regulatory network models</w:t>
      </w:r>
    </w:p>
    <w:p>
      <w:pPr>
        <w:pStyle w:val="ListParagraph"/>
        <w:numPr>
          <w:ilvl w:val="0"/>
          <w:numId w:val="2"/>
        </w:numPr>
      </w:pPr>
      <w:r>
        <w:rPr>
          <w:b/>
          <w:bCs/>
        </w:rPr>
        <w:t xml:space="preserve">Machine Learning Regression Models (Random Forest, XGBoost): </w:t>
      </w:r>
      <w:r>
        <w:t xml:space="preserve">Train on published ASO-phenotype datasets to predict rescue efficacy for novel candidates</w:t>
      </w:r>
    </w:p>
    <w:p>
      <w:pPr>
        <w:pStyle w:val="ListParagraph"/>
        <w:numPr>
          <w:ilvl w:val="0"/>
          <w:numId w:val="2"/>
        </w:numPr>
      </w:pPr>
      <w:r>
        <w:rPr>
          <w:b/>
          <w:bCs/>
        </w:rPr>
        <w:t xml:space="preserve">Phenotype Simulator (custom or PathwayDesigner): </w:t>
      </w:r>
      <w:r>
        <w:t xml:space="preserve">Simulate functional outcomes (synaptic plasticity, circuit behavior, animal behavior) following MECP2 knockdown</w:t>
      </w:r>
    </w:p>
    <w:p>
      <w:r>
        <w:rPr>
          <w:b/>
          <w:bCs/>
        </w:rPr>
        <w:t xml:space="preserve">Exemplary Sub-Prompts:</w:t>
      </w:r>
    </w:p>
    <w:p>
      <w:pPr>
        <w:pStyle w:val="ListParagraph"/>
        <w:numPr>
          <w:ilvl w:val="0"/>
          <w:numId w:val="2"/>
        </w:numPr>
      </w:pPr>
      <w:r>
        <w:t xml:space="preserve">For each ASO candidate, predict transcript knockdown efficiency (% reduction in steady-state MECP2 mRNA) based on published ASO-RNA interaction models.</w:t>
      </w:r>
    </w:p>
    <w:p>
      <w:pPr>
        <w:pStyle w:val="ListParagraph"/>
        <w:numPr>
          <w:ilvl w:val="0"/>
          <w:numId w:val="2"/>
        </w:numPr>
      </w:pPr>
      <w:r>
        <w:t xml:space="preserve">What level of MECP2 reduction is required to achieve phenotypic rescue in MECP2 duplication models (from literature or animal model data)?</w:t>
      </w:r>
    </w:p>
    <w:p>
      <w:pPr>
        <w:pStyle w:val="ListParagraph"/>
        <w:numPr>
          <w:ilvl w:val="0"/>
          <w:numId w:val="2"/>
        </w:numPr>
      </w:pPr>
      <w:r>
        <w:t xml:space="preserve">Which downstream transcriptional and signaling pathways are predicted to normalize following ASO-mediated MECP2 knockdown?</w:t>
      </w:r>
    </w:p>
    <w:p>
      <w:pPr>
        <w:pStyle w:val="ListParagraph"/>
        <w:numPr>
          <w:ilvl w:val="0"/>
          <w:numId w:val="2"/>
        </w:numPr>
      </w:pPr>
      <w:r>
        <w:t xml:space="preserve">Using machine learning models trained on publicly available ASO efficacy data, predict the rank-order potency and functional rescue capacity of each ASO candidate.</w:t>
      </w:r>
    </w:p>
    <w:p>
      <w:pPr>
        <w:pStyle w:val="ListParagraph"/>
        <w:numPr>
          <w:ilvl w:val="0"/>
          <w:numId w:val="2"/>
        </w:numPr>
      </w:pPr>
      <w:r>
        <w:t xml:space="preserve">What is the predicted dose-response relationship between ASO concentration and degree of MECP2 knockdown and phenotypic rescue in neuronal models?</w:t>
      </w:r>
    </w:p>
    <w:p>
      <w:r>
        <w:rPr>
          <w:b/>
          <w:bCs/>
        </w:rPr>
        <w:t xml:space="preserve">Expected Outputs:</w:t>
      </w:r>
    </w:p>
    <w:p>
      <w:pPr>
        <w:pStyle w:val="ListParagraph"/>
        <w:numPr>
          <w:ilvl w:val="0"/>
          <w:numId w:val="2"/>
        </w:numPr>
      </w:pPr>
      <w:r>
        <w:t xml:space="preserve">Knockdown efficiency predictions for each ASO candidate (% transcript reduction at optimal concentration)</w:t>
      </w:r>
    </w:p>
    <w:p>
      <w:pPr>
        <w:pStyle w:val="ListParagraph"/>
        <w:numPr>
          <w:ilvl w:val="0"/>
          <w:numId w:val="2"/>
        </w:numPr>
      </w:pPr>
      <w:r>
        <w:t xml:space="preserve">Functional rescue scoring matrix mapping ASO-mediated MECP2 reduction to predicted reversal of disease phenotypes</w:t>
      </w:r>
    </w:p>
    <w:p>
      <w:pPr>
        <w:pStyle w:val="ListParagraph"/>
        <w:numPr>
          <w:ilvl w:val="0"/>
          <w:numId w:val="2"/>
        </w:numPr>
      </w:pPr>
      <w:r>
        <w:t xml:space="preserve">Dose-response curves and EC50 estimates for ASO activity</w:t>
      </w:r>
    </w:p>
    <w:p>
      <w:pPr>
        <w:pStyle w:val="ListParagraph"/>
        <w:numPr>
          <w:ilvl w:val="0"/>
          <w:numId w:val="2"/>
        </w:numPr>
      </w:pPr>
      <w:r>
        <w:t xml:space="preserve">Transcriptome normalization predictions (pathway-level analysis of gene expression changes following MECP2 knockdown)</w:t>
      </w:r>
    </w:p>
    <w:p>
      <w:pPr>
        <w:pStyle w:val="ListParagraph"/>
        <w:numPr>
          <w:ilvl w:val="0"/>
          <w:numId w:val="2"/>
        </w:numPr>
      </w:pPr>
      <w:r>
        <w:t xml:space="preserve">Functional readout predictions (synaptic plasticity, motor behavior, seizure phenotypes) for each ASO-dose combination</w:t>
      </w:r>
    </w:p>
    <w:p>
      <w:pPr>
        <w:pStyle w:val="ListParagraph"/>
        <w:numPr>
          <w:ilvl w:val="0"/>
          <w:numId w:val="2"/>
        </w:numPr>
      </w:pPr>
      <w:r>
        <w:t xml:space="preserve">Machine learning model performance metrics (R-squared, feature importance, cross-validation accuracy) supporting rescue predictions</w:t>
      </w:r>
    </w:p>
    <w:p>
      <w:r>
        <w:rPr>
          <w:b/>
          <w:bCs/>
        </w:rPr>
        <w:t xml:space="preserve">Format: </w:t>
      </w:r>
      <w:r>
        <w:t xml:space="preserve">Data tables with dose-response curves, ranking scores, and performance metrics; supporting narrative explaining modeling assumptions and confidence intervals.</w:t>
      </w:r>
    </w:p>
    <w:p>
      <w:r>
        <w:t xml:space="preserve"> </w:t>
      </w:r>
    </w:p>
    <w:p>
      <w:pPr>
        <w:pStyle w:val="Heading2"/>
        <w:pStyle w:val="Heading2"/>
      </w:pPr>
      <w:r>
        <w:rPr>
          <w:b/>
          <w:bCs/>
        </w:rPr>
        <w:t xml:space="preserve">Stage 5: Toxicity and Safety Pharmacology Assessment</w:t>
      </w:r>
    </w:p>
    <w:p>
      <w:r>
        <w:rPr>
          <w:b/>
          <w:bCs/>
        </w:rPr>
        <w:t xml:space="preserve">Purpose: </w:t>
      </w:r>
      <w:r>
        <w:t xml:space="preserve">Comprehensively assess predicted off-target effects, immune activation potential, organ toxicity, and safety liabilities of each ASO candidate to enable evidence-based safety ranking.</w:t>
      </w:r>
    </w:p>
    <w:p>
      <w:r>
        <w:rPr>
          <w:b/>
          <w:bCs/>
        </w:rPr>
        <w:t xml:space="preserve">Inputs:</w:t>
      </w:r>
    </w:p>
    <w:p>
      <w:pPr>
        <w:pStyle w:val="ListParagraph"/>
        <w:numPr>
          <w:ilvl w:val="0"/>
          <w:numId w:val="2"/>
        </w:numPr>
      </w:pPr>
      <w:r>
        <w:t xml:space="preserve">ASO candidate sequences and physicochemical properties from Stage 2</w:t>
      </w:r>
    </w:p>
    <w:p>
      <w:pPr>
        <w:pStyle w:val="ListParagraph"/>
        <w:numPr>
          <w:ilvl w:val="0"/>
          <w:numId w:val="2"/>
        </w:numPr>
      </w:pPr>
      <w:r>
        <w:t xml:space="preserve">Human and preclinical transcriptome databases for off-target prediction</w:t>
      </w:r>
    </w:p>
    <w:p>
      <w:pPr>
        <w:pStyle w:val="ListParagraph"/>
        <w:numPr>
          <w:ilvl w:val="0"/>
          <w:numId w:val="2"/>
        </w:numPr>
      </w:pPr>
      <w:r>
        <w:t xml:space="preserve">Published ASO safety pharmacology data and adverse event profiles</w:t>
      </w:r>
    </w:p>
    <w:p>
      <w:pPr>
        <w:pStyle w:val="ListParagraph"/>
        <w:numPr>
          <w:ilvl w:val="0"/>
          <w:numId w:val="2"/>
        </w:numPr>
      </w:pPr>
      <w:r>
        <w:t xml:space="preserve">Immune activation potential databases (TLR binding predictions, cytokine signatures)</w:t>
      </w:r>
    </w:p>
    <w:p>
      <w:pPr>
        <w:pStyle w:val="ListParagraph"/>
        <w:numPr>
          <w:ilvl w:val="0"/>
          <w:numId w:val="2"/>
        </w:numPr>
      </w:pPr>
      <w:r>
        <w:t xml:space="preserve">Organ and CNS penetration models, safety biomarker databases</w:t>
      </w:r>
    </w:p>
    <w:p>
      <w:r>
        <w:rPr>
          <w:b/>
          <w:bCs/>
        </w:rPr>
        <w:t xml:space="preserve">Tools &amp; Databases Called:</w:t>
      </w:r>
    </w:p>
    <w:p>
      <w:pPr>
        <w:pStyle w:val="ListParagraph"/>
        <w:numPr>
          <w:ilvl w:val="0"/>
          <w:numId w:val="2"/>
        </w:numPr>
      </w:pPr>
      <w:r>
        <w:rPr>
          <w:b/>
          <w:bCs/>
        </w:rPr>
        <w:t xml:space="preserve">Ensembl BLAST / BLAT: </w:t>
      </w:r>
      <w:r>
        <w:t xml:space="preserve">Perform comprehensive off-target screening across all human transcripts to identify near-cognate interactions</w:t>
      </w:r>
    </w:p>
    <w:p>
      <w:pPr>
        <w:pStyle w:val="ListParagraph"/>
        <w:numPr>
          <w:ilvl w:val="0"/>
          <w:numId w:val="2"/>
        </w:numPr>
      </w:pPr>
      <w:r>
        <w:rPr>
          <w:b/>
          <w:bCs/>
        </w:rPr>
        <w:t xml:space="preserve">ImmunoInformaticsDB / NetMHC: </w:t>
      </w:r>
      <w:r>
        <w:t xml:space="preserve">Predict TLR3/7/8 binding potential and immunogenicity of ASO sequences</w:t>
      </w:r>
    </w:p>
    <w:p>
      <w:pPr>
        <w:pStyle w:val="ListParagraph"/>
        <w:numPr>
          <w:ilvl w:val="0"/>
          <w:numId w:val="2"/>
        </w:numPr>
      </w:pPr>
      <w:r>
        <w:rPr>
          <w:b/>
          <w:bCs/>
        </w:rPr>
        <w:t xml:space="preserve">Tox2.1 / ToxCast: </w:t>
      </w:r>
      <w:r>
        <w:t xml:space="preserve">Query in vitro and in vivo toxicology data for ASO chemistry variants and physicochemical properties</w:t>
      </w:r>
    </w:p>
    <w:p>
      <w:pPr>
        <w:pStyle w:val="ListParagraph"/>
        <w:numPr>
          <w:ilvl w:val="0"/>
          <w:numId w:val="2"/>
        </w:numPr>
      </w:pPr>
      <w:r>
        <w:rPr>
          <w:b/>
          <w:bCs/>
        </w:rPr>
        <w:t xml:space="preserve">DrugBank / SIDER: </w:t>
      </w:r>
      <w:r>
        <w:t xml:space="preserve">Cross-reference adverse event profiles from approved ASO therapeutics with similar chemistry or target biology</w:t>
      </w:r>
    </w:p>
    <w:p>
      <w:pPr>
        <w:pStyle w:val="ListParagraph"/>
        <w:numPr>
          <w:ilvl w:val="0"/>
          <w:numId w:val="2"/>
        </w:numPr>
      </w:pPr>
      <w:r>
        <w:rPr>
          <w:b/>
          <w:bCs/>
        </w:rPr>
        <w:t xml:space="preserve">Organ-Specific Toxicity Models (iPSC-derived hepatocytes, renal cells, CNS tissue): </w:t>
      </w:r>
      <w:r>
        <w:t xml:space="preserve">Predict organ-level safety liabilities based on molecular properties and target biology</w:t>
      </w:r>
    </w:p>
    <w:p>
      <w:pPr>
        <w:pStyle w:val="ListParagraph"/>
        <w:numPr>
          <w:ilvl w:val="0"/>
          <w:numId w:val="2"/>
        </w:numPr>
      </w:pPr>
      <w:r>
        <w:rPr>
          <w:b/>
          <w:bCs/>
        </w:rPr>
        <w:t xml:space="preserve">PharmacokineticsDatabase / PBPK Modeling: </w:t>
      </w:r>
      <w:r>
        <w:t xml:space="preserve">Predict CNS penetration, tissue distribution, and clearance rates influencing local toxicity risk</w:t>
      </w:r>
    </w:p>
    <w:p>
      <w:r>
        <w:rPr>
          <w:b/>
          <w:bCs/>
        </w:rPr>
        <w:t xml:space="preserve">Exemplary Sub-Prompts:</w:t>
      </w:r>
    </w:p>
    <w:p>
      <w:pPr>
        <w:pStyle w:val="ListParagraph"/>
        <w:numPr>
          <w:ilvl w:val="0"/>
          <w:numId w:val="2"/>
        </w:numPr>
      </w:pPr>
      <w:r>
        <w:t xml:space="preserve">For each ASO, comprehensively predict off-target interactions across all human transcripts, identifying any hits to genes critical for neuronal development or CNS homeostasis.</w:t>
      </w:r>
    </w:p>
    <w:p>
      <w:pPr>
        <w:pStyle w:val="ListParagraph"/>
        <w:numPr>
          <w:ilvl w:val="0"/>
          <w:numId w:val="2"/>
        </w:numPr>
      </w:pPr>
      <w:r>
        <w:t xml:space="preserve">What is the predicted immune activation potential of each ASO based on TLR-binding predictions and published immunogenicity data for PS-modified oligonucleotides?</w:t>
      </w:r>
    </w:p>
    <w:p>
      <w:pPr>
        <w:pStyle w:val="ListParagraph"/>
        <w:numPr>
          <w:ilvl w:val="0"/>
          <w:numId w:val="2"/>
        </w:numPr>
      </w:pPr>
      <w:r>
        <w:t xml:space="preserve">Based on chemistry variants and physicochemical properties, predict hepatotoxicity, nephrotoxicity, and hematotoxicity liabilities for each candidate.</w:t>
      </w:r>
    </w:p>
    <w:p>
      <w:pPr>
        <w:pStyle w:val="ListParagraph"/>
        <w:numPr>
          <w:ilvl w:val="0"/>
          <w:numId w:val="2"/>
        </w:numPr>
      </w:pPr>
      <w:r>
        <w:t xml:space="preserve">Which ASO candidates have predicted liver accumulation or tissue binding that could increase systemic toxicity risk?</w:t>
      </w:r>
    </w:p>
    <w:p>
      <w:pPr>
        <w:pStyle w:val="ListParagraph"/>
        <w:numPr>
          <w:ilvl w:val="0"/>
          <w:numId w:val="2"/>
        </w:numPr>
      </w:pPr>
      <w:r>
        <w:t xml:space="preserve">What is the predicted CNS safety profile for each ASO (blood-brain barrier penetration, neuroinflammation potential, microglial activation)?</w:t>
      </w:r>
    </w:p>
    <w:p>
      <w:r>
        <w:rPr>
          <w:b/>
          <w:bCs/>
        </w:rPr>
        <w:t xml:space="preserve">Expected Outputs:</w:t>
      </w:r>
    </w:p>
    <w:p>
      <w:pPr>
        <w:pStyle w:val="ListParagraph"/>
        <w:numPr>
          <w:ilvl w:val="0"/>
          <w:numId w:val="2"/>
        </w:numPr>
      </w:pPr>
      <w:r>
        <w:t xml:space="preserve">Off-target interaction report (gene hits, conservation score, predicted binding affinity, toxicological relevance)</w:t>
      </w:r>
    </w:p>
    <w:p>
      <w:pPr>
        <w:pStyle w:val="ListParagraph"/>
        <w:numPr>
          <w:ilvl w:val="0"/>
          <w:numId w:val="2"/>
        </w:numPr>
      </w:pPr>
      <w:r>
        <w:t xml:space="preserve">Immunogenicity prediction matrix (TLR3/7/8 binding probability, cytokine signatures, published precedent for chemistry variant)</w:t>
      </w:r>
    </w:p>
    <w:p>
      <w:pPr>
        <w:pStyle w:val="ListParagraph"/>
        <w:numPr>
          <w:ilvl w:val="0"/>
          <w:numId w:val="2"/>
        </w:numPr>
      </w:pPr>
      <w:r>
        <w:t xml:space="preserve">Organ-specific toxicity predictions (hepatic, renal, cardiac, hematologic, CNS-specific safety liabilities)</w:t>
      </w:r>
    </w:p>
    <w:p>
      <w:pPr>
        <w:pStyle w:val="ListParagraph"/>
        <w:numPr>
          <w:ilvl w:val="0"/>
          <w:numId w:val="2"/>
        </w:numPr>
      </w:pPr>
      <w:r>
        <w:t xml:space="preserve">Safety pharmacology scoring system ranking ASOs by predicted adverse event probability</w:t>
      </w:r>
    </w:p>
    <w:p>
      <w:pPr>
        <w:pStyle w:val="ListParagraph"/>
        <w:numPr>
          <w:ilvl w:val="0"/>
          <w:numId w:val="2"/>
        </w:numPr>
      </w:pPr>
      <w:r>
        <w:t xml:space="preserve">Tissue distribution and pharmacokinetic predictions influencing safety margin calculations</w:t>
      </w:r>
    </w:p>
    <w:p>
      <w:pPr>
        <w:pStyle w:val="ListParagraph"/>
        <w:numPr>
          <w:ilvl w:val="0"/>
          <w:numId w:val="2"/>
        </w:numPr>
      </w:pPr>
      <w:r>
        <w:t xml:space="preserve">Comparative safety profile benchmarking against approved ASO therapeutics (nusinersen, inotersen, golodirsen) to contextualize risk</w:t>
      </w:r>
    </w:p>
    <w:p>
      <w:r>
        <w:rPr>
          <w:b/>
          <w:bCs/>
        </w:rPr>
        <w:t xml:space="preserve">Format: </w:t>
      </w:r>
      <w:r>
        <w:t xml:space="preserve">Structured safety report with risk tables, off-target interaction matrices, and mechanistic explanations of predicted toxicity liabilities.</w:t>
      </w:r>
    </w:p>
    <w:p>
      <w:r>
        <w:t xml:space="preserve"> </w:t>
      </w:r>
    </w:p>
    <w:p>
      <w:pPr>
        <w:pStyle w:val="Heading2"/>
        <w:pStyle w:val="Heading2"/>
      </w:pPr>
      <w:r>
        <w:rPr>
          <w:b/>
          <w:bCs/>
        </w:rPr>
        <w:t xml:space="preserve">Stage 6: Integrated Ranking and Clinical Translation Readiness</w:t>
      </w:r>
    </w:p>
    <w:p>
      <w:r>
        <w:rPr>
          <w:b/>
          <w:bCs/>
        </w:rPr>
        <w:t xml:space="preserve">Purpose: </w:t>
      </w:r>
      <w:r>
        <w:t xml:space="preserve">Synthesize rescue efficacy and toxicity assessments across all ASO candidates, generate multi-parameter ranking, and define clinical translation readiness roadmap.</w:t>
      </w:r>
    </w:p>
    <w:p>
      <w:r>
        <w:rPr>
          <w:b/>
          <w:bCs/>
        </w:rPr>
        <w:t xml:space="preserve">Inputs:</w:t>
      </w:r>
    </w:p>
    <w:p>
      <w:pPr>
        <w:pStyle w:val="ListParagraph"/>
        <w:numPr>
          <w:ilvl w:val="0"/>
          <w:numId w:val="2"/>
        </w:numPr>
      </w:pPr>
      <w:r>
        <w:t xml:space="preserve">ASO physicochemical properties from Stage 2</w:t>
      </w:r>
    </w:p>
    <w:p>
      <w:pPr>
        <w:pStyle w:val="ListParagraph"/>
        <w:numPr>
          <w:ilvl w:val="0"/>
          <w:numId w:val="2"/>
        </w:numPr>
      </w:pPr>
      <w:r>
        <w:t xml:space="preserve">Functional rescue scores from Stage 4</w:t>
      </w:r>
    </w:p>
    <w:p>
      <w:pPr>
        <w:pStyle w:val="ListParagraph"/>
        <w:numPr>
          <w:ilvl w:val="0"/>
          <w:numId w:val="2"/>
        </w:numPr>
      </w:pPr>
      <w:r>
        <w:t xml:space="preserve">Toxicity and safety assessments from Stage 5</w:t>
      </w:r>
    </w:p>
    <w:p>
      <w:pPr>
        <w:pStyle w:val="ListParagraph"/>
        <w:numPr>
          <w:ilvl w:val="0"/>
          <w:numId w:val="2"/>
        </w:numPr>
      </w:pPr>
      <w:r>
        <w:t xml:space="preserve">Clinical precedent data from approved neurodegenerative disease ASO therapeutics</w:t>
      </w:r>
    </w:p>
    <w:p>
      <w:pPr>
        <w:pStyle w:val="ListParagraph"/>
        <w:numPr>
          <w:ilvl w:val="0"/>
          <w:numId w:val="2"/>
        </w:numPr>
      </w:pPr>
      <w:r>
        <w:t xml:space="preserve">Regulatory guidance documents (FDA, EMA) for antisense oligonucleotide development</w:t>
      </w:r>
    </w:p>
    <w:p>
      <w:r>
        <w:rPr>
          <w:b/>
          <w:bCs/>
        </w:rPr>
        <w:t xml:space="preserve">Tools &amp; Databases Called:</w:t>
      </w:r>
    </w:p>
    <w:p>
      <w:pPr>
        <w:pStyle w:val="ListParagraph"/>
        <w:numPr>
          <w:ilvl w:val="0"/>
          <w:numId w:val="2"/>
        </w:numPr>
      </w:pPr>
      <w:r>
        <w:rPr>
          <w:b/>
          <w:bCs/>
        </w:rPr>
        <w:t xml:space="preserve">Multi-Criteria Decision Analysis (MCDA) / Analytic Hierarchy Process (AHP): </w:t>
      </w:r>
      <w:r>
        <w:t xml:space="preserve">Construct weighted scoring model integrating rescue efficacy, specificity, safety margin, and clinical viability</w:t>
      </w:r>
    </w:p>
    <w:p>
      <w:pPr>
        <w:pStyle w:val="ListParagraph"/>
        <w:numPr>
          <w:ilvl w:val="0"/>
          <w:numId w:val="2"/>
        </w:numPr>
      </w:pPr>
      <w:r>
        <w:rPr>
          <w:b/>
          <w:bCs/>
        </w:rPr>
        <w:t xml:space="preserve">Machine Learning Ranking Algorithms (LambdaMART, learning-to-rank models): </w:t>
      </w:r>
      <w:r>
        <w:t xml:space="preserve">Generate final candidate ranking based on multi-dimensional feature sets</w:t>
      </w:r>
    </w:p>
    <w:p>
      <w:pPr>
        <w:pStyle w:val="ListParagraph"/>
        <w:numPr>
          <w:ilvl w:val="0"/>
          <w:numId w:val="2"/>
        </w:numPr>
      </w:pPr>
      <w:r>
        <w:rPr>
          <w:b/>
          <w:bCs/>
        </w:rPr>
        <w:t xml:space="preserve">ClinicalTrials.gov / FDA CBER Orphan Drug Designations: </w:t>
      </w:r>
      <w:r>
        <w:t xml:space="preserve">Query approved pathways and regulatory precedents for ASO-based CNS therapies</w:t>
      </w:r>
    </w:p>
    <w:p>
      <w:pPr>
        <w:pStyle w:val="ListParagraph"/>
        <w:numPr>
          <w:ilvl w:val="0"/>
          <w:numId w:val="2"/>
        </w:numPr>
      </w:pPr>
      <w:r>
        <w:rPr>
          <w:b/>
          <w:bCs/>
        </w:rPr>
        <w:t xml:space="preserve">Regulatory Guidance Integration (FDA Antisense Guidance, ICH Q2/Q3): </w:t>
      </w:r>
      <w:r>
        <w:t xml:space="preserve">Map ASO candidates against regulatory expectations for IND-enabling studies</w:t>
      </w:r>
    </w:p>
    <w:p>
      <w:pPr>
        <w:pStyle w:val="ListParagraph"/>
        <w:numPr>
          <w:ilvl w:val="0"/>
          <w:numId w:val="2"/>
        </w:numPr>
      </w:pPr>
      <w:r>
        <w:rPr>
          <w:b/>
          <w:bCs/>
        </w:rPr>
        <w:t xml:space="preserve">Project Delivery Timeline Modeling: </w:t>
      </w:r>
      <w:r>
        <w:t xml:space="preserve">Estimate preclinical, IND-enabling, and early-stage clinical timelines for lead ASO candidates</w:t>
      </w:r>
    </w:p>
    <w:p>
      <w:pPr>
        <w:pStyle w:val="ListParagraph"/>
        <w:numPr>
          <w:ilvl w:val="0"/>
          <w:numId w:val="2"/>
        </w:numPr>
      </w:pPr>
      <w:r>
        <w:rPr>
          <w:b/>
          <w:bCs/>
        </w:rPr>
        <w:t xml:space="preserve">Patent Landscape Analysis Tools (Espacenet, Derwent, Google Patents): </w:t>
      </w:r>
      <w:r>
        <w:t xml:space="preserve">Assess freedom-to-operate and intellectual property landscape for candidate ASOs</w:t>
      </w:r>
    </w:p>
    <w:p>
      <w:r>
        <w:rPr>
          <w:b/>
          <w:bCs/>
        </w:rPr>
        <w:t xml:space="preserve">Exemplary Sub-Prompts:</w:t>
      </w:r>
    </w:p>
    <w:p>
      <w:pPr>
        <w:pStyle w:val="ListParagraph"/>
        <w:numPr>
          <w:ilvl w:val="0"/>
          <w:numId w:val="2"/>
        </w:numPr>
      </w:pPr>
      <w:r>
        <w:t xml:space="preserve">Construct a multi-parameter scoring rubric integrating ASO rescue efficacy (0-100), target specificity (0-100), and safety profile score (0-100) with pre-specified weights.</w:t>
      </w:r>
    </w:p>
    <w:p>
      <w:pPr>
        <w:pStyle w:val="ListParagraph"/>
        <w:numPr>
          <w:ilvl w:val="0"/>
          <w:numId w:val="2"/>
        </w:numPr>
      </w:pPr>
      <w:r>
        <w:t xml:space="preserve">Apply the scoring rubric to generate a final rank-ordered list of ASO candidates, clearly identifying top-3 clinical development candidates.</w:t>
      </w:r>
    </w:p>
    <w:p>
      <w:pPr>
        <w:pStyle w:val="ListParagraph"/>
        <w:numPr>
          <w:ilvl w:val="0"/>
          <w:numId w:val="2"/>
        </w:numPr>
      </w:pPr>
      <w:r>
        <w:t xml:space="preserve">For each top-ranked ASO, define the minimal preclinical efficacy package (in vitro rescue, animal model PK/PD, safety studies) required for IND submission.</w:t>
      </w:r>
    </w:p>
    <w:p>
      <w:pPr>
        <w:pStyle w:val="ListParagraph"/>
        <w:numPr>
          <w:ilvl w:val="0"/>
          <w:numId w:val="2"/>
        </w:numPr>
      </w:pPr>
      <w:r>
        <w:t xml:space="preserve">What are the potential regulatory pathways (Fast Track, Breakthrough Therapy, Orphan Drug designation) and patient population strategies for clinical development?</w:t>
      </w:r>
    </w:p>
    <w:p>
      <w:pPr>
        <w:pStyle w:val="ListParagraph"/>
        <w:numPr>
          <w:ilvl w:val="0"/>
          <w:numId w:val="2"/>
        </w:numPr>
      </w:pPr>
      <w:r>
        <w:t xml:space="preserve">Generate a Phase 1 trial design outline including patient population criteria, dose-escalation strategy, biomarker endpoints, and safety monitoring plan.</w:t>
      </w:r>
    </w:p>
    <w:p>
      <w:r>
        <w:rPr>
          <w:b/>
          <w:bCs/>
        </w:rPr>
        <w:t xml:space="preserve">Expected Outputs:</w:t>
      </w:r>
    </w:p>
    <w:p>
      <w:pPr>
        <w:pStyle w:val="ListParagraph"/>
        <w:numPr>
          <w:ilvl w:val="0"/>
          <w:numId w:val="2"/>
        </w:numPr>
      </w:pPr>
      <w:r>
        <w:t xml:space="preserve">Multi-parameter ASO ranking table (efficacy score, safety score, specificity score, integrated composite rank)</w:t>
      </w:r>
    </w:p>
    <w:p>
      <w:pPr>
        <w:pStyle w:val="ListParagraph"/>
        <w:numPr>
          <w:ilvl w:val="0"/>
          <w:numId w:val="2"/>
        </w:numPr>
      </w:pPr>
      <w:r>
        <w:t xml:space="preserve">Top-3 lead candidate summary including sequence, chemistry, predicted efficacy, safety profile, and clinical translation roadmap</w:t>
      </w:r>
    </w:p>
    <w:p>
      <w:pPr>
        <w:pStyle w:val="ListParagraph"/>
        <w:numPr>
          <w:ilvl w:val="0"/>
          <w:numId w:val="2"/>
        </w:numPr>
      </w:pPr>
      <w:r>
        <w:t xml:space="preserve">Preclinical efficacy package specification (animal models, endpoints, statistical power requirements, timeline)</w:t>
      </w:r>
    </w:p>
    <w:p>
      <w:pPr>
        <w:pStyle w:val="ListParagraph"/>
        <w:numPr>
          <w:ilvl w:val="0"/>
          <w:numId w:val="2"/>
        </w:numPr>
      </w:pPr>
      <w:r>
        <w:t xml:space="preserve">IND-enabling study plan (GLP toxicology, pharmacokinetics, distribution, reproductive toxicity, genotoxicity)</w:t>
      </w:r>
    </w:p>
    <w:p>
      <w:pPr>
        <w:pStyle w:val="ListParagraph"/>
        <w:numPr>
          <w:ilvl w:val="0"/>
          <w:numId w:val="2"/>
        </w:numPr>
      </w:pPr>
      <w:r>
        <w:t xml:space="preserve">Phase 1 clinical trial design outline (population, inclusion/exclusion criteria, dose-escalation strategy, biomarker endpoints)</w:t>
      </w:r>
    </w:p>
    <w:p>
      <w:pPr>
        <w:pStyle w:val="ListParagraph"/>
        <w:numPr>
          <w:ilvl w:val="0"/>
          <w:numId w:val="2"/>
        </w:numPr>
      </w:pPr>
      <w:r>
        <w:t xml:space="preserve">Regulatory strategy document with recommended pathways (Fast Track, Breakthrough, orphan drug) and competitive landscape analysis</w:t>
      </w:r>
    </w:p>
    <w:p>
      <w:r>
        <w:rPr>
          <w:b/>
          <w:bCs/>
        </w:rPr>
        <w:t xml:space="preserve">Format: </w:t>
      </w:r>
      <w:r>
        <w:t xml:space="preserve">Executive summary with integrated ranking tables, supporting rationales, regulatory roadmap document, and Phase 1 protocol outline.</w:t>
      </w:r>
    </w:p>
    <w:p>
      <w:r>
        <w:t xml:space="preserve"> </w:t>
      </w:r>
    </w:p>
    <w:p>
      <w:pPr>
        <w:pStyle w:val="Heading2"/>
        <w:pStyle w:val="Heading2"/>
      </w:pPr>
      <w:r>
        <w:rPr>
          <w:b/>
          <w:bCs/>
        </w:rPr>
        <w:t xml:space="preserve">Tools &amp; Databases Summary</w:t>
      </w:r>
    </w:p>
    <w:p>
      <w:pPr>
        <w:pStyle w:val="ListParagraph"/>
        <w:numPr>
          <w:ilvl w:val="0"/>
          <w:numId w:val="2"/>
        </w:numPr>
      </w:pPr>
      <w:r>
        <w:t xml:space="preserve">NCBI Gene (https://www.ncbi.nlm.nih.gov/gene/) — Reference genome annotation, transcript variants, exon-intron structure, and gene expression data</w:t>
      </w:r>
    </w:p>
    <w:p>
      <w:pPr>
        <w:pStyle w:val="ListParagraph"/>
        <w:numPr>
          <w:ilvl w:val="0"/>
          <w:numId w:val="2"/>
        </w:numPr>
      </w:pPr>
      <w:r>
        <w:t xml:space="preserve">Ensembl REST API (https://rest.ensembl.org/) — Genome sequence, transcript annotation, canonical isoforms, and regulatory elements</w:t>
      </w:r>
    </w:p>
    <w:p>
      <w:pPr>
        <w:pStyle w:val="ListParagraph"/>
        <w:numPr>
          <w:ilvl w:val="0"/>
          <w:numId w:val="2"/>
        </w:numPr>
      </w:pPr>
      <w:r>
        <w:t xml:space="preserve">UniProt Database (https://www.uniprot.org/) — Protein sequences, domain annotations, post-translational modifications, and functional information</w:t>
      </w:r>
    </w:p>
    <w:p>
      <w:pPr>
        <w:pStyle w:val="ListParagraph"/>
        <w:numPr>
          <w:ilvl w:val="0"/>
          <w:numId w:val="2"/>
        </w:numPr>
      </w:pPr>
      <w:r>
        <w:t xml:space="preserve">GTEx Portal (https://www.gtexportal.org/) — Tissue-specific and cell-type-specific gene expression across human body and brain</w:t>
      </w:r>
    </w:p>
    <w:p>
      <w:pPr>
        <w:pStyle w:val="ListParagraph"/>
        <w:numPr>
          <w:ilvl w:val="0"/>
          <w:numId w:val="2"/>
        </w:numPr>
      </w:pPr>
      <w:r>
        <w:t xml:space="preserve">ClinVar (https://www.ncbi.nlm.nih.gov/clinvar/) — Clinical variant interpretations, genotype-phenotype associations, and disease classifications</w:t>
      </w:r>
    </w:p>
    <w:p>
      <w:pPr>
        <w:pStyle w:val="ListParagraph"/>
        <w:numPr>
          <w:ilvl w:val="0"/>
          <w:numId w:val="2"/>
        </w:numPr>
      </w:pPr>
      <w:r>
        <w:t xml:space="preserve">LOVD (Leiden Open Variation Database) — Curated human genetic variation database with phenotype associations for rare diseases</w:t>
      </w:r>
    </w:p>
    <w:p>
      <w:pPr>
        <w:pStyle w:val="ListParagraph"/>
        <w:numPr>
          <w:ilvl w:val="0"/>
          <w:numId w:val="2"/>
        </w:numPr>
      </w:pPr>
      <w:r>
        <w:t xml:space="preserve">InterPro (https://www.ebi.ac.uk/interpro/) — Protein domain and functional annotation database with cross-referenced signatures</w:t>
      </w:r>
    </w:p>
    <w:p>
      <w:pPr>
        <w:pStyle w:val="ListParagraph"/>
        <w:numPr>
          <w:ilvl w:val="0"/>
          <w:numId w:val="2"/>
        </w:numPr>
      </w:pPr>
      <w:r>
        <w:t xml:space="preserve">RNAStructure / Mfold — RNA secondary structure prediction tools for identifying accessible ASO binding sites</w:t>
      </w:r>
    </w:p>
    <w:p>
      <w:pPr>
        <w:pStyle w:val="ListParagraph"/>
        <w:numPr>
          <w:ilvl w:val="0"/>
          <w:numId w:val="2"/>
        </w:numPr>
      </w:pPr>
      <w:r>
        <w:t xml:space="preserve">OligoWalk / Sfold — ASO-RNA duplex thermodynamic calculations and binding affinity predictions</w:t>
      </w:r>
    </w:p>
    <w:p>
      <w:pPr>
        <w:pStyle w:val="ListParagraph"/>
        <w:numPr>
          <w:ilvl w:val="0"/>
          <w:numId w:val="2"/>
        </w:numPr>
      </w:pPr>
      <w:r>
        <w:t xml:space="preserve">GEO (Gene Expression Omnibus) — Public repository of transcriptomic datasets from disease models and cell systems</w:t>
      </w:r>
    </w:p>
    <w:p>
      <w:pPr>
        <w:pStyle w:val="ListParagraph"/>
        <w:numPr>
          <w:ilvl w:val="0"/>
          <w:numId w:val="2"/>
        </w:numPr>
      </w:pPr>
      <w:r>
        <w:t xml:space="preserve">Reactome (https://reactome.org/) — Curated biological pathway database with functional annotation and network analysis</w:t>
      </w:r>
    </w:p>
    <w:p>
      <w:pPr>
        <w:pStyle w:val="ListParagraph"/>
        <w:numPr>
          <w:ilvl w:val="0"/>
          <w:numId w:val="2"/>
        </w:numPr>
      </w:pPr>
      <w:r>
        <w:t xml:space="preserve">STRING Database — Protein interaction networks with functional association evidence and experimental validation data</w:t>
      </w:r>
    </w:p>
    <w:p>
      <w:pPr>
        <w:pStyle w:val="ListParagraph"/>
        <w:numPr>
          <w:ilvl w:val="0"/>
          <w:numId w:val="2"/>
        </w:numPr>
      </w:pPr>
      <w:r>
        <w:t xml:space="preserve">Allen Brain Atlas — High-resolution in situ hybridization data mapping regional and cell-type-specific gene expression in mouse and human brain</w:t>
      </w:r>
    </w:p>
    <w:p>
      <w:pPr>
        <w:pStyle w:val="ListParagraph"/>
        <w:numPr>
          <w:ilvl w:val="0"/>
          <w:numId w:val="2"/>
        </w:numPr>
      </w:pPr>
      <w:r>
        <w:t xml:space="preserve">ToxCast (U.S. EPA) — High-throughput screening data for chemical compounds and biological properties relevant to toxicity prediction</w:t>
      </w:r>
    </w:p>
    <w:p>
      <w:pPr>
        <w:pStyle w:val="ListParagraph"/>
        <w:numPr>
          <w:ilvl w:val="0"/>
          <w:numId w:val="2"/>
        </w:numPr>
      </w:pPr>
      <w:r>
        <w:t xml:space="preserve">DrugBank (https://go.drugbank.com/) — Pharmacological and adverse event data for approved drugs and drug candidates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2026-03-02T16:12:14.487Z</dcterms:created>
  <dcterms:modified xsi:type="dcterms:W3CDTF">2026-03-02T16:12:14.487Z</dcterms:modified>
</cp:coreProperties>
</file>

<file path=docProps/custom.xml><?xml version="1.0" encoding="utf-8"?>
<Properties xmlns="http://schemas.openxmlformats.org/officeDocument/2006/custom-properties" xmlns:vt="http://schemas.openxmlformats.org/officeDocument/2006/docPropsVTypes"/>
</file>