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line="360"/>
      </w:pPr>
      <w:r>
        <w:rPr>
          <w:rFonts w:ascii="Arial" w:cs="Arial" w:eastAsia="Arial" w:hAnsi="Arial"/>
          <w:b/>
          <w:bCs/>
          <w:sz w:val="32"/>
          <w:szCs w:val="32"/>
        </w:rPr>
        <w:t xml:space="preserve">Sapphire Pipeline Workflow</w:t>
      </w:r>
    </w:p>
    <w:p>
      <w:pPr>
        <w:pStyle w:val="Heading2"/>
        <w:spacing w:after="200" w:line="360"/>
      </w:pPr>
      <w:r>
        <w:rPr>
          <w:rFonts w:ascii="Arial" w:cs="Arial" w:eastAsia="Arial" w:hAnsi="Arial"/>
          <w:b/>
          <w:bCs/>
          <w:sz w:val="28"/>
          <w:szCs w:val="28"/>
        </w:rPr>
        <w:t xml:space="preserve">Prompt: "For KIF1A-associated neurological disorder, identify suppressor targets from Quiver's CRISPR atlas and rank druggability."</w:t>
      </w:r>
    </w:p>
    <w:p>
      <w:pPr>
        <w:spacing w:after="200" w:line="360"/>
      </w:pPr>
      <w:r>
        <w:rPr>
          <w:rFonts w:ascii="Arial" w:cs="Arial" w:eastAsia="Arial" w:hAnsi="Arial"/>
          <w:sz w:val="24"/>
          <w:szCs w:val="24"/>
        </w:rPr>
        <w:t xml:space="preserve">This document defines the complete Sapphire pipeline for discovering suppressor targets in KIF1A-associated neurological disorders, integrating Quiver Bioscience's electrophysiology CRISPR atlas (~18,000 gene perturbations), structural/functional characterization of KIF1A variants, genetic interaction screening, suppressor prioritization, and comprehensive druggability assessment. The workflow identifies compensatory pathways, functional redundancies, and hidden genetic modifiers that rescue KIF1A dysfunction.</w:t>
      </w:r>
    </w:p>
    <w:p>
      <w:pPr>
        <w:pStyle w:val="Heading2"/>
        <w:spacing w:after="200" w:line="36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KIF1A (kinesin family member 1A), a neuronal-specific anterograde kinesin motor protein, mediates axonal transport of synaptic vesicle precursors (SVPs), mitochondria, and signaling complexes. Dominant-negative and haploinsufficient mutations cause hereditary spastic paraplegia type 30 (SPG30), progressive ataxia, cognitive decline, and peripheral neuropathy. Loss of motor function impairs axonal cargo delivery, triggering neurodegeneration from distal to proximal axon.</w:t>
      </w:r>
    </w:p>
    <w:p>
      <w:pPr>
        <w:spacing w:after="240" w:line="360"/>
      </w:pPr>
      <w:r>
        <w:rPr>
          <w:rFonts w:ascii="Arial" w:cs="Arial" w:eastAsia="Arial" w:hAnsi="Arial"/>
          <w:sz w:val="24"/>
          <w:szCs w:val="24"/>
        </w:rPr>
        <w:t xml:space="preserve">This pipeline systematically identifies suppressor genes and targets compensating for KIF1A dysfunction via: (1) alternative motor proteins (KIF1B, KIF1C) upregulation; (2) non-motor cargo delivery pathways (dynein, vesicular transport); (3) axonal proteostasis and ER-mitochondrial coupling rescue; (4) regenerative pathway activation. By integrating electrophysiology phenotypes, genetic interactions, and druggability metrics, the workflow ranks suppressors for therapeutic targeting.</w:t>
      </w:r>
    </w:p>
    <w:p>
      <w:pPr>
        <w:pStyle w:val="Heading2"/>
        <w:spacing w:after="200" w:line="360"/>
      </w:pPr>
      <w:r>
        <w:rPr>
          <w:rFonts w:ascii="Arial" w:cs="Arial" w:eastAsia="Arial" w:hAnsi="Arial"/>
          <w:b/>
          <w:bCs/>
          <w:sz w:val="28"/>
          <w:szCs w:val="28"/>
        </w:rPr>
        <w:t xml:space="preserve">Stage 1: KIF1A Mutation Characterization &amp; Functional Classification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Map KIF1A variants to motor domain, stalk, and cargo-binding regions; classify loss-of-function severity (complete null, partial reduction, dominant-negative); predict axonal transport capacity impairment; establish patient-specific mutation phenotypes.</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Patient KIF1A variants (cDNA coordinates, SPG30 databases, ClinVar, gnomAD)</w:t>
      </w:r>
    </w:p>
    <w:p>
      <w:pPr>
        <w:pStyle w:val="ListParagraph"/>
        <w:numPr>
          <w:ilvl w:val="0"/>
          <w:numId w:val="2"/>
        </w:numPr>
        <w:spacing w:after="80" w:line="360"/>
      </w:pPr>
      <w:r>
        <w:rPr>
          <w:rFonts w:ascii="Arial" w:cs="Arial" w:eastAsia="Arial" w:hAnsi="Arial"/>
          <w:sz w:val="24"/>
          <w:szCs w:val="24"/>
        </w:rPr>
        <w:t xml:space="preserve">KIF1A protein structure (PDB 1MKJ: motor domain; cryo-EM microtubule complexes) with motor head, neck linker, stalk, cargo-binding tail</w:t>
      </w:r>
    </w:p>
    <w:p>
      <w:pPr>
        <w:pStyle w:val="ListParagraph"/>
        <w:numPr>
          <w:ilvl w:val="0"/>
          <w:numId w:val="2"/>
        </w:numPr>
        <w:spacing w:after="80" w:line="360"/>
      </w:pPr>
      <w:r>
        <w:rPr>
          <w:rFonts w:ascii="Arial" w:cs="Arial" w:eastAsia="Arial" w:hAnsi="Arial"/>
          <w:sz w:val="24"/>
          <w:szCs w:val="24"/>
        </w:rPr>
        <w:t xml:space="preserve">Motor domain kinetics: ATP binding, hydrolysis, microtubule interaction, stepping velocity, processivity for WT vs. variant KIF1A</w:t>
      </w:r>
    </w:p>
    <w:p>
      <w:pPr>
        <w:pStyle w:val="ListParagraph"/>
        <w:numPr>
          <w:ilvl w:val="0"/>
          <w:numId w:val="2"/>
        </w:numPr>
        <w:spacing w:after="80" w:line="360"/>
      </w:pPr>
      <w:r>
        <w:rPr>
          <w:rFonts w:ascii="Arial" w:cs="Arial" w:eastAsia="Arial" w:hAnsi="Arial"/>
          <w:sz w:val="24"/>
          <w:szCs w:val="24"/>
        </w:rPr>
        <w:t xml:space="preserve">Clinical phenotype data: age of onset, progressive vs. static features, spasticity grade, cognitive decline rate, peripheral neuropathy severity</w:t>
      </w:r>
    </w:p>
    <w:p>
      <w:pPr>
        <w:pStyle w:val="ListParagraph"/>
        <w:numPr>
          <w:ilvl w:val="0"/>
          <w:numId w:val="2"/>
        </w:numPr>
        <w:spacing w:after="100" w:line="360"/>
      </w:pPr>
      <w:r>
        <w:rPr>
          <w:rFonts w:ascii="Arial" w:cs="Arial" w:eastAsia="Arial" w:hAnsi="Arial"/>
          <w:sz w:val="24"/>
          <w:szCs w:val="24"/>
        </w:rPr>
        <w:t xml:space="preserve">Cargo-binding partner preferences (SVP, mitochondria) and interaction stability with KIF1A variants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ClinVar, DECIPHER, SPG30 disease database: </w:t>
      </w:r>
      <w:r>
        <w:rPr>
          <w:rFonts w:ascii="Arial" w:cs="Arial" w:eastAsia="Arial" w:hAnsi="Arial"/>
          <w:sz w:val="24"/>
          <w:szCs w:val="24"/>
        </w:rPr>
        <w:t xml:space="preserve">KIF1A variant pathogenicity, clinical phenotype correlations, allelic heterogeneity</w:t>
      </w:r>
    </w:p>
    <w:p>
      <w:pPr>
        <w:pStyle w:val="ListParagraph"/>
        <w:numPr>
          <w:ilvl w:val="0"/>
          <w:numId w:val="2"/>
        </w:numPr>
        <w:spacing w:after="80" w:line="360"/>
      </w:pPr>
      <w:r>
        <w:rPr>
          <w:rFonts w:ascii="Arial" w:cs="Arial" w:eastAsia="Arial" w:hAnsi="Arial"/>
          <w:b/>
          <w:bCs/>
          <w:sz w:val="24"/>
          <w:szCs w:val="24"/>
        </w:rPr>
        <w:t xml:space="preserve">InterPro &amp; Pfam: </w:t>
      </w:r>
      <w:r>
        <w:rPr>
          <w:rFonts w:ascii="Arial" w:cs="Arial" w:eastAsia="Arial" w:hAnsi="Arial"/>
          <w:sz w:val="24"/>
          <w:szCs w:val="24"/>
        </w:rPr>
        <w:t xml:space="preserve">identify motor domain, stalk, cargo-binding regions; predict folding disruption</w:t>
      </w:r>
    </w:p>
    <w:p>
      <w:pPr>
        <w:pStyle w:val="ListParagraph"/>
        <w:numPr>
          <w:ilvl w:val="0"/>
          <w:numId w:val="2"/>
        </w:numPr>
        <w:spacing w:after="80" w:line="360"/>
      </w:pPr>
      <w:r>
        <w:rPr>
          <w:rFonts w:ascii="Arial" w:cs="Arial" w:eastAsia="Arial" w:hAnsi="Arial"/>
          <w:b/>
          <w:bCs/>
          <w:sz w:val="24"/>
          <w:szCs w:val="24"/>
        </w:rPr>
        <w:t xml:space="preserve">PDB &amp; ModBase: </w:t>
      </w:r>
      <w:r>
        <w:rPr>
          <w:rFonts w:ascii="Arial" w:cs="Arial" w:eastAsia="Arial" w:hAnsi="Arial"/>
          <w:sz w:val="24"/>
          <w:szCs w:val="24"/>
        </w:rPr>
        <w:t xml:space="preserve">3D structure visualization, motor domain ATP binding pocket mutations, microtubule interaction interface mapping</w:t>
      </w:r>
    </w:p>
    <w:p>
      <w:pPr>
        <w:pStyle w:val="ListParagraph"/>
        <w:numPr>
          <w:ilvl w:val="0"/>
          <w:numId w:val="2"/>
        </w:numPr>
        <w:spacing w:after="80" w:line="360"/>
      </w:pPr>
      <w:r>
        <w:rPr>
          <w:rFonts w:ascii="Arial" w:cs="Arial" w:eastAsia="Arial" w:hAnsi="Arial"/>
          <w:b/>
          <w:bCs/>
          <w:sz w:val="24"/>
          <w:szCs w:val="24"/>
        </w:rPr>
        <w:t xml:space="preserve">PolyPhen-2, MutationTaster, FoldX: </w:t>
      </w:r>
      <w:r>
        <w:rPr>
          <w:rFonts w:ascii="Arial" w:cs="Arial" w:eastAsia="Arial" w:hAnsi="Arial"/>
          <w:sz w:val="24"/>
          <w:szCs w:val="24"/>
        </w:rPr>
        <w:t xml:space="preserve">mutation consequence prediction, protein stability changes, motor domain destabilization scoring</w:t>
      </w:r>
    </w:p>
    <w:p>
      <w:pPr>
        <w:pStyle w:val="ListParagraph"/>
        <w:numPr>
          <w:ilvl w:val="0"/>
          <w:numId w:val="2"/>
        </w:numPr>
        <w:spacing w:after="100" w:line="360"/>
      </w:pPr>
      <w:r>
        <w:rPr>
          <w:rFonts w:ascii="Arial" w:cs="Arial" w:eastAsia="Arial" w:hAnsi="Arial"/>
          <w:b/>
          <w:bCs/>
          <w:sz w:val="24"/>
          <w:szCs w:val="24"/>
        </w:rPr>
        <w:t xml:space="preserve">Molecular dynamics simulations: </w:t>
      </w:r>
      <w:r>
        <w:rPr>
          <w:rFonts w:ascii="Arial" w:cs="Arial" w:eastAsia="Arial" w:hAnsi="Arial"/>
          <w:sz w:val="24"/>
          <w:szCs w:val="24"/>
        </w:rPr>
        <w:t xml:space="preserve">model variant KIF1A dynamics, ATP hydrolysis kinetics, microtubule binding, stepping mechanics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Classify KIF1A variants: motor domain (ATP binding, microtubule interaction) vs. stalk (dimerization, processivity) vs. tail (cargo binding) mutations</w:t>
      </w:r>
    </w:p>
    <w:p>
      <w:pPr>
        <w:pStyle w:val="ListParagraph"/>
        <w:numPr>
          <w:ilvl w:val="0"/>
          <w:numId w:val="2"/>
        </w:numPr>
        <w:spacing w:after="80" w:line="360"/>
      </w:pPr>
      <w:r>
        <w:rPr>
          <w:rFonts w:ascii="Arial" w:cs="Arial" w:eastAsia="Arial" w:hAnsi="Arial"/>
          <w:sz w:val="24"/>
          <w:szCs w:val="24"/>
        </w:rPr>
        <w:t xml:space="preserve">Predict motor function loss: complete null, haploinsufficiency, dominant-negative effects on WT KIF1A oligomerization</w:t>
      </w:r>
    </w:p>
    <w:p>
      <w:pPr>
        <w:pStyle w:val="ListParagraph"/>
        <w:numPr>
          <w:ilvl w:val="0"/>
          <w:numId w:val="2"/>
        </w:numPr>
        <w:spacing w:after="80" w:line="360"/>
      </w:pPr>
      <w:r>
        <w:rPr>
          <w:rFonts w:ascii="Arial" w:cs="Arial" w:eastAsia="Arial" w:hAnsi="Arial"/>
          <w:sz w:val="24"/>
          <w:szCs w:val="24"/>
        </w:rPr>
        <w:t xml:space="preserve">Map variants to motor kinetics: stepping velocity reduction, microtubule detachment rate increase, processivity loss</w:t>
      </w:r>
    </w:p>
    <w:p>
      <w:pPr>
        <w:pStyle w:val="ListParagraph"/>
        <w:numPr>
          <w:ilvl w:val="0"/>
          <w:numId w:val="2"/>
        </w:numPr>
        <w:spacing w:after="80" w:line="360"/>
      </w:pPr>
      <w:r>
        <w:rPr>
          <w:rFonts w:ascii="Arial" w:cs="Arial" w:eastAsia="Arial" w:hAnsi="Arial"/>
          <w:sz w:val="24"/>
          <w:szCs w:val="24"/>
        </w:rPr>
        <w:t xml:space="preserve">Correlate variant location to clinical phenotype: motor domain mutations→early-onset severe; stalk mutations→progressive ataxia</w:t>
      </w:r>
    </w:p>
    <w:p>
      <w:pPr>
        <w:pStyle w:val="ListParagraph"/>
        <w:numPr>
          <w:ilvl w:val="0"/>
          <w:numId w:val="2"/>
        </w:numPr>
        <w:spacing w:after="100" w:line="360"/>
      </w:pPr>
      <w:r>
        <w:rPr>
          <w:rFonts w:ascii="Arial" w:cs="Arial" w:eastAsia="Arial" w:hAnsi="Arial"/>
          <w:sz w:val="24"/>
          <w:szCs w:val="24"/>
        </w:rPr>
        <w:t xml:space="preserve">Assess cargo-binding impairment: which SVP/mitochondrial proteins most affected by each variant class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Variant classification table: KIF1A variant ID, domain location, predicted functional consequence, severity score</w:t>
      </w:r>
    </w:p>
    <w:p>
      <w:pPr>
        <w:pStyle w:val="ListParagraph"/>
        <w:numPr>
          <w:ilvl w:val="0"/>
          <w:numId w:val="2"/>
        </w:numPr>
        <w:spacing w:after="80" w:line="360"/>
      </w:pPr>
      <w:r>
        <w:rPr>
          <w:rFonts w:ascii="Arial" w:cs="Arial" w:eastAsia="Arial" w:hAnsi="Arial"/>
          <w:sz w:val="24"/>
          <w:szCs w:val="24"/>
        </w:rPr>
        <w:t xml:space="preserve">Motor kinetics predictions: stepping velocity, processivity, detachment rate, cargo delivery capacity per variant</w:t>
      </w:r>
    </w:p>
    <w:p>
      <w:pPr>
        <w:pStyle w:val="ListParagraph"/>
        <w:numPr>
          <w:ilvl w:val="0"/>
          <w:numId w:val="2"/>
        </w:numPr>
        <w:spacing w:after="80" w:line="360"/>
      </w:pPr>
      <w:r>
        <w:rPr>
          <w:rFonts w:ascii="Arial" w:cs="Arial" w:eastAsia="Arial" w:hAnsi="Arial"/>
          <w:sz w:val="24"/>
          <w:szCs w:val="24"/>
        </w:rPr>
        <w:t xml:space="preserve">3D structural models showing variant positions, mutation impact on motor domain, microtubule binding interface</w:t>
      </w:r>
    </w:p>
    <w:p>
      <w:pPr>
        <w:pStyle w:val="ListParagraph"/>
        <w:numPr>
          <w:ilvl w:val="0"/>
          <w:numId w:val="2"/>
        </w:numPr>
        <w:spacing w:after="80" w:line="360"/>
      </w:pPr>
      <w:r>
        <w:rPr>
          <w:rFonts w:ascii="Arial" w:cs="Arial" w:eastAsia="Arial" w:hAnsi="Arial"/>
          <w:sz w:val="24"/>
          <w:szCs w:val="24"/>
        </w:rPr>
        <w:t xml:space="preserve">Genotype-phenotype matrix: KIF1A variant class vs. age of onset, progressive rate, cognitive/motor severity, neuropathy severity</w:t>
      </w:r>
    </w:p>
    <w:p>
      <w:pPr>
        <w:pStyle w:val="ListParagraph"/>
        <w:numPr>
          <w:ilvl w:val="0"/>
          <w:numId w:val="2"/>
        </w:numPr>
        <w:spacing w:after="80" w:line="360"/>
      </w:pPr>
      <w:r>
        <w:rPr>
          <w:rFonts w:ascii="Arial" w:cs="Arial" w:eastAsia="Arial" w:hAnsi="Arial"/>
          <w:sz w:val="24"/>
          <w:szCs w:val="24"/>
        </w:rPr>
        <w:t xml:space="preserve">Cargo specificity impact: SVP delivery capacity, mitochondrial transport efficiency, synapse formation vs. maintenance defects</w:t>
      </w:r>
    </w:p>
    <w:p>
      <w:pPr>
        <w:pStyle w:val="ListParagraph"/>
        <w:numPr>
          <w:ilvl w:val="0"/>
          <w:numId w:val="2"/>
        </w:numPr>
        <w:spacing w:after="200" w:line="360"/>
      </w:pPr>
      <w:r>
        <w:rPr>
          <w:rFonts w:ascii="Arial" w:cs="Arial" w:eastAsia="Arial" w:hAnsi="Arial"/>
          <w:sz w:val="24"/>
          <w:szCs w:val="24"/>
        </w:rPr>
        <w:t xml:space="preserve">Literature summary: KIF1A isoform distribution in affected tissues, developmental expression, age-related degeneration patterns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variant tables, motor kinetics prediction tables, 3D structure visualizations, domain-interaction diagrams, genotype-phenotype correlation matrices.</w:t>
      </w:r>
    </w:p>
    <w:p>
      <w:pPr>
        <w:pStyle w:val="Heading2"/>
        <w:spacing w:after="200" w:line="360"/>
      </w:pPr>
      <w:r>
        <w:rPr>
          <w:rFonts w:ascii="Arial" w:cs="Arial" w:eastAsia="Arial" w:hAnsi="Arial"/>
          <w:b/>
          <w:bCs/>
          <w:sz w:val="28"/>
          <w:szCs w:val="28"/>
        </w:rPr>
        <w:t xml:space="preserve">Stage 2: Axonal Phenotyping from Quiver CRISPR Atlas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Profile electrophysiology and axonal transport phenotypes in KIF1A-perturbed neurons from Quiver atlas; identify dysregulated features (cargo delivery, mitochondrial dysfunction, neurodegeneration markers); screen for genetic suppressors via co-perturbation rescue.</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Quiver EP CRISPR atlas (18k perturbations) with KIF1A KO/knockdown and variant-expressing neurons</w:t>
      </w:r>
    </w:p>
    <w:p>
      <w:pPr>
        <w:pStyle w:val="ListParagraph"/>
        <w:numPr>
          <w:ilvl w:val="0"/>
          <w:numId w:val="2"/>
        </w:numPr>
        <w:spacing w:after="80" w:line="360"/>
      </w:pPr>
      <w:r>
        <w:rPr>
          <w:rFonts w:ascii="Arial" w:cs="Arial" w:eastAsia="Arial" w:hAnsi="Arial"/>
          <w:sz w:val="24"/>
          <w:szCs w:val="24"/>
        </w:rPr>
        <w:t xml:space="preserve">500+ EP features: action potential kinetics, spontaneous activity, synaptic transmission, axonal transport metrics, mitochondrial health indicators</w:t>
      </w:r>
    </w:p>
    <w:p>
      <w:pPr>
        <w:pStyle w:val="ListParagraph"/>
        <w:numPr>
          <w:ilvl w:val="0"/>
          <w:numId w:val="2"/>
        </w:numPr>
        <w:spacing w:after="80" w:line="360"/>
      </w:pPr>
      <w:r>
        <w:rPr>
          <w:rFonts w:ascii="Arial" w:cs="Arial" w:eastAsia="Arial" w:hAnsi="Arial"/>
          <w:sz w:val="24"/>
          <w:szCs w:val="24"/>
        </w:rPr>
        <w:t xml:space="preserve">Morphological data: axon growth, branching, synaptic density, mitochondrial distribution, autophagy/neurodegeneration markers</w:t>
      </w:r>
    </w:p>
    <w:p>
      <w:pPr>
        <w:pStyle w:val="ListParagraph"/>
        <w:numPr>
          <w:ilvl w:val="0"/>
          <w:numId w:val="2"/>
        </w:numPr>
        <w:spacing w:after="80" w:line="360"/>
      </w:pPr>
      <w:r>
        <w:rPr>
          <w:rFonts w:ascii="Arial" w:cs="Arial" w:eastAsia="Arial" w:hAnsi="Arial"/>
          <w:sz w:val="24"/>
          <w:szCs w:val="24"/>
        </w:rPr>
        <w:t xml:space="preserve">Genetic interaction screens: KIF1A KO combined with 18k secondary perturbations, identifying rescue hits</w:t>
      </w:r>
    </w:p>
    <w:p>
      <w:pPr>
        <w:pStyle w:val="ListParagraph"/>
        <w:numPr>
          <w:ilvl w:val="0"/>
          <w:numId w:val="2"/>
        </w:numPr>
        <w:spacing w:after="100" w:line="360"/>
      </w:pPr>
      <w:r>
        <w:rPr>
          <w:rFonts w:ascii="Arial" w:cs="Arial" w:eastAsia="Arial" w:hAnsi="Arial"/>
          <w:sz w:val="24"/>
          <w:szCs w:val="24"/>
        </w:rPr>
        <w:t xml:space="preserve">Motor protein family perturbations (KIF1B, KIF1C, dynein, myosin) and non-motor cargo carriers (RAB GTPases, SNARE machinery)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Quiver Sapphire CRISPR Atlas: </w:t>
      </w:r>
      <w:r>
        <w:rPr>
          <w:rFonts w:ascii="Arial" w:cs="Arial" w:eastAsia="Arial" w:hAnsi="Arial"/>
          <w:sz w:val="24"/>
          <w:szCs w:val="24"/>
        </w:rPr>
        <w:t xml:space="preserve">query KIF1A perturbation phenotypes, axonal transport metrics, mitochondrial dysfunction signatures</w:t>
      </w:r>
    </w:p>
    <w:p>
      <w:pPr>
        <w:pStyle w:val="ListParagraph"/>
        <w:numPr>
          <w:ilvl w:val="0"/>
          <w:numId w:val="2"/>
        </w:numPr>
        <w:spacing w:after="80" w:line="360"/>
      </w:pPr>
      <w:r>
        <w:rPr>
          <w:rFonts w:ascii="Arial" w:cs="Arial" w:eastAsia="Arial" w:hAnsi="Arial"/>
          <w:b/>
          <w:bCs/>
          <w:sz w:val="24"/>
          <w:szCs w:val="24"/>
        </w:rPr>
        <w:t xml:space="preserve">Genetic interaction inference algorithms: </w:t>
      </w:r>
      <w:r>
        <w:rPr>
          <w:rFonts w:ascii="Arial" w:cs="Arial" w:eastAsia="Arial" w:hAnsi="Arial"/>
          <w:sz w:val="24"/>
          <w:szCs w:val="24"/>
        </w:rPr>
        <w:t xml:space="preserve">identify suppressors via synthetic rescue (KIF1A KO + secondary perturbation restoring axonal transport/neuronal health)</w:t>
      </w:r>
    </w:p>
    <w:p>
      <w:pPr>
        <w:pStyle w:val="ListParagraph"/>
        <w:numPr>
          <w:ilvl w:val="0"/>
          <w:numId w:val="2"/>
        </w:numPr>
        <w:spacing w:after="80" w:line="360"/>
      </w:pPr>
      <w:r>
        <w:rPr>
          <w:rFonts w:ascii="Arial" w:cs="Arial" w:eastAsia="Arial" w:hAnsi="Arial"/>
          <w:b/>
          <w:bCs/>
          <w:sz w:val="24"/>
          <w:szCs w:val="24"/>
        </w:rPr>
        <w:t xml:space="preserve">Phenotypic clustering (t-SNE, UMAP, hierarchical): </w:t>
      </w:r>
      <w:r>
        <w:rPr>
          <w:rFonts w:ascii="Arial" w:cs="Arial" w:eastAsia="Arial" w:hAnsi="Arial"/>
          <w:sz w:val="24"/>
          <w:szCs w:val="24"/>
        </w:rPr>
        <w:t xml:space="preserve">position KIF1A KO on phenotypic landscape; identify related perturbations and rescue candidates</w:t>
      </w:r>
    </w:p>
    <w:p>
      <w:pPr>
        <w:pStyle w:val="ListParagraph"/>
        <w:numPr>
          <w:ilvl w:val="0"/>
          <w:numId w:val="2"/>
        </w:numPr>
        <w:spacing w:after="80" w:line="360"/>
      </w:pPr>
      <w:r>
        <w:rPr>
          <w:rFonts w:ascii="Arial" w:cs="Arial" w:eastAsia="Arial" w:hAnsi="Arial"/>
          <w:b/>
          <w:bCs/>
          <w:sz w:val="24"/>
          <w:szCs w:val="24"/>
        </w:rPr>
        <w:t xml:space="preserve">Statistical modeling (ANOVA, GLM): </w:t>
      </w:r>
      <w:r>
        <w:rPr>
          <w:rFonts w:ascii="Arial" w:cs="Arial" w:eastAsia="Arial" w:hAnsi="Arial"/>
          <w:sz w:val="24"/>
          <w:szCs w:val="24"/>
        </w:rPr>
        <w:t xml:space="preserve">quantify significance of axonal dysfunction differences between WT, KIF1A KO, suppressors</w:t>
      </w:r>
    </w:p>
    <w:p>
      <w:pPr>
        <w:pStyle w:val="ListParagraph"/>
        <w:numPr>
          <w:ilvl w:val="0"/>
          <w:numId w:val="2"/>
        </w:numPr>
        <w:spacing w:after="100" w:line="360"/>
      </w:pPr>
      <w:r>
        <w:rPr>
          <w:rFonts w:ascii="Arial" w:cs="Arial" w:eastAsia="Arial" w:hAnsi="Arial"/>
          <w:b/>
          <w:bCs/>
          <w:sz w:val="24"/>
          <w:szCs w:val="24"/>
        </w:rPr>
        <w:t xml:space="preserve">Feature engineering &amp; pathway enrichment: </w:t>
      </w:r>
      <w:r>
        <w:rPr>
          <w:rFonts w:ascii="Arial" w:cs="Arial" w:eastAsia="Arial" w:hAnsi="Arial"/>
          <w:sz w:val="24"/>
          <w:szCs w:val="24"/>
        </w:rPr>
        <w:t xml:space="preserve">identify core dysfunctional pathways (mitochondrial dynamics, ER stress, autophagy) from high-dimensional phenotypes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Define KIF1A dysfunction phenotype: axonal transport deficit metrics, mitochondrial accumulation, reduced synaptic activity, apoptosis markers</w:t>
      </w:r>
    </w:p>
    <w:p>
      <w:pPr>
        <w:pStyle w:val="ListParagraph"/>
        <w:numPr>
          <w:ilvl w:val="0"/>
          <w:numId w:val="2"/>
        </w:numPr>
        <w:spacing w:after="80" w:line="360"/>
      </w:pPr>
      <w:r>
        <w:rPr>
          <w:rFonts w:ascii="Arial" w:cs="Arial" w:eastAsia="Arial" w:hAnsi="Arial"/>
          <w:sz w:val="24"/>
          <w:szCs w:val="24"/>
        </w:rPr>
        <w:t xml:space="preserve">Identify top suppressor candidates: genes whose perturbation alone or combined with KIF1A KO restores axonal health, transport capacity</w:t>
      </w:r>
    </w:p>
    <w:p>
      <w:pPr>
        <w:pStyle w:val="ListParagraph"/>
        <w:numPr>
          <w:ilvl w:val="0"/>
          <w:numId w:val="2"/>
        </w:numPr>
        <w:spacing w:after="80" w:line="360"/>
      </w:pPr>
      <w:r>
        <w:rPr>
          <w:rFonts w:ascii="Arial" w:cs="Arial" w:eastAsia="Arial" w:hAnsi="Arial"/>
          <w:sz w:val="24"/>
          <w:szCs w:val="24"/>
        </w:rPr>
        <w:t xml:space="preserve">Rank suppressors by effect magnitude: rescue of transport kinetics, mitochondrial health, neurite outgrowth, survival</w:t>
      </w:r>
    </w:p>
    <w:p>
      <w:pPr>
        <w:pStyle w:val="ListParagraph"/>
        <w:numPr>
          <w:ilvl w:val="0"/>
          <w:numId w:val="2"/>
        </w:numPr>
        <w:spacing w:after="80" w:line="360"/>
      </w:pPr>
      <w:r>
        <w:rPr>
          <w:rFonts w:ascii="Arial" w:cs="Arial" w:eastAsia="Arial" w:hAnsi="Arial"/>
          <w:sz w:val="24"/>
          <w:szCs w:val="24"/>
        </w:rPr>
        <w:t xml:space="preserve">Cluster KIF1A variants by phenotypic severity using Quiver features; predict suppressor efficacy across variant classes</w:t>
      </w:r>
    </w:p>
    <w:p>
      <w:pPr>
        <w:pStyle w:val="ListParagraph"/>
        <w:numPr>
          <w:ilvl w:val="0"/>
          <w:numId w:val="2"/>
        </w:numPr>
        <w:spacing w:after="100" w:line="360"/>
      </w:pPr>
      <w:r>
        <w:rPr>
          <w:rFonts w:ascii="Arial" w:cs="Arial" w:eastAsia="Arial" w:hAnsi="Arial"/>
          <w:sz w:val="24"/>
          <w:szCs w:val="24"/>
        </w:rPr>
        <w:t xml:space="preserve">Distinguish primary cargo transport defects from secondary mitochondrial/ER stress consequences in KIF1A dysfunctional neurons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KIF1A dysfunction phenotype signature: axonal transport metrics, mitochondrial health score, synaptic activity reduction, neurodegeneration markers</w:t>
      </w:r>
    </w:p>
    <w:p>
      <w:pPr>
        <w:pStyle w:val="ListParagraph"/>
        <w:numPr>
          <w:ilvl w:val="0"/>
          <w:numId w:val="2"/>
        </w:numPr>
        <w:spacing w:after="80" w:line="360"/>
      </w:pPr>
      <w:r>
        <w:rPr>
          <w:rFonts w:ascii="Arial" w:cs="Arial" w:eastAsia="Arial" w:hAnsi="Arial"/>
          <w:sz w:val="24"/>
          <w:szCs w:val="24"/>
        </w:rPr>
        <w:t xml:space="preserve">Genetic interaction heatmaps: suppressors ranked by effect size on KIF1A KO rescue (axonal transport, mitochondrial, neuronal viability)</w:t>
      </w:r>
    </w:p>
    <w:p>
      <w:pPr>
        <w:pStyle w:val="ListParagraph"/>
        <w:numPr>
          <w:ilvl w:val="0"/>
          <w:numId w:val="2"/>
        </w:numPr>
        <w:spacing w:after="80" w:line="360"/>
      </w:pPr>
      <w:r>
        <w:rPr>
          <w:rFonts w:ascii="Arial" w:cs="Arial" w:eastAsia="Arial" w:hAnsi="Arial"/>
          <w:sz w:val="24"/>
          <w:szCs w:val="24"/>
        </w:rPr>
        <w:t xml:space="preserve">Phenotypic clustering visualizations: KIF1A KO position relative to 18k gene perturbations, similar phenotype clusters</w:t>
      </w:r>
    </w:p>
    <w:p>
      <w:pPr>
        <w:pStyle w:val="ListParagraph"/>
        <w:numPr>
          <w:ilvl w:val="0"/>
          <w:numId w:val="2"/>
        </w:numPr>
        <w:spacing w:after="80" w:line="360"/>
      </w:pPr>
      <w:r>
        <w:rPr>
          <w:rFonts w:ascii="Arial" w:cs="Arial" w:eastAsia="Arial" w:hAnsi="Arial"/>
          <w:sz w:val="24"/>
          <w:szCs w:val="24"/>
        </w:rPr>
        <w:t xml:space="preserve">Top suppressor list: ranked by rescue efficacy, mechanism annotations (alternative motor, cargo handling, proteostasis, regeneration)</w:t>
      </w:r>
    </w:p>
    <w:p>
      <w:pPr>
        <w:pStyle w:val="ListParagraph"/>
        <w:numPr>
          <w:ilvl w:val="0"/>
          <w:numId w:val="2"/>
        </w:numPr>
        <w:spacing w:after="80" w:line="360"/>
      </w:pPr>
      <w:r>
        <w:rPr>
          <w:rFonts w:ascii="Arial" w:cs="Arial" w:eastAsia="Arial" w:hAnsi="Arial"/>
          <w:sz w:val="24"/>
          <w:szCs w:val="24"/>
        </w:rPr>
        <w:t xml:space="preserve">Pathway enrichment analysis: GO terms, KEGG pathways associated with suppressor genes (motor protein regulation, autophagy, mitochondrial dynamics)</w:t>
      </w:r>
    </w:p>
    <w:p>
      <w:pPr>
        <w:pStyle w:val="ListParagraph"/>
        <w:numPr>
          <w:ilvl w:val="0"/>
          <w:numId w:val="2"/>
        </w:numPr>
        <w:spacing w:after="200" w:line="360"/>
      </w:pPr>
      <w:r>
        <w:rPr>
          <w:rFonts w:ascii="Arial" w:cs="Arial" w:eastAsia="Arial" w:hAnsi="Arial"/>
          <w:sz w:val="24"/>
          <w:szCs w:val="24"/>
        </w:rPr>
        <w:t xml:space="preserve">Developmental trajectory analysis: temporal evolution of KIF1A dysfunction phenotypes during neuronal maturation, relating to in vivo neurodegeneration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Phenotype feature tables, genetic interaction heatmaps, clustering dendrograms/t-SNE plots, suppressor ranking tables with pathway annotations, statistical significance summaries.</w:t>
      </w:r>
    </w:p>
    <w:p>
      <w:pPr>
        <w:pStyle w:val="Heading2"/>
        <w:spacing w:after="200" w:line="360"/>
      </w:pPr>
      <w:r>
        <w:rPr>
          <w:rFonts w:ascii="Arial" w:cs="Arial" w:eastAsia="Arial" w:hAnsi="Arial"/>
          <w:b/>
          <w:bCs/>
          <w:sz w:val="28"/>
          <w:szCs w:val="28"/>
        </w:rPr>
        <w:t xml:space="preserve">Stage 3: Suppressor Identification &amp; Mechanism Characterization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Classify top suppressor candidates by mechanism (redundant motor proteins, cargo handling, mitochondrial dynamics, ER stress relief, regenerative pathways); validate mechanisms through molecular evidence; predict therapeutic potential.</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Top suppressor genes from Stage 2 genetic interaction screen</w:t>
      </w:r>
    </w:p>
    <w:p>
      <w:pPr>
        <w:pStyle w:val="ListParagraph"/>
        <w:numPr>
          <w:ilvl w:val="0"/>
          <w:numId w:val="2"/>
        </w:numPr>
        <w:spacing w:after="80" w:line="360"/>
      </w:pPr>
      <w:r>
        <w:rPr>
          <w:rFonts w:ascii="Arial" w:cs="Arial" w:eastAsia="Arial" w:hAnsi="Arial"/>
          <w:sz w:val="24"/>
          <w:szCs w:val="24"/>
        </w:rPr>
        <w:t xml:space="preserve">Suppressor protein function literature: motor protein kinase regulation, cargo binding, autophagy regulation, mitochondrial homeostasis</w:t>
      </w:r>
    </w:p>
    <w:p>
      <w:pPr>
        <w:pStyle w:val="ListParagraph"/>
        <w:numPr>
          <w:ilvl w:val="0"/>
          <w:numId w:val="2"/>
        </w:numPr>
        <w:spacing w:after="80" w:line="360"/>
      </w:pPr>
      <w:r>
        <w:rPr>
          <w:rFonts w:ascii="Arial" w:cs="Arial" w:eastAsia="Arial" w:hAnsi="Arial"/>
          <w:sz w:val="24"/>
          <w:szCs w:val="24"/>
        </w:rPr>
        <w:t xml:space="preserve">Expression data: tissue-specific mRNA/protein levels, developmental/age-related changes in motor neurons, peripheral nerve</w:t>
      </w:r>
    </w:p>
    <w:p>
      <w:pPr>
        <w:pStyle w:val="ListParagraph"/>
        <w:numPr>
          <w:ilvl w:val="0"/>
          <w:numId w:val="2"/>
        </w:numPr>
        <w:spacing w:after="80" w:line="360"/>
      </w:pPr>
      <w:r>
        <w:rPr>
          <w:rFonts w:ascii="Arial" w:cs="Arial" w:eastAsia="Arial" w:hAnsi="Arial"/>
          <w:sz w:val="24"/>
          <w:szCs w:val="24"/>
        </w:rPr>
        <w:t xml:space="preserve">Protein interaction data: suppressor-KIF1A binding, suppressor-cargo associations, suppressor regulatory pathways</w:t>
      </w:r>
    </w:p>
    <w:p>
      <w:pPr>
        <w:pStyle w:val="ListParagraph"/>
        <w:numPr>
          <w:ilvl w:val="0"/>
          <w:numId w:val="2"/>
        </w:numPr>
        <w:spacing w:after="100" w:line="360"/>
      </w:pPr>
      <w:r>
        <w:rPr>
          <w:rFonts w:ascii="Arial" w:cs="Arial" w:eastAsia="Arial" w:hAnsi="Arial"/>
          <w:sz w:val="24"/>
          <w:szCs w:val="24"/>
        </w:rPr>
        <w:t xml:space="preserve">Compound/drug targeting suppressor mechanisms from Quiver compound atlas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STRING &amp; BioGRID: </w:t>
      </w:r>
      <w:r>
        <w:rPr>
          <w:rFonts w:ascii="Arial" w:cs="Arial" w:eastAsia="Arial" w:hAnsi="Arial"/>
          <w:sz w:val="24"/>
          <w:szCs w:val="24"/>
        </w:rPr>
        <w:t xml:space="preserve">suppressor protein interaction networks, direct/indirect KIF1A interactions, functional modules</w:t>
      </w:r>
    </w:p>
    <w:p>
      <w:pPr>
        <w:pStyle w:val="ListParagraph"/>
        <w:numPr>
          <w:ilvl w:val="0"/>
          <w:numId w:val="2"/>
        </w:numPr>
        <w:spacing w:after="80" w:line="360"/>
      </w:pPr>
      <w:r>
        <w:rPr>
          <w:rFonts w:ascii="Arial" w:cs="Arial" w:eastAsia="Arial" w:hAnsi="Arial"/>
          <w:b/>
          <w:bCs/>
          <w:sz w:val="24"/>
          <w:szCs w:val="24"/>
        </w:rPr>
        <w:t xml:space="preserve">Gene ontology &amp; KEGG pathway enrichment: </w:t>
      </w:r>
      <w:r>
        <w:rPr>
          <w:rFonts w:ascii="Arial" w:cs="Arial" w:eastAsia="Arial" w:hAnsi="Arial"/>
          <w:sz w:val="24"/>
          <w:szCs w:val="24"/>
        </w:rPr>
        <w:t xml:space="preserve">classify suppressors by biological function (motor regulation, mitochondrial dynamics, ER stress, regeneration)</w:t>
      </w:r>
    </w:p>
    <w:p>
      <w:pPr>
        <w:pStyle w:val="ListParagraph"/>
        <w:numPr>
          <w:ilvl w:val="0"/>
          <w:numId w:val="2"/>
        </w:numPr>
        <w:spacing w:after="80" w:line="360"/>
      </w:pPr>
      <w:r>
        <w:rPr>
          <w:rFonts w:ascii="Arial" w:cs="Arial" w:eastAsia="Arial" w:hAnsi="Arial"/>
          <w:b/>
          <w:bCs/>
          <w:sz w:val="24"/>
          <w:szCs w:val="24"/>
        </w:rPr>
        <w:t xml:space="preserve">GEO &amp; ArrayExpress: </w:t>
      </w:r>
      <w:r>
        <w:rPr>
          <w:rFonts w:ascii="Arial" w:cs="Arial" w:eastAsia="Arial" w:hAnsi="Arial"/>
          <w:sz w:val="24"/>
          <w:szCs w:val="24"/>
        </w:rPr>
        <w:t xml:space="preserve">suppressor expression in neuronal tissues, developmental trajectories, disease/aging-related changes</w:t>
      </w:r>
    </w:p>
    <w:p>
      <w:pPr>
        <w:pStyle w:val="ListParagraph"/>
        <w:numPr>
          <w:ilvl w:val="0"/>
          <w:numId w:val="2"/>
        </w:numPr>
        <w:spacing w:after="80" w:line="360"/>
      </w:pPr>
      <w:r>
        <w:rPr>
          <w:rFonts w:ascii="Arial" w:cs="Arial" w:eastAsia="Arial" w:hAnsi="Arial"/>
          <w:b/>
          <w:bCs/>
          <w:sz w:val="24"/>
          <w:szCs w:val="24"/>
        </w:rPr>
        <w:t xml:space="preserve">Quiver Compound Atlas: </w:t>
      </w:r>
      <w:r>
        <w:rPr>
          <w:rFonts w:ascii="Arial" w:cs="Arial" w:eastAsia="Arial" w:hAnsi="Arial"/>
          <w:sz w:val="24"/>
          <w:szCs w:val="24"/>
        </w:rPr>
        <w:t xml:space="preserve">identify small molecules/biologics targeting suppressor mechanisms</w:t>
      </w:r>
    </w:p>
    <w:p>
      <w:pPr>
        <w:pStyle w:val="ListParagraph"/>
        <w:numPr>
          <w:ilvl w:val="0"/>
          <w:numId w:val="2"/>
        </w:numPr>
        <w:spacing w:after="100" w:line="360"/>
      </w:pPr>
      <w:r>
        <w:rPr>
          <w:rFonts w:ascii="Arial" w:cs="Arial" w:eastAsia="Arial" w:hAnsi="Arial"/>
          <w:b/>
          <w:bCs/>
          <w:sz w:val="24"/>
          <w:szCs w:val="24"/>
        </w:rPr>
        <w:t xml:space="preserve">Literature mining &amp; mechanistic validation: </w:t>
      </w:r>
      <w:r>
        <w:rPr>
          <w:rFonts w:ascii="Arial" w:cs="Arial" w:eastAsia="Arial" w:hAnsi="Arial"/>
          <w:sz w:val="24"/>
          <w:szCs w:val="24"/>
        </w:rPr>
        <w:t xml:space="preserve">confirm suppressor-KIF1A functional interactions, rescue mechanisms from published studies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Classify suppressors by mechanism: redundant motor proteins (KIF1B, KIF1C, dynein), cargo handlers (RAB5/7, SNARE), mitochondrial factors, ER stress regulators</w:t>
      </w:r>
    </w:p>
    <w:p>
      <w:pPr>
        <w:pStyle w:val="ListParagraph"/>
        <w:numPr>
          <w:ilvl w:val="0"/>
          <w:numId w:val="2"/>
        </w:numPr>
        <w:spacing w:after="80" w:line="360"/>
      </w:pPr>
      <w:r>
        <w:rPr>
          <w:rFonts w:ascii="Arial" w:cs="Arial" w:eastAsia="Arial" w:hAnsi="Arial"/>
          <w:sz w:val="24"/>
          <w:szCs w:val="24"/>
        </w:rPr>
        <w:t xml:space="preserve">Validate suppressor mechanisms: direct KIF1A interaction? Indirect pathway? Compensatory upregulation? Dominant negative bypass?</w:t>
      </w:r>
    </w:p>
    <w:p>
      <w:pPr>
        <w:pStyle w:val="ListParagraph"/>
        <w:numPr>
          <w:ilvl w:val="0"/>
          <w:numId w:val="2"/>
        </w:numPr>
        <w:spacing w:after="80" w:line="360"/>
      </w:pPr>
      <w:r>
        <w:rPr>
          <w:rFonts w:ascii="Arial" w:cs="Arial" w:eastAsia="Arial" w:hAnsi="Arial"/>
          <w:sz w:val="24"/>
          <w:szCs w:val="24"/>
        </w:rPr>
        <w:t xml:space="preserve">Map suppressor tissue distribution: neuronal-specific expression? Peripheral nerve enrichment? Age/development-dependent expression?</w:t>
      </w:r>
    </w:p>
    <w:p>
      <w:pPr>
        <w:pStyle w:val="ListParagraph"/>
        <w:numPr>
          <w:ilvl w:val="0"/>
          <w:numId w:val="2"/>
        </w:numPr>
        <w:spacing w:after="80" w:line="360"/>
      </w:pPr>
      <w:r>
        <w:rPr>
          <w:rFonts w:ascii="Arial" w:cs="Arial" w:eastAsia="Arial" w:hAnsi="Arial"/>
          <w:sz w:val="24"/>
          <w:szCs w:val="24"/>
        </w:rPr>
        <w:t xml:space="preserve">Assess druggability potential: existing compounds, structural tractability, BBB penetration, selectivity from off-targets</w:t>
      </w:r>
    </w:p>
    <w:p>
      <w:pPr>
        <w:pStyle w:val="ListParagraph"/>
        <w:numPr>
          <w:ilvl w:val="0"/>
          <w:numId w:val="2"/>
        </w:numPr>
        <w:spacing w:after="100" w:line="360"/>
      </w:pPr>
      <w:r>
        <w:rPr>
          <w:rFonts w:ascii="Arial" w:cs="Arial" w:eastAsia="Arial" w:hAnsi="Arial"/>
          <w:sz w:val="24"/>
          <w:szCs w:val="24"/>
        </w:rPr>
        <w:t xml:space="preserve">Predict suppressor efficacy in different KIF1A variant contexts (motor domain vs. stalk; null vs. dominant-negative)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Suppressor classification: mechanism class, KIF1A interaction type, tissue expression pattern, developmental regulation</w:t>
      </w:r>
    </w:p>
    <w:p>
      <w:pPr>
        <w:pStyle w:val="ListParagraph"/>
        <w:numPr>
          <w:ilvl w:val="0"/>
          <w:numId w:val="2"/>
        </w:numPr>
        <w:spacing w:after="80" w:line="360"/>
      </w:pPr>
      <w:r>
        <w:rPr>
          <w:rFonts w:ascii="Arial" w:cs="Arial" w:eastAsia="Arial" w:hAnsi="Arial"/>
          <w:sz w:val="24"/>
          <w:szCs w:val="24"/>
        </w:rPr>
        <w:t xml:space="preserve">Mechanistic pathway diagrams: suppressor-KIF1A networks, cargo delivery restoration mechanisms, mitochondrial protection pathways</w:t>
      </w:r>
    </w:p>
    <w:p>
      <w:pPr>
        <w:pStyle w:val="ListParagraph"/>
        <w:numPr>
          <w:ilvl w:val="0"/>
          <w:numId w:val="2"/>
        </w:numPr>
        <w:spacing w:after="80" w:line="360"/>
      </w:pPr>
      <w:r>
        <w:rPr>
          <w:rFonts w:ascii="Arial" w:cs="Arial" w:eastAsia="Arial" w:hAnsi="Arial"/>
          <w:sz w:val="24"/>
          <w:szCs w:val="24"/>
        </w:rPr>
        <w:t xml:space="preserve">Tissue expression heatmaps: suppressor expression across motor neuron, sensory neuron, other tissues; developmental trajectories</w:t>
      </w:r>
    </w:p>
    <w:p>
      <w:pPr>
        <w:pStyle w:val="ListParagraph"/>
        <w:numPr>
          <w:ilvl w:val="0"/>
          <w:numId w:val="2"/>
        </w:numPr>
        <w:spacing w:after="80" w:line="360"/>
      </w:pPr>
      <w:r>
        <w:rPr>
          <w:rFonts w:ascii="Arial" w:cs="Arial" w:eastAsia="Arial" w:hAnsi="Arial"/>
          <w:sz w:val="24"/>
          <w:szCs w:val="24"/>
        </w:rPr>
        <w:t xml:space="preserve">Suppressor-compound mapping: small molecules/biologics targeting each suppressor, known pharmacology</w:t>
      </w:r>
    </w:p>
    <w:p>
      <w:pPr>
        <w:pStyle w:val="ListParagraph"/>
        <w:numPr>
          <w:ilvl w:val="0"/>
          <w:numId w:val="2"/>
        </w:numPr>
        <w:spacing w:after="80" w:line="360"/>
      </w:pPr>
      <w:r>
        <w:rPr>
          <w:rFonts w:ascii="Arial" w:cs="Arial" w:eastAsia="Arial" w:hAnsi="Arial"/>
          <w:sz w:val="24"/>
          <w:szCs w:val="24"/>
        </w:rPr>
        <w:t xml:space="preserve">Druggability assessment per suppressor: targetability, BBB penetration potential, off-target liability prediction</w:t>
      </w:r>
    </w:p>
    <w:p>
      <w:pPr>
        <w:pStyle w:val="ListParagraph"/>
        <w:numPr>
          <w:ilvl w:val="0"/>
          <w:numId w:val="2"/>
        </w:numPr>
        <w:spacing w:after="200" w:line="360"/>
      </w:pPr>
      <w:r>
        <w:rPr>
          <w:rFonts w:ascii="Arial" w:cs="Arial" w:eastAsia="Arial" w:hAnsi="Arial"/>
          <w:sz w:val="24"/>
          <w:szCs w:val="24"/>
        </w:rPr>
        <w:t xml:space="preserve">Literature evidence synthesis: functional validation studies, genetic rescue models, therapeutic potential assessments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Suppressor classification tables, mechanistic pathway diagrams, tissue expression heatmaps, protein interaction networks, target-compound maps.</w:t>
      </w:r>
    </w:p>
    <w:p>
      <w:pPr>
        <w:pStyle w:val="Heading2"/>
        <w:spacing w:after="200" w:line="360"/>
      </w:pPr>
      <w:r>
        <w:rPr>
          <w:rFonts w:ascii="Arial" w:cs="Arial" w:eastAsia="Arial" w:hAnsi="Arial"/>
          <w:b/>
          <w:bCs/>
          <w:sz w:val="28"/>
          <w:szCs w:val="28"/>
        </w:rPr>
        <w:t xml:space="preserve">Stage 4: Druggability Ranking &amp; Target Prioritization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Systematically evaluate druggability of suppressor targets using structural, pharmacological, and clinical criteria; rank suppressors by targetability for small molecule/biologic intervention; identify development-ready candidates.</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Suppressor protein structures, known ligands, binding pockets (from PDB, AlphaFold models)</w:t>
      </w:r>
    </w:p>
    <w:p>
      <w:pPr>
        <w:pStyle w:val="ListParagraph"/>
        <w:numPr>
          <w:ilvl w:val="0"/>
          <w:numId w:val="2"/>
        </w:numPr>
        <w:spacing w:after="80" w:line="360"/>
      </w:pPr>
      <w:r>
        <w:rPr>
          <w:rFonts w:ascii="Arial" w:cs="Arial" w:eastAsia="Arial" w:hAnsi="Arial"/>
          <w:sz w:val="24"/>
          <w:szCs w:val="24"/>
        </w:rPr>
        <w:t xml:space="preserve">Existing inhibitors/activators/biologics targeting suppressors (clinical compounds, tool compounds, antibodies)</w:t>
      </w:r>
    </w:p>
    <w:p>
      <w:pPr>
        <w:pStyle w:val="ListParagraph"/>
        <w:numPr>
          <w:ilvl w:val="0"/>
          <w:numId w:val="2"/>
        </w:numPr>
        <w:spacing w:after="80" w:line="360"/>
      </w:pPr>
      <w:r>
        <w:rPr>
          <w:rFonts w:ascii="Arial" w:cs="Arial" w:eastAsia="Arial" w:hAnsi="Arial"/>
          <w:sz w:val="24"/>
          <w:szCs w:val="24"/>
        </w:rPr>
        <w:t xml:space="preserve">Kinase selectivity data for suppressor kinases; antibody binding data for suppressor proteins</w:t>
      </w:r>
    </w:p>
    <w:p>
      <w:pPr>
        <w:pStyle w:val="ListParagraph"/>
        <w:numPr>
          <w:ilvl w:val="0"/>
          <w:numId w:val="2"/>
        </w:numPr>
        <w:spacing w:after="80" w:line="360"/>
      </w:pPr>
      <w:r>
        <w:rPr>
          <w:rFonts w:ascii="Arial" w:cs="Arial" w:eastAsia="Arial" w:hAnsi="Arial"/>
          <w:sz w:val="24"/>
          <w:szCs w:val="24"/>
        </w:rPr>
        <w:t xml:space="preserve">ADMET profiles for tool compounds; brain penetration, metabolic stability literature</w:t>
      </w:r>
    </w:p>
    <w:p>
      <w:pPr>
        <w:pStyle w:val="ListParagraph"/>
        <w:numPr>
          <w:ilvl w:val="0"/>
          <w:numId w:val="2"/>
        </w:numPr>
        <w:spacing w:after="100" w:line="360"/>
      </w:pPr>
      <w:r>
        <w:rPr>
          <w:rFonts w:ascii="Arial" w:cs="Arial" w:eastAsia="Arial" w:hAnsi="Arial"/>
          <w:sz w:val="24"/>
          <w:szCs w:val="24"/>
        </w:rPr>
        <w:t xml:space="preserve">Safety/tolerability data from published studies; adverse event profiles for existing compounds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PDB &amp; AlphaFold: </w:t>
      </w:r>
      <w:r>
        <w:rPr>
          <w:rFonts w:ascii="Arial" w:cs="Arial" w:eastAsia="Arial" w:hAnsi="Arial"/>
          <w:sz w:val="24"/>
          <w:szCs w:val="24"/>
        </w:rPr>
        <w:t xml:space="preserve">3D structure analysis, binding pocket identification, ligandability assessment for suppressors</w:t>
      </w:r>
    </w:p>
    <w:p>
      <w:pPr>
        <w:pStyle w:val="ListParagraph"/>
        <w:numPr>
          <w:ilvl w:val="0"/>
          <w:numId w:val="2"/>
        </w:numPr>
        <w:spacing w:after="80" w:line="360"/>
      </w:pPr>
      <w:r>
        <w:rPr>
          <w:rFonts w:ascii="Arial" w:cs="Arial" w:eastAsia="Arial" w:hAnsi="Arial"/>
          <w:b/>
          <w:bCs/>
          <w:sz w:val="24"/>
          <w:szCs w:val="24"/>
        </w:rPr>
        <w:t xml:space="preserve">DrugBank, ChEMBL, Integrity: </w:t>
      </w:r>
      <w:r>
        <w:rPr>
          <w:rFonts w:ascii="Arial" w:cs="Arial" w:eastAsia="Arial" w:hAnsi="Arial"/>
          <w:sz w:val="24"/>
          <w:szCs w:val="24"/>
        </w:rPr>
        <w:t xml:space="preserve">existing compounds targeting suppressors, clinical trial status, pharmacology data</w:t>
      </w:r>
    </w:p>
    <w:p>
      <w:pPr>
        <w:pStyle w:val="ListParagraph"/>
        <w:numPr>
          <w:ilvl w:val="0"/>
          <w:numId w:val="2"/>
        </w:numPr>
        <w:spacing w:after="80" w:line="360"/>
      </w:pPr>
      <w:r>
        <w:rPr>
          <w:rFonts w:ascii="Arial" w:cs="Arial" w:eastAsia="Arial" w:hAnsi="Arial"/>
          <w:b/>
          <w:bCs/>
          <w:sz w:val="24"/>
          <w:szCs w:val="24"/>
        </w:rPr>
        <w:t xml:space="preserve">SwissADME, pkCSM, AdmetSAR: </w:t>
      </w:r>
      <w:r>
        <w:rPr>
          <w:rFonts w:ascii="Arial" w:cs="Arial" w:eastAsia="Arial" w:hAnsi="Arial"/>
          <w:sz w:val="24"/>
          <w:szCs w:val="24"/>
        </w:rPr>
        <w:t xml:space="preserve">ADMET predictions (BBB penetration, metabolic stability, toxicity) for suppressor inhibitors</w:t>
      </w:r>
    </w:p>
    <w:p>
      <w:pPr>
        <w:pStyle w:val="ListParagraph"/>
        <w:numPr>
          <w:ilvl w:val="0"/>
          <w:numId w:val="2"/>
        </w:numPr>
        <w:spacing w:after="80" w:line="360"/>
      </w:pPr>
      <w:r>
        <w:rPr>
          <w:rFonts w:ascii="Arial" w:cs="Arial" w:eastAsia="Arial" w:hAnsi="Arial"/>
          <w:b/>
          <w:bCs/>
          <w:sz w:val="24"/>
          <w:szCs w:val="24"/>
        </w:rPr>
        <w:t xml:space="preserve">KinoBase, DiscoverX: </w:t>
      </w:r>
      <w:r>
        <w:rPr>
          <w:rFonts w:ascii="Arial" w:cs="Arial" w:eastAsia="Arial" w:hAnsi="Arial"/>
          <w:sz w:val="24"/>
          <w:szCs w:val="24"/>
        </w:rPr>
        <w:t xml:space="preserve">kinase selectivity profiling for suppressor kinase inhibitors, off-target interaction matrices</w:t>
      </w:r>
    </w:p>
    <w:p>
      <w:pPr>
        <w:pStyle w:val="ListParagraph"/>
        <w:numPr>
          <w:ilvl w:val="0"/>
          <w:numId w:val="2"/>
        </w:numPr>
        <w:spacing w:after="100" w:line="360"/>
      </w:pPr>
      <w:r>
        <w:rPr>
          <w:rFonts w:ascii="Arial" w:cs="Arial" w:eastAsia="Arial" w:hAnsi="Arial"/>
          <w:b/>
          <w:bCs/>
          <w:sz w:val="24"/>
          <w:szCs w:val="24"/>
        </w:rPr>
        <w:t xml:space="preserve">TDR/Target Druggability Ranking: </w:t>
      </w:r>
      <w:r>
        <w:rPr>
          <w:rFonts w:ascii="Arial" w:cs="Arial" w:eastAsia="Arial" w:hAnsi="Arial"/>
          <w:sz w:val="24"/>
          <w:szCs w:val="24"/>
        </w:rPr>
        <w:t xml:space="preserve">computational druggability scoring integrating target features, clinical precedent, structural tractability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Score ligandability: suppressor proteins with known ligands? Tractable binding pockets? Allosteric modulation options?</w:t>
      </w:r>
    </w:p>
    <w:p>
      <w:pPr>
        <w:pStyle w:val="ListParagraph"/>
        <w:numPr>
          <w:ilvl w:val="0"/>
          <w:numId w:val="2"/>
        </w:numPr>
        <w:spacing w:after="80" w:line="360"/>
      </w:pPr>
      <w:r>
        <w:rPr>
          <w:rFonts w:ascii="Arial" w:cs="Arial" w:eastAsia="Arial" w:hAnsi="Arial"/>
          <w:sz w:val="24"/>
          <w:szCs w:val="24"/>
        </w:rPr>
        <w:t xml:space="preserve">Assess ADMET: BBB penetration likelihood, metabolic stability, oral bioavailability for existing suppressor-targeting compounds</w:t>
      </w:r>
    </w:p>
    <w:p>
      <w:pPr>
        <w:pStyle w:val="ListParagraph"/>
        <w:numPr>
          <w:ilvl w:val="0"/>
          <w:numId w:val="2"/>
        </w:numPr>
        <w:spacing w:after="80" w:line="360"/>
      </w:pPr>
      <w:r>
        <w:rPr>
          <w:rFonts w:ascii="Arial" w:cs="Arial" w:eastAsia="Arial" w:hAnsi="Arial"/>
          <w:sz w:val="24"/>
          <w:szCs w:val="24"/>
        </w:rPr>
        <w:t xml:space="preserve">Evaluate selectivity: kinase off-targets, tissue cross-reactivity for antibodies, potential adverse effects from polypharmacology</w:t>
      </w:r>
    </w:p>
    <w:p>
      <w:pPr>
        <w:pStyle w:val="ListParagraph"/>
        <w:numPr>
          <w:ilvl w:val="0"/>
          <w:numId w:val="2"/>
        </w:numPr>
        <w:spacing w:after="80" w:line="360"/>
      </w:pPr>
      <w:r>
        <w:rPr>
          <w:rFonts w:ascii="Arial" w:cs="Arial" w:eastAsia="Arial" w:hAnsi="Arial"/>
          <w:sz w:val="24"/>
          <w:szCs w:val="24"/>
        </w:rPr>
        <w:t xml:space="preserve">Compare clinical precedent: safety/efficacy in human trials for compounds targeting suppressor mechanisms</w:t>
      </w:r>
    </w:p>
    <w:p>
      <w:pPr>
        <w:pStyle w:val="ListParagraph"/>
        <w:numPr>
          <w:ilvl w:val="0"/>
          <w:numId w:val="2"/>
        </w:numPr>
        <w:spacing w:after="100" w:line="360"/>
      </w:pPr>
      <w:r>
        <w:rPr>
          <w:rFonts w:ascii="Arial" w:cs="Arial" w:eastAsia="Arial" w:hAnsi="Arial"/>
          <w:sz w:val="24"/>
          <w:szCs w:val="24"/>
        </w:rPr>
        <w:t xml:space="preserve">Rank suppressors: composite druggability score (ligandability, ADMET, selectivity, clinical track record)</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Druggability scoring table: suppressor rank, ligandability score, ADMET scores, selectivity index, clinical precedent rating</w:t>
      </w:r>
    </w:p>
    <w:p>
      <w:pPr>
        <w:pStyle w:val="ListParagraph"/>
        <w:numPr>
          <w:ilvl w:val="0"/>
          <w:numId w:val="2"/>
        </w:numPr>
        <w:spacing w:after="80" w:line="360"/>
      </w:pPr>
      <w:r>
        <w:rPr>
          <w:rFonts w:ascii="Arial" w:cs="Arial" w:eastAsia="Arial" w:hAnsi="Arial"/>
          <w:sz w:val="24"/>
          <w:szCs w:val="24"/>
        </w:rPr>
        <w:t xml:space="preserve">Binding pocket analysis: 3D structure visualizations for tractable suppressors, known ligand poses, rational optimization opportunities</w:t>
      </w:r>
    </w:p>
    <w:p>
      <w:pPr>
        <w:pStyle w:val="ListParagraph"/>
        <w:numPr>
          <w:ilvl w:val="0"/>
          <w:numId w:val="2"/>
        </w:numPr>
        <w:spacing w:after="80" w:line="360"/>
      </w:pPr>
      <w:r>
        <w:rPr>
          <w:rFonts w:ascii="Arial" w:cs="Arial" w:eastAsia="Arial" w:hAnsi="Arial"/>
          <w:sz w:val="24"/>
          <w:szCs w:val="24"/>
        </w:rPr>
        <w:t xml:space="preserve">Compound landscape: existing inhibitors/activators/antibodies for each suppressor, development stage, efficacy/safety profiles</w:t>
      </w:r>
    </w:p>
    <w:p>
      <w:pPr>
        <w:pStyle w:val="ListParagraph"/>
        <w:numPr>
          <w:ilvl w:val="0"/>
          <w:numId w:val="2"/>
        </w:numPr>
        <w:spacing w:after="80" w:line="360"/>
      </w:pPr>
      <w:r>
        <w:rPr>
          <w:rFonts w:ascii="Arial" w:cs="Arial" w:eastAsia="Arial" w:hAnsi="Arial"/>
          <w:sz w:val="24"/>
          <w:szCs w:val="24"/>
        </w:rPr>
        <w:t xml:space="preserve">ADMET prediction summaries: BBB penetration likelihood, metabolic pathways, predicted toxicity liabilities for tool compounds</w:t>
      </w:r>
    </w:p>
    <w:p>
      <w:pPr>
        <w:pStyle w:val="ListParagraph"/>
        <w:numPr>
          <w:ilvl w:val="0"/>
          <w:numId w:val="2"/>
        </w:numPr>
        <w:spacing w:after="80" w:line="360"/>
      </w:pPr>
      <w:r>
        <w:rPr>
          <w:rFonts w:ascii="Arial" w:cs="Arial" w:eastAsia="Arial" w:hAnsi="Arial"/>
          <w:sz w:val="24"/>
          <w:szCs w:val="24"/>
        </w:rPr>
        <w:t xml:space="preserve">Off-target analysis: kinase selectivity matrices, potential adverse effects from polypharmacology for kinase suppressors</w:t>
      </w:r>
    </w:p>
    <w:p>
      <w:pPr>
        <w:pStyle w:val="ListParagraph"/>
        <w:numPr>
          <w:ilvl w:val="0"/>
          <w:numId w:val="2"/>
        </w:numPr>
        <w:spacing w:after="200" w:line="360"/>
      </w:pPr>
      <w:r>
        <w:rPr>
          <w:rFonts w:ascii="Arial" w:cs="Arial" w:eastAsia="Arial" w:hAnsi="Arial"/>
          <w:sz w:val="24"/>
          <w:szCs w:val="24"/>
        </w:rPr>
        <w:t xml:space="preserve">Go/No-Go decision matrix: development-ready suppressors vs. high-risk targets, recommended next steps per suppressor</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Druggability ranking tables, binding pocket visualizations, compound landscape summaries, ADMET heatmaps, off-target matrices, Go/No-Go decision charts.</w:t>
      </w:r>
    </w:p>
    <w:p>
      <w:pPr>
        <w:pStyle w:val="Heading2"/>
        <w:spacing w:after="200" w:line="360"/>
      </w:pPr>
      <w:r>
        <w:rPr>
          <w:rFonts w:ascii="Arial" w:cs="Arial" w:eastAsia="Arial" w:hAnsi="Arial"/>
          <w:b/>
          <w:bCs/>
          <w:sz w:val="28"/>
          <w:szCs w:val="28"/>
        </w:rPr>
        <w:t xml:space="preserve">Stage 5: Therapeutic Modality Selection &amp; Development Path</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Select optimal therapeutic modality (small molecule inhibitor, protein degrader, antibody, gene therapy, stem cell therapy) per suppressor; design preclinical development strategy; define regulatory pathway.</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Top-ranked suppressors from Stage 4 druggability assessment</w:t>
      </w:r>
    </w:p>
    <w:p>
      <w:pPr>
        <w:pStyle w:val="ListParagraph"/>
        <w:numPr>
          <w:ilvl w:val="0"/>
          <w:numId w:val="2"/>
        </w:numPr>
        <w:spacing w:after="80" w:line="360"/>
      </w:pPr>
      <w:r>
        <w:rPr>
          <w:rFonts w:ascii="Arial" w:cs="Arial" w:eastAsia="Arial" w:hAnsi="Arial"/>
          <w:sz w:val="24"/>
          <w:szCs w:val="24"/>
        </w:rPr>
        <w:t xml:space="preserve">Suppressor function mechanism: kinase activity, protein-protein interaction, gene expression regulation, cellular localization</w:t>
      </w:r>
    </w:p>
    <w:p>
      <w:pPr>
        <w:pStyle w:val="ListParagraph"/>
        <w:numPr>
          <w:ilvl w:val="0"/>
          <w:numId w:val="2"/>
        </w:numPr>
        <w:spacing w:after="80" w:line="360"/>
      </w:pPr>
      <w:r>
        <w:rPr>
          <w:rFonts w:ascii="Arial" w:cs="Arial" w:eastAsia="Arial" w:hAnsi="Arial"/>
          <w:sz w:val="24"/>
          <w:szCs w:val="24"/>
        </w:rPr>
        <w:t xml:space="preserve">Therapeutic modality feasibility: existing technologies, platform capabilities, cost/timeline considerations</w:t>
      </w:r>
    </w:p>
    <w:p>
      <w:pPr>
        <w:pStyle w:val="ListParagraph"/>
        <w:numPr>
          <w:ilvl w:val="0"/>
          <w:numId w:val="2"/>
        </w:numPr>
        <w:spacing w:after="80" w:line="360"/>
      </w:pPr>
      <w:r>
        <w:rPr>
          <w:rFonts w:ascii="Arial" w:cs="Arial" w:eastAsia="Arial" w:hAnsi="Arial"/>
          <w:sz w:val="24"/>
          <w:szCs w:val="24"/>
        </w:rPr>
        <w:t xml:space="preserve">Preclinical models: KIF1A knockout/mutation animal models, patient-derived iPSCs, organoid platforms for efficacy testing</w:t>
      </w:r>
    </w:p>
    <w:p>
      <w:pPr>
        <w:pStyle w:val="ListParagraph"/>
        <w:numPr>
          <w:ilvl w:val="0"/>
          <w:numId w:val="2"/>
        </w:numPr>
        <w:spacing w:after="100" w:line="360"/>
      </w:pPr>
      <w:r>
        <w:rPr>
          <w:rFonts w:ascii="Arial" w:cs="Arial" w:eastAsia="Arial" w:hAnsi="Arial"/>
          <w:sz w:val="24"/>
          <w:szCs w:val="24"/>
        </w:rPr>
        <w:t xml:space="preserve">FDA guidance: orphan drug designation status, breakthrough therapy criteria, precedent therapies for neurological disorders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Protein degradation platform analysis: </w:t>
      </w:r>
      <w:r>
        <w:rPr>
          <w:rFonts w:ascii="Arial" w:cs="Arial" w:eastAsia="Arial" w:hAnsi="Arial"/>
          <w:sz w:val="24"/>
          <w:szCs w:val="24"/>
        </w:rPr>
        <w:t xml:space="preserve">PROTAC, TRIM-Away, antisense degradation feasibility for suppressor proteins</w:t>
      </w:r>
    </w:p>
    <w:p>
      <w:pPr>
        <w:pStyle w:val="ListParagraph"/>
        <w:numPr>
          <w:ilvl w:val="0"/>
          <w:numId w:val="2"/>
        </w:numPr>
        <w:spacing w:after="80" w:line="360"/>
      </w:pPr>
      <w:r>
        <w:rPr>
          <w:rFonts w:ascii="Arial" w:cs="Arial" w:eastAsia="Arial" w:hAnsi="Arial"/>
          <w:b/>
          <w:bCs/>
          <w:sz w:val="24"/>
          <w:szCs w:val="24"/>
        </w:rPr>
        <w:t xml:space="preserve">Gene therapy vector selection: </w:t>
      </w:r>
      <w:r>
        <w:rPr>
          <w:rFonts w:ascii="Arial" w:cs="Arial" w:eastAsia="Arial" w:hAnsi="Arial"/>
          <w:sz w:val="24"/>
          <w:szCs w:val="24"/>
        </w:rPr>
        <w:t xml:space="preserve">AAV tropism, lentiviral integration, ex vivo transduction for KIF1A suppressor therapies</w:t>
      </w:r>
    </w:p>
    <w:p>
      <w:pPr>
        <w:pStyle w:val="ListParagraph"/>
        <w:numPr>
          <w:ilvl w:val="0"/>
          <w:numId w:val="2"/>
        </w:numPr>
        <w:spacing w:after="80" w:line="360"/>
      </w:pPr>
      <w:r>
        <w:rPr>
          <w:rFonts w:ascii="Arial" w:cs="Arial" w:eastAsia="Arial" w:hAnsi="Arial"/>
          <w:b/>
          <w:bCs/>
          <w:sz w:val="24"/>
          <w:szCs w:val="24"/>
        </w:rPr>
        <w:t xml:space="preserve">Antibody platform assessment: </w:t>
      </w:r>
      <w:r>
        <w:rPr>
          <w:rFonts w:ascii="Arial" w:cs="Arial" w:eastAsia="Arial" w:hAnsi="Arial"/>
          <w:sz w:val="24"/>
          <w:szCs w:val="24"/>
        </w:rPr>
        <w:t xml:space="preserve">monoclonal antibody, bispecific antibody, Fc-fusion protein formats for suppressor targeting</w:t>
      </w:r>
    </w:p>
    <w:p>
      <w:pPr>
        <w:pStyle w:val="ListParagraph"/>
        <w:numPr>
          <w:ilvl w:val="0"/>
          <w:numId w:val="2"/>
        </w:numPr>
        <w:spacing w:after="80" w:line="360"/>
      </w:pPr>
      <w:r>
        <w:rPr>
          <w:rFonts w:ascii="Arial" w:cs="Arial" w:eastAsia="Arial" w:hAnsi="Arial"/>
          <w:b/>
          <w:bCs/>
          <w:sz w:val="24"/>
          <w:szCs w:val="24"/>
        </w:rPr>
        <w:t xml:space="preserve">Synthetic biology &amp; cell therapy: </w:t>
      </w:r>
      <w:r>
        <w:rPr>
          <w:rFonts w:ascii="Arial" w:cs="Arial" w:eastAsia="Arial" w:hAnsi="Arial"/>
          <w:sz w:val="24"/>
          <w:szCs w:val="24"/>
        </w:rPr>
        <w:t xml:space="preserve">CAR-T, engineered stem cells, organoid transplantation for suppressor pathway activation</w:t>
      </w:r>
    </w:p>
    <w:p>
      <w:pPr>
        <w:pStyle w:val="ListParagraph"/>
        <w:numPr>
          <w:ilvl w:val="0"/>
          <w:numId w:val="2"/>
        </w:numPr>
        <w:spacing w:after="100" w:line="360"/>
      </w:pPr>
      <w:r>
        <w:rPr>
          <w:rFonts w:ascii="Arial" w:cs="Arial" w:eastAsia="Arial" w:hAnsi="Arial"/>
          <w:b/>
          <w:bCs/>
          <w:sz w:val="24"/>
          <w:szCs w:val="24"/>
        </w:rPr>
        <w:t xml:space="preserve">Regulatory precedent databases: </w:t>
      </w:r>
      <w:r>
        <w:rPr>
          <w:rFonts w:ascii="Arial" w:cs="Arial" w:eastAsia="Arial" w:hAnsi="Arial"/>
          <w:sz w:val="24"/>
          <w:szCs w:val="24"/>
        </w:rPr>
        <w:t xml:space="preserve">orphan drug approvals, breakthrough designations, pathways for rare neurological therapies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Select modality per suppressor: small molecule inhibitor vs. antibody vs. protein degrader vs. gene therapy feasibility</w:t>
      </w:r>
    </w:p>
    <w:p>
      <w:pPr>
        <w:pStyle w:val="ListParagraph"/>
        <w:numPr>
          <w:ilvl w:val="0"/>
          <w:numId w:val="2"/>
        </w:numPr>
        <w:spacing w:after="80" w:line="360"/>
      </w:pPr>
      <w:r>
        <w:rPr>
          <w:rFonts w:ascii="Arial" w:cs="Arial" w:eastAsia="Arial" w:hAnsi="Arial"/>
          <w:sz w:val="24"/>
          <w:szCs w:val="24"/>
        </w:rPr>
        <w:t xml:space="preserve">Design preclinical program: animal model studies, dosage optimization, efficacy/safety endpoints relevant to KIF1A-SPG30</w:t>
      </w:r>
    </w:p>
    <w:p>
      <w:pPr>
        <w:pStyle w:val="ListParagraph"/>
        <w:numPr>
          <w:ilvl w:val="0"/>
          <w:numId w:val="2"/>
        </w:numPr>
        <w:spacing w:after="80" w:line="360"/>
      </w:pPr>
      <w:r>
        <w:rPr>
          <w:rFonts w:ascii="Arial" w:cs="Arial" w:eastAsia="Arial" w:hAnsi="Arial"/>
          <w:sz w:val="24"/>
          <w:szCs w:val="24"/>
        </w:rPr>
        <w:t xml:space="preserve">Define regulatory strategy: IND-enabling studies, orphan drug designation rationale, accelerated approval pathway potential</w:t>
      </w:r>
    </w:p>
    <w:p>
      <w:pPr>
        <w:pStyle w:val="ListParagraph"/>
        <w:numPr>
          <w:ilvl w:val="0"/>
          <w:numId w:val="2"/>
        </w:numPr>
        <w:spacing w:after="80" w:line="360"/>
      </w:pPr>
      <w:r>
        <w:rPr>
          <w:rFonts w:ascii="Arial" w:cs="Arial" w:eastAsia="Arial" w:hAnsi="Arial"/>
          <w:sz w:val="24"/>
          <w:szCs w:val="24"/>
        </w:rPr>
        <w:t xml:space="preserve">Project timelines &amp; budgets: small molecule 3-5 years vs. biologic 4-6 years vs. gene therapy 5-8 years</w:t>
      </w:r>
    </w:p>
    <w:p>
      <w:pPr>
        <w:pStyle w:val="ListParagraph"/>
        <w:numPr>
          <w:ilvl w:val="0"/>
          <w:numId w:val="2"/>
        </w:numPr>
        <w:spacing w:after="100" w:line="360"/>
      </w:pPr>
      <w:r>
        <w:rPr>
          <w:rFonts w:ascii="Arial" w:cs="Arial" w:eastAsia="Arial" w:hAnsi="Arial"/>
          <w:sz w:val="24"/>
          <w:szCs w:val="24"/>
        </w:rPr>
        <w:t xml:space="preserve">Risk mitigation: de-risking strategies per modality, contingency approaches if primary modality fails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Modality selection rationale: suppressor + optimal modality pairings with supporting data</w:t>
      </w:r>
    </w:p>
    <w:p>
      <w:pPr>
        <w:pStyle w:val="ListParagraph"/>
        <w:numPr>
          <w:ilvl w:val="0"/>
          <w:numId w:val="2"/>
        </w:numPr>
        <w:spacing w:after="80" w:line="360"/>
      </w:pPr>
      <w:r>
        <w:rPr>
          <w:rFonts w:ascii="Arial" w:cs="Arial" w:eastAsia="Arial" w:hAnsi="Arial"/>
          <w:sz w:val="24"/>
          <w:szCs w:val="24"/>
        </w:rPr>
        <w:t xml:space="preserve">Preclinical development plan: animal models, efficacy endpoints, dose-response studies, safety assessment strategies</w:t>
      </w:r>
    </w:p>
    <w:p>
      <w:pPr>
        <w:pStyle w:val="ListParagraph"/>
        <w:numPr>
          <w:ilvl w:val="0"/>
          <w:numId w:val="2"/>
        </w:numPr>
        <w:spacing w:after="80" w:line="360"/>
      </w:pPr>
      <w:r>
        <w:rPr>
          <w:rFonts w:ascii="Arial" w:cs="Arial" w:eastAsia="Arial" w:hAnsi="Arial"/>
          <w:sz w:val="24"/>
          <w:szCs w:val="24"/>
        </w:rPr>
        <w:t xml:space="preserve">Regulatory pathway document: IND-enabling studies required, orphan drug strategy, breakthrough designation rationale</w:t>
      </w:r>
    </w:p>
    <w:p>
      <w:pPr>
        <w:pStyle w:val="ListParagraph"/>
        <w:numPr>
          <w:ilvl w:val="0"/>
          <w:numId w:val="2"/>
        </w:numPr>
        <w:spacing w:after="80" w:line="360"/>
      </w:pPr>
      <w:r>
        <w:rPr>
          <w:rFonts w:ascii="Arial" w:cs="Arial" w:eastAsia="Arial" w:hAnsi="Arial"/>
          <w:sz w:val="24"/>
          <w:szCs w:val="24"/>
        </w:rPr>
        <w:t xml:space="preserve">Development timeline: phased program from lead optimization through IND-enabling (Gantt charts, milestone timelines)</w:t>
      </w:r>
    </w:p>
    <w:p>
      <w:pPr>
        <w:pStyle w:val="ListParagraph"/>
        <w:numPr>
          <w:ilvl w:val="0"/>
          <w:numId w:val="2"/>
        </w:numPr>
        <w:spacing w:after="80" w:line="360"/>
      </w:pPr>
      <w:r>
        <w:rPr>
          <w:rFonts w:ascii="Arial" w:cs="Arial" w:eastAsia="Arial" w:hAnsi="Arial"/>
          <w:sz w:val="24"/>
          <w:szCs w:val="24"/>
        </w:rPr>
        <w:t xml:space="preserve">Budget projections: estimated costs per modality/suppressor, FTE requirements, capital equipment needs</w:t>
      </w:r>
    </w:p>
    <w:p>
      <w:pPr>
        <w:pStyle w:val="ListParagraph"/>
        <w:numPr>
          <w:ilvl w:val="0"/>
          <w:numId w:val="2"/>
        </w:numPr>
        <w:spacing w:after="200" w:line="360"/>
      </w:pPr>
      <w:r>
        <w:rPr>
          <w:rFonts w:ascii="Arial" w:cs="Arial" w:eastAsia="Arial" w:hAnsi="Arial"/>
          <w:sz w:val="24"/>
          <w:szCs w:val="24"/>
        </w:rPr>
        <w:t xml:space="preserve">Risk assessment &amp; mitigation: development risks per modality, contingency plans, parallel pathway options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Modality selection matrices, preclinical development plans, regulatory strategy documents, timeline Gantt charts, budget summaries, risk assessment tables.</w:t>
      </w:r>
    </w:p>
    <w:p>
      <w:pPr>
        <w:pStyle w:val="Heading2"/>
        <w:spacing w:after="200" w:line="360"/>
      </w:pPr>
      <w:r>
        <w:rPr>
          <w:rFonts w:ascii="Arial" w:cs="Arial" w:eastAsia="Arial" w:hAnsi="Arial"/>
          <w:b/>
          <w:bCs/>
          <w:sz w:val="28"/>
          <w:szCs w:val="28"/>
        </w:rPr>
        <w:t xml:space="preserve">Stage 6: Clinical Development &amp; Biomarker Strategy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Phase IIb clinical trial strategy for suppressor-targeting therapies in KIF1A-SPG30; identify predictive biomarkers; develop patient stratification approach; establish surrogate endpoints for accelerated approval.</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KIF1A patient cohort data: genotypes, phenotypic severity, progression rates, natural history</w:t>
      </w:r>
    </w:p>
    <w:p>
      <w:pPr>
        <w:pStyle w:val="ListParagraph"/>
        <w:numPr>
          <w:ilvl w:val="0"/>
          <w:numId w:val="2"/>
        </w:numPr>
        <w:spacing w:after="80" w:line="360"/>
      </w:pPr>
      <w:r>
        <w:rPr>
          <w:rFonts w:ascii="Arial" w:cs="Arial" w:eastAsia="Arial" w:hAnsi="Arial"/>
          <w:sz w:val="24"/>
          <w:szCs w:val="24"/>
        </w:rPr>
        <w:t xml:space="preserve">Biomarker discovery: animal model data for suppressor activation effects on axonal transport, neuronal health</w:t>
      </w:r>
    </w:p>
    <w:p>
      <w:pPr>
        <w:pStyle w:val="ListParagraph"/>
        <w:numPr>
          <w:ilvl w:val="0"/>
          <w:numId w:val="2"/>
        </w:numPr>
        <w:spacing w:after="80" w:line="360"/>
      </w:pPr>
      <w:r>
        <w:rPr>
          <w:rFonts w:ascii="Arial" w:cs="Arial" w:eastAsia="Arial" w:hAnsi="Arial"/>
          <w:sz w:val="24"/>
          <w:szCs w:val="24"/>
        </w:rPr>
        <w:t xml:space="preserve">Endpoint development: clinical scales (SARA, FSS, AZF), imaging biomarkers (MRI, diffusion tensor imaging), functional biomarkers (walking speed, grip strength)</w:t>
      </w:r>
    </w:p>
    <w:p>
      <w:pPr>
        <w:pStyle w:val="ListParagraph"/>
        <w:numPr>
          <w:ilvl w:val="0"/>
          <w:numId w:val="2"/>
        </w:numPr>
        <w:spacing w:after="80" w:line="360"/>
      </w:pPr>
      <w:r>
        <w:rPr>
          <w:rFonts w:ascii="Arial" w:cs="Arial" w:eastAsia="Arial" w:hAnsi="Arial"/>
          <w:sz w:val="24"/>
          <w:szCs w:val="24"/>
        </w:rPr>
        <w:t xml:space="preserve">Regulatory guidance: FDA breakthrough therapy, accelerated approval criteria for rare neurological disorders</w:t>
      </w:r>
    </w:p>
    <w:p>
      <w:pPr>
        <w:pStyle w:val="ListParagraph"/>
        <w:numPr>
          <w:ilvl w:val="0"/>
          <w:numId w:val="2"/>
        </w:numPr>
        <w:spacing w:after="100" w:line="360"/>
      </w:pPr>
      <w:r>
        <w:rPr>
          <w:rFonts w:ascii="Arial" w:cs="Arial" w:eastAsia="Arial" w:hAnsi="Arial"/>
          <w:sz w:val="24"/>
          <w:szCs w:val="24"/>
        </w:rPr>
        <w:t xml:space="preserve">Clinical trial templates from similar rare disorder programs (Friedreich's ataxia, hereditary spastic paraplegia types)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ClinicalTrials.gov, Cortellis: </w:t>
      </w:r>
      <w:r>
        <w:rPr>
          <w:rFonts w:ascii="Arial" w:cs="Arial" w:eastAsia="Arial" w:hAnsi="Arial"/>
          <w:sz w:val="24"/>
          <w:szCs w:val="24"/>
        </w:rPr>
        <w:t xml:space="preserve">similar neurodegeneration trial designs, endpoints, inclusion criteria for KIF1A program</w:t>
      </w:r>
    </w:p>
    <w:p>
      <w:pPr>
        <w:pStyle w:val="ListParagraph"/>
        <w:numPr>
          <w:ilvl w:val="0"/>
          <w:numId w:val="2"/>
        </w:numPr>
        <w:spacing w:after="80" w:line="360"/>
      </w:pPr>
      <w:r>
        <w:rPr>
          <w:rFonts w:ascii="Arial" w:cs="Arial" w:eastAsia="Arial" w:hAnsi="Arial"/>
          <w:b/>
          <w:bCs/>
          <w:sz w:val="24"/>
          <w:szCs w:val="24"/>
        </w:rPr>
        <w:t xml:space="preserve">FDA guidance documents: </w:t>
      </w:r>
      <w:r>
        <w:rPr>
          <w:rFonts w:ascii="Arial" w:cs="Arial" w:eastAsia="Arial" w:hAnsi="Arial"/>
          <w:sz w:val="24"/>
          <w:szCs w:val="24"/>
        </w:rPr>
        <w:t xml:space="preserve">orphan drug designation, breakthrough therapy, accelerated approval pathways for rare neurological disorders</w:t>
      </w:r>
    </w:p>
    <w:p>
      <w:pPr>
        <w:pStyle w:val="ListParagraph"/>
        <w:numPr>
          <w:ilvl w:val="0"/>
          <w:numId w:val="2"/>
        </w:numPr>
        <w:spacing w:after="80" w:line="360"/>
      </w:pPr>
      <w:r>
        <w:rPr>
          <w:rFonts w:ascii="Arial" w:cs="Arial" w:eastAsia="Arial" w:hAnsi="Arial"/>
          <w:b/>
          <w:bCs/>
          <w:sz w:val="24"/>
          <w:szCs w:val="24"/>
        </w:rPr>
        <w:t xml:space="preserve">Natural history study databases: </w:t>
      </w:r>
      <w:r>
        <w:rPr>
          <w:rFonts w:ascii="Arial" w:cs="Arial" w:eastAsia="Arial" w:hAnsi="Arial"/>
          <w:sz w:val="24"/>
          <w:szCs w:val="24"/>
        </w:rPr>
        <w:t xml:space="preserve">KIF1A-SPG30 progression data, phenotypic variability, outcome predictors</w:t>
      </w:r>
    </w:p>
    <w:p>
      <w:pPr>
        <w:pStyle w:val="ListParagraph"/>
        <w:numPr>
          <w:ilvl w:val="0"/>
          <w:numId w:val="2"/>
        </w:numPr>
        <w:spacing w:after="80" w:line="360"/>
      </w:pPr>
      <w:r>
        <w:rPr>
          <w:rFonts w:ascii="Arial" w:cs="Arial" w:eastAsia="Arial" w:hAnsi="Arial"/>
          <w:b/>
          <w:bCs/>
          <w:sz w:val="24"/>
          <w:szCs w:val="24"/>
        </w:rPr>
        <w:t xml:space="preserve">Biomarker qualification pathways: </w:t>
      </w:r>
      <w:r>
        <w:rPr>
          <w:rFonts w:ascii="Arial" w:cs="Arial" w:eastAsia="Arial" w:hAnsi="Arial"/>
          <w:sz w:val="24"/>
          <w:szCs w:val="24"/>
        </w:rPr>
        <w:t xml:space="preserve">analytical validation, clinical utility, qualification dossiers for surrogate endpoints</w:t>
      </w:r>
    </w:p>
    <w:p>
      <w:pPr>
        <w:pStyle w:val="ListParagraph"/>
        <w:numPr>
          <w:ilvl w:val="0"/>
          <w:numId w:val="2"/>
        </w:numPr>
        <w:spacing w:after="100" w:line="360"/>
      </w:pPr>
      <w:r>
        <w:rPr>
          <w:rFonts w:ascii="Arial" w:cs="Arial" w:eastAsia="Arial" w:hAnsi="Arial"/>
          <w:b/>
          <w:bCs/>
          <w:sz w:val="24"/>
          <w:szCs w:val="24"/>
        </w:rPr>
        <w:t xml:space="preserve">Machine learning patient stratification: </w:t>
      </w:r>
      <w:r>
        <w:rPr>
          <w:rFonts w:ascii="Arial" w:cs="Arial" w:eastAsia="Arial" w:hAnsi="Arial"/>
          <w:sz w:val="24"/>
          <w:szCs w:val="24"/>
        </w:rPr>
        <w:t xml:space="preserve">genotype/phenotype clustering for enriched trial enrollment, responder prediction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Design Phase IIb trial: patient entry criteria, suppressor-targeting agent dosing, primary/secondary endpoints, trial duration</w:t>
      </w:r>
    </w:p>
    <w:p>
      <w:pPr>
        <w:pStyle w:val="ListParagraph"/>
        <w:numPr>
          <w:ilvl w:val="0"/>
          <w:numId w:val="2"/>
        </w:numPr>
        <w:spacing w:after="80" w:line="360"/>
      </w:pPr>
      <w:r>
        <w:rPr>
          <w:rFonts w:ascii="Arial" w:cs="Arial" w:eastAsia="Arial" w:hAnsi="Arial"/>
          <w:sz w:val="24"/>
          <w:szCs w:val="24"/>
        </w:rPr>
        <w:t xml:space="preserve">Identify biomarkers predictive of treatment response: suppressor activation markers, axonal health indicators, functional recovery correlates</w:t>
      </w:r>
    </w:p>
    <w:p>
      <w:pPr>
        <w:pStyle w:val="ListParagraph"/>
        <w:numPr>
          <w:ilvl w:val="0"/>
          <w:numId w:val="2"/>
        </w:numPr>
        <w:spacing w:after="80" w:line="360"/>
      </w:pPr>
      <w:r>
        <w:rPr>
          <w:rFonts w:ascii="Arial" w:cs="Arial" w:eastAsia="Arial" w:hAnsi="Arial"/>
          <w:sz w:val="24"/>
          <w:szCs w:val="24"/>
        </w:rPr>
        <w:t xml:space="preserve">Develop patient stratification: KIF1A variant type, baseline progression rate, age cohorts for enriched enrollment</w:t>
      </w:r>
    </w:p>
    <w:p>
      <w:pPr>
        <w:pStyle w:val="ListParagraph"/>
        <w:numPr>
          <w:ilvl w:val="0"/>
          <w:numId w:val="2"/>
        </w:numPr>
        <w:spacing w:after="80" w:line="360"/>
      </w:pPr>
      <w:r>
        <w:rPr>
          <w:rFonts w:ascii="Arial" w:cs="Arial" w:eastAsia="Arial" w:hAnsi="Arial"/>
          <w:sz w:val="24"/>
          <w:szCs w:val="24"/>
        </w:rPr>
        <w:t xml:space="preserve">Propose surrogate endpoints: slower symptom progression, improved axonal transport biomarkers, imaging correlates acceptable to FDA</w:t>
      </w:r>
    </w:p>
    <w:p>
      <w:pPr>
        <w:pStyle w:val="ListParagraph"/>
        <w:numPr>
          <w:ilvl w:val="0"/>
          <w:numId w:val="2"/>
        </w:numPr>
        <w:spacing w:after="100" w:line="360"/>
      </w:pPr>
      <w:r>
        <w:rPr>
          <w:rFonts w:ascii="Arial" w:cs="Arial" w:eastAsia="Arial" w:hAnsi="Arial"/>
          <w:sz w:val="24"/>
          <w:szCs w:val="24"/>
        </w:rPr>
        <w:t xml:space="preserve">Plan regulatory pathway: breakthrough/accelerated approval rationale, post-approval commitment strategy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Clinical trial protocol outline: phase, population, inclusion/exclusion criteria, suppressor therapy dosing, duration</w:t>
      </w:r>
    </w:p>
    <w:p>
      <w:pPr>
        <w:pStyle w:val="ListParagraph"/>
        <w:numPr>
          <w:ilvl w:val="0"/>
          <w:numId w:val="2"/>
        </w:numPr>
        <w:spacing w:after="80" w:line="360"/>
      </w:pPr>
      <w:r>
        <w:rPr>
          <w:rFonts w:ascii="Arial" w:cs="Arial" w:eastAsia="Arial" w:hAnsi="Arial"/>
          <w:sz w:val="24"/>
          <w:szCs w:val="24"/>
        </w:rPr>
        <w:t xml:space="preserve">Endpoint specifications: primary (efficacy), secondary (functional outcomes), exploratory (biomarkers), safety endpoints</w:t>
      </w:r>
    </w:p>
    <w:p>
      <w:pPr>
        <w:pStyle w:val="ListParagraph"/>
        <w:numPr>
          <w:ilvl w:val="0"/>
          <w:numId w:val="2"/>
        </w:numPr>
        <w:spacing w:after="80" w:line="360"/>
      </w:pPr>
      <w:r>
        <w:rPr>
          <w:rFonts w:ascii="Arial" w:cs="Arial" w:eastAsia="Arial" w:hAnsi="Arial"/>
          <w:sz w:val="24"/>
          <w:szCs w:val="24"/>
        </w:rPr>
        <w:t xml:space="preserve">Biomarker qualification dossier: assay validation, clinical relevance, correlation to clinical outcomes, regulatory acceptance criteria</w:t>
      </w:r>
    </w:p>
    <w:p>
      <w:pPr>
        <w:pStyle w:val="ListParagraph"/>
        <w:numPr>
          <w:ilvl w:val="0"/>
          <w:numId w:val="2"/>
        </w:numPr>
        <w:spacing w:after="80" w:line="360"/>
      </w:pPr>
      <w:r>
        <w:rPr>
          <w:rFonts w:ascii="Arial" w:cs="Arial" w:eastAsia="Arial" w:hAnsi="Arial"/>
          <w:sz w:val="24"/>
          <w:szCs w:val="24"/>
        </w:rPr>
        <w:t xml:space="preserve">Patient stratification strategy: genotype-based cohorts, severity tiers, age-adjusted enrollment algorithms</w:t>
      </w:r>
    </w:p>
    <w:p>
      <w:pPr>
        <w:pStyle w:val="ListParagraph"/>
        <w:numPr>
          <w:ilvl w:val="0"/>
          <w:numId w:val="2"/>
        </w:numPr>
        <w:spacing w:after="80" w:line="360"/>
      </w:pPr>
      <w:r>
        <w:rPr>
          <w:rFonts w:ascii="Arial" w:cs="Arial" w:eastAsia="Arial" w:hAnsi="Arial"/>
          <w:sz w:val="24"/>
          <w:szCs w:val="24"/>
        </w:rPr>
        <w:t xml:space="preserve">Regulatory submission roadmap: breakthrough designation rationale, accelerated approval pathway justification, post-market surveillance plan</w:t>
      </w:r>
    </w:p>
    <w:p>
      <w:pPr>
        <w:pStyle w:val="ListParagraph"/>
        <w:numPr>
          <w:ilvl w:val="0"/>
          <w:numId w:val="2"/>
        </w:numPr>
        <w:spacing w:after="200" w:line="360"/>
      </w:pPr>
      <w:r>
        <w:rPr>
          <w:rFonts w:ascii="Arial" w:cs="Arial" w:eastAsia="Arial" w:hAnsi="Arial"/>
          <w:sz w:val="24"/>
          <w:szCs w:val="24"/>
        </w:rPr>
        <w:t xml:space="preserve">Long-term follow-up strategy: real-world evidence collection, long-term efficacy/safety assessment, biomarker-driven outcome tracking</w:t>
      </w:r>
    </w:p>
    <w:p>
      <w:pPr>
        <w:spacing w:after="240" w:line="360"/>
      </w:pPr>
      <w:r>
        <w:rPr>
          <w:rFonts w:ascii="Arial" w:cs="Arial" w:eastAsia="Arial" w:hAnsi="Arial"/>
          <w:b/>
          <w:bCs/>
          <w:sz w:val="24"/>
          <w:szCs w:val="24"/>
        </w:rPr>
        <w:t xml:space="preserve">Format: </w:t>
      </w:r>
      <w:r>
        <w:rPr>
          <w:rFonts w:ascii="Arial" w:cs="Arial" w:eastAsia="Arial" w:hAnsi="Arial"/>
          <w:sz w:val="24"/>
          <w:szCs w:val="24"/>
        </w:rPr>
        <w:t xml:space="preserve">Clinical trial protocol templates, endpoint specification tables, biomarker qualification dossiers, patient stratification algorithms, regulatory roadmaps.</w:t>
      </w:r>
    </w:p>
    <w:p>
      <w:pPr>
        <w:pStyle w:val="Heading2"/>
        <w:spacing w:after="200" w:line="360"/>
      </w:pPr>
      <w:r>
        <w:rPr>
          <w:rFonts w:ascii="Arial" w:cs="Arial" w:eastAsia="Arial" w:hAnsi="Arial"/>
          <w:b/>
          <w:bCs/>
          <w:sz w:val="28"/>
          <w:szCs w:val="28"/>
        </w:rPr>
        <w:t xml:space="preserve">Tools &amp; Databases Summary</w:t>
      </w:r>
    </w:p>
    <w:p>
      <w:pPr>
        <w:pStyle w:val="ListParagraph"/>
        <w:numPr>
          <w:ilvl w:val="0"/>
          <w:numId w:val="2"/>
        </w:numPr>
        <w:spacing w:after="80" w:line="360"/>
      </w:pPr>
      <w:r>
        <w:rPr>
          <w:rFonts w:ascii="Arial" w:cs="Arial" w:eastAsia="Arial" w:hAnsi="Arial"/>
          <w:sz w:val="24"/>
          <w:szCs w:val="24"/>
        </w:rPr>
        <w:t xml:space="preserve">Quiver Sapphire CRISPR Atlas: 18,000 gene perturbations, 500+ EP features per neuron, axonal transport phenotyping</w:t>
      </w:r>
    </w:p>
    <w:p>
      <w:pPr>
        <w:pStyle w:val="ListParagraph"/>
        <w:numPr>
          <w:ilvl w:val="0"/>
          <w:numId w:val="2"/>
        </w:numPr>
        <w:spacing w:after="80" w:line="360"/>
      </w:pPr>
      <w:r>
        <w:rPr>
          <w:rFonts w:ascii="Arial" w:cs="Arial" w:eastAsia="Arial" w:hAnsi="Arial"/>
          <w:sz w:val="24"/>
          <w:szCs w:val="24"/>
        </w:rPr>
        <w:t xml:space="preserve">ClinVar &amp; DECIPHER: KIF1A variant pathogenicity, SPG30 genetic databases, phenotype associations</w:t>
      </w:r>
    </w:p>
    <w:p>
      <w:pPr>
        <w:pStyle w:val="ListParagraph"/>
        <w:numPr>
          <w:ilvl w:val="0"/>
          <w:numId w:val="2"/>
        </w:numPr>
        <w:spacing w:after="80" w:line="360"/>
      </w:pPr>
      <w:r>
        <w:rPr>
          <w:rFonts w:ascii="Arial" w:cs="Arial" w:eastAsia="Arial" w:hAnsi="Arial"/>
          <w:sz w:val="24"/>
          <w:szCs w:val="24"/>
        </w:rPr>
        <w:t xml:space="preserve">PDB &amp; AlphaFold: KIF1A motor domain structure, variant mapping, binding pocket identification</w:t>
      </w:r>
    </w:p>
    <w:p>
      <w:pPr>
        <w:pStyle w:val="ListParagraph"/>
        <w:numPr>
          <w:ilvl w:val="0"/>
          <w:numId w:val="2"/>
        </w:numPr>
        <w:spacing w:after="80" w:line="360"/>
      </w:pPr>
      <w:r>
        <w:rPr>
          <w:rFonts w:ascii="Arial" w:cs="Arial" w:eastAsia="Arial" w:hAnsi="Arial"/>
          <w:sz w:val="24"/>
          <w:szCs w:val="24"/>
        </w:rPr>
        <w:t xml:space="preserve">InterPro &amp; Pfam: Motor domain annotations, structural feature predictions, variant consequence mapping</w:t>
      </w:r>
    </w:p>
    <w:p>
      <w:pPr>
        <w:pStyle w:val="ListParagraph"/>
        <w:numPr>
          <w:ilvl w:val="0"/>
          <w:numId w:val="2"/>
        </w:numPr>
        <w:spacing w:after="80" w:line="360"/>
      </w:pPr>
      <w:r>
        <w:rPr>
          <w:rFonts w:ascii="Arial" w:cs="Arial" w:eastAsia="Arial" w:hAnsi="Arial"/>
          <w:sz w:val="24"/>
          <w:szCs w:val="24"/>
        </w:rPr>
        <w:t xml:space="preserve">STRING &amp; BioGRID: Suppressor protein interaction networks, KIF1A-suppressor links, functional modules</w:t>
      </w:r>
    </w:p>
    <w:p>
      <w:pPr>
        <w:pStyle w:val="ListParagraph"/>
        <w:numPr>
          <w:ilvl w:val="0"/>
          <w:numId w:val="2"/>
        </w:numPr>
        <w:spacing w:after="80" w:line="360"/>
      </w:pPr>
      <w:r>
        <w:rPr>
          <w:rFonts w:ascii="Arial" w:cs="Arial" w:eastAsia="Arial" w:hAnsi="Arial"/>
          <w:sz w:val="24"/>
          <w:szCs w:val="24"/>
        </w:rPr>
        <w:t xml:space="preserve">DrugBank &amp; ChEMBL: Existing compounds targeting suppressors, pharmacology data, clinical trial information</w:t>
      </w:r>
    </w:p>
    <w:p>
      <w:pPr>
        <w:pStyle w:val="ListParagraph"/>
        <w:numPr>
          <w:ilvl w:val="0"/>
          <w:numId w:val="2"/>
        </w:numPr>
        <w:spacing w:after="80" w:line="360"/>
      </w:pPr>
      <w:r>
        <w:rPr>
          <w:rFonts w:ascii="Arial" w:cs="Arial" w:eastAsia="Arial" w:hAnsi="Arial"/>
          <w:sz w:val="24"/>
          <w:szCs w:val="24"/>
        </w:rPr>
        <w:t xml:space="preserve">SwissADME &amp; pkCSM: ADMET predictions, BBB penetration, metabolic stability for suppressor inhibitors</w:t>
      </w:r>
    </w:p>
    <w:p>
      <w:pPr>
        <w:pStyle w:val="ListParagraph"/>
        <w:numPr>
          <w:ilvl w:val="0"/>
          <w:numId w:val="2"/>
        </w:numPr>
        <w:spacing w:after="80" w:line="360"/>
      </w:pPr>
      <w:r>
        <w:rPr>
          <w:rFonts w:ascii="Arial" w:cs="Arial" w:eastAsia="Arial" w:hAnsi="Arial"/>
          <w:sz w:val="24"/>
          <w:szCs w:val="24"/>
        </w:rPr>
        <w:t xml:space="preserve">KinoBase &amp; DiscoverX: Kinase selectivity profiling, off-target interaction matrices for suppressor kinase inhibitors</w:t>
      </w:r>
    </w:p>
    <w:p>
      <w:pPr>
        <w:pStyle w:val="ListParagraph"/>
        <w:numPr>
          <w:ilvl w:val="0"/>
          <w:numId w:val="2"/>
        </w:numPr>
        <w:spacing w:after="80" w:line="360"/>
      </w:pPr>
      <w:r>
        <w:rPr>
          <w:rFonts w:ascii="Arial" w:cs="Arial" w:eastAsia="Arial" w:hAnsi="Arial"/>
          <w:sz w:val="24"/>
          <w:szCs w:val="24"/>
        </w:rPr>
        <w:t xml:space="preserve">GEO &amp; ArrayExpress: Suppressor gene expression patterns, tissue specificity, developmental trajectories</w:t>
      </w:r>
    </w:p>
    <w:p>
      <w:pPr>
        <w:pStyle w:val="ListParagraph"/>
        <w:numPr>
          <w:ilvl w:val="0"/>
          <w:numId w:val="2"/>
        </w:numPr>
        <w:spacing w:after="80" w:line="360"/>
      </w:pPr>
      <w:r>
        <w:rPr>
          <w:rFonts w:ascii="Arial" w:cs="Arial" w:eastAsia="Arial" w:hAnsi="Arial"/>
          <w:sz w:val="24"/>
          <w:szCs w:val="24"/>
        </w:rPr>
        <w:t xml:space="preserve">ClinicalTrials.gov &amp; Cortellis: Trial design templates, endpoints from rare disorder programs, regulatory precedent</w:t>
      </w:r>
    </w:p>
    <w:p>
      <w:pPr>
        <w:pStyle w:val="ListParagraph"/>
        <w:numPr>
          <w:ilvl w:val="0"/>
          <w:numId w:val="2"/>
        </w:numPr>
        <w:spacing w:after="80" w:line="360"/>
      </w:pPr>
      <w:r>
        <w:rPr>
          <w:rFonts w:ascii="Arial" w:cs="Arial" w:eastAsia="Arial" w:hAnsi="Arial"/>
          <w:sz w:val="24"/>
          <w:szCs w:val="24"/>
        </w:rPr>
        <w:t xml:space="preserve">FDA Guidance: Orphan drug designation, breakthrough therapy, accelerated approval, surrogate endpoint pathways</w:t>
      </w:r>
    </w:p>
    <w:p>
      <w:pPr>
        <w:pStyle w:val="ListParagraph"/>
        <w:numPr>
          <w:ilvl w:val="0"/>
          <w:numId w:val="2"/>
        </w:numPr>
        <w:spacing w:after="80" w:line="360"/>
      </w:pPr>
      <w:r>
        <w:rPr>
          <w:rFonts w:ascii="Arial" w:cs="Arial" w:eastAsia="Arial" w:hAnsi="Arial"/>
          <w:sz w:val="24"/>
          <w:szCs w:val="24"/>
        </w:rPr>
        <w:t xml:space="preserve">Biomarker Qualification Resources: FDA-recognized assay platforms, clinical utility validation frameworks, regulatory acceptance criteria</w:t>
      </w:r>
    </w:p>
    <w:p>
      <w:pPr>
        <w:pStyle w:val="ListParagraph"/>
        <w:numPr>
          <w:ilvl w:val="0"/>
          <w:numId w:val="2"/>
        </w:numPr>
        <w:spacing w:after="80" w:line="360"/>
      </w:pPr>
      <w:r>
        <w:rPr>
          <w:rFonts w:ascii="Arial" w:cs="Arial" w:eastAsia="Arial" w:hAnsi="Arial"/>
          <w:sz w:val="24"/>
          <w:szCs w:val="24"/>
        </w:rPr>
        <w:t xml:space="preserve">TDR/Target Druggability Ranking: Computational druggability scoring, target comparison matrices, clinical tractability assessment</w:t>
      </w:r>
    </w:p>
    <w:p>
      <w:pPr>
        <w:pStyle w:val="ListParagraph"/>
        <w:numPr>
          <w:ilvl w:val="0"/>
          <w:numId w:val="2"/>
        </w:numPr>
        <w:spacing w:after="80" w:line="360"/>
      </w:pPr>
      <w:r>
        <w:rPr>
          <w:rFonts w:ascii="Arial" w:cs="Arial" w:eastAsia="Arial" w:hAnsi="Arial"/>
          <w:sz w:val="24"/>
          <w:szCs w:val="24"/>
        </w:rPr>
        <w:t xml:space="preserve">Gene therapy vector databases: AAV tropism, integration safety, manufacturing capacity for suppressor-targeting gene therapy</w:t>
      </w:r>
    </w:p>
    <w:p>
      <w:pPr>
        <w:pStyle w:val="ListParagraph"/>
        <w:numPr>
          <w:ilvl w:val="0"/>
          <w:numId w:val="2"/>
        </w:numPr>
        <w:spacing w:after="100" w:line="360"/>
      </w:pPr>
      <w:r>
        <w:rPr>
          <w:rFonts w:ascii="Arial" w:cs="Arial" w:eastAsia="Arial" w:hAnsi="Arial"/>
          <w:sz w:val="24"/>
          <w:szCs w:val="24"/>
        </w:rPr>
        <w:t xml:space="preserve">Natural history study registries: KIF1A-SPG30 progression data, outcome correlates, patient phenotypic diversity for stratification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2026-03-02T16:48:05.422Z</dcterms:created>
  <dcterms:modified xsi:type="dcterms:W3CDTF">2026-03-02T16:48:05.422Z</dcterms:modified>
</cp:coreProperties>
</file>

<file path=docProps/custom.xml><?xml version="1.0" encoding="utf-8"?>
<Properties xmlns="http://schemas.openxmlformats.org/officeDocument/2006/custom-properties" xmlns:vt="http://schemas.openxmlformats.org/officeDocument/2006/docPropsVTypes"/>
</file>