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line="360"/>
      </w:pPr>
      <w:r>
        <w:rPr>
          <w:rFonts w:ascii="Arial" w:cs="Arial" w:eastAsia="Arial" w:hAnsi="Arial"/>
          <w:b/>
          <w:bCs/>
          <w:sz w:val="32"/>
          <w:szCs w:val="32"/>
        </w:rPr>
        <w:t xml:space="preserve">Sapphire Pipeline Workflow</w:t>
      </w:r>
    </w:p>
    <w:p>
      <w:pPr>
        <w:pStyle w:val="Heading2"/>
        <w:spacing w:after="200" w:line="360"/>
      </w:pPr>
      <w:r>
        <w:rPr>
          <w:rFonts w:ascii="Arial" w:cs="Arial" w:eastAsia="Arial" w:hAnsi="Arial"/>
          <w:b/>
          <w:bCs/>
          <w:sz w:val="28"/>
          <w:szCs w:val="28"/>
        </w:rPr>
        <w:t xml:space="preserve">Prompt: "Identify allele-specific ASOs for SCN8A gain-of-function variants."</w:t>
      </w:r>
    </w:p>
    <w:p>
      <w:pPr>
        <w:spacing w:after="200" w:line="360"/>
      </w:pPr>
      <w:r>
        <w:rPr>
          <w:rFonts w:ascii="Arial" w:cs="Arial" w:eastAsia="Arial" w:hAnsi="Arial"/>
          <w:sz w:val="24"/>
          <w:szCs w:val="24"/>
        </w:rPr>
        <w:t xml:space="preserve">This document defines the complete Sapphire pipeline for developing allele-specific antisense oligonucleotide (ASO) therapeutics targeting gain-of-function SCN8A variants, integrating Quiver Bioscience's electrophysiology CRISPR atlas (~18,000 gene perturbations), structural bioinformatics of SCN8A channelopathy mutations, sodium channel dysfunction modeling, ASO sequence design optimization, and clinical translation strategy. The workflow identifies mutation-specific targeting opportunities leveraging allele-specificity to preferentially silence mutant SCN8A while preserving WT channel function.</w:t>
      </w:r>
    </w:p>
    <w:p>
      <w:pPr>
        <w:pStyle w:val="Heading2"/>
        <w:spacing w:after="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SCN8A encodes the Nav1.6 voltage-gated sodium channel alpha subunit, critical for action potential propagation, neuronal excitability, and saltatory conduction. Gain-of-function (GOF) mutations cause developmental and epileptic encephalopathy 13 (DEE13) with severe, therapy-resistant seizures, spasticity, and progressive encephalopathy. GOF variants increase channel open probability, reduce inactivation kinetics, or left-shift voltage dependence, causing hyperexcitability and neuronal death.</w:t>
      </w:r>
    </w:p>
    <w:p>
      <w:pPr>
        <w:spacing w:after="240" w:line="360"/>
      </w:pPr>
      <w:r>
        <w:rPr>
          <w:rFonts w:ascii="Arial" w:cs="Arial" w:eastAsia="Arial" w:hAnsi="Arial"/>
          <w:sz w:val="24"/>
          <w:szCs w:val="24"/>
        </w:rPr>
        <w:t xml:space="preserve">This pipeline develops allele-specific ASOs that selectively target mutant SCN8A transcripts while sparing WT channel mRNA, reducing pathogenic sodium current without disrupting essential channel function. By integrating variant characterization, ASO design optimization, electrophysiology validation from Quiver atlas, and clinical trial design, the workflow generates mutation-specific therapeutic candidates addressing a critical unmet need in DEE13 and channelopathy-driven seizure disorders.</w:t>
      </w:r>
    </w:p>
    <w:p>
      <w:pPr>
        <w:pStyle w:val="Heading2"/>
        <w:spacing w:after="200" w:line="360"/>
      </w:pPr>
      <w:r>
        <w:rPr>
          <w:rFonts w:ascii="Arial" w:cs="Arial" w:eastAsia="Arial" w:hAnsi="Arial"/>
          <w:b/>
          <w:bCs/>
          <w:sz w:val="28"/>
          <w:szCs w:val="28"/>
        </w:rPr>
        <w:t xml:space="preserve">Stage 1: SCN8A Gain-of-Function Variant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SCN8A GOF variants to sodium channel domains; classify functional consequences (increased channel availability, impaired inactivation, left-shifted voltage dependence); predict dominant-negative effects; establish patient-specific biophysical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Patient SCN8A GOF variants (cDNA coordinates, DEE13 databases, ClinVar, gnomAD)</w:t>
      </w:r>
    </w:p>
    <w:p>
      <w:pPr>
        <w:pStyle w:val="ListParagraph"/>
        <w:numPr>
          <w:ilvl w:val="0"/>
          <w:numId w:val="2"/>
        </w:numPr>
        <w:spacing w:after="80" w:line="360"/>
      </w:pPr>
      <w:r>
        <w:rPr>
          <w:rFonts w:ascii="Arial" w:cs="Arial" w:eastAsia="Arial" w:hAnsi="Arial"/>
          <w:sz w:val="24"/>
          <w:szCs w:val="24"/>
        </w:rPr>
        <w:t xml:space="preserve">SCN8A protein structure (transmembrane domains I-IV with voltage sensors, inactivation gate, pore region) from cryo-EM data</w:t>
      </w:r>
    </w:p>
    <w:p>
      <w:pPr>
        <w:pStyle w:val="ListParagraph"/>
        <w:numPr>
          <w:ilvl w:val="0"/>
          <w:numId w:val="2"/>
        </w:numPr>
        <w:spacing w:after="80" w:line="360"/>
      </w:pPr>
      <w:r>
        <w:rPr>
          <w:rFonts w:ascii="Arial" w:cs="Arial" w:eastAsia="Arial" w:hAnsi="Arial"/>
          <w:sz w:val="24"/>
          <w:szCs w:val="24"/>
        </w:rPr>
        <w:t xml:space="preserve">Channel biophysics: activation/inactivation kinetics, voltage-dependence curves, channel availability, recovery from inactivation for WT vs. GOF variants</w:t>
      </w:r>
    </w:p>
    <w:p>
      <w:pPr>
        <w:pStyle w:val="ListParagraph"/>
        <w:numPr>
          <w:ilvl w:val="0"/>
          <w:numId w:val="2"/>
        </w:numPr>
        <w:spacing w:after="80" w:line="360"/>
      </w:pPr>
      <w:r>
        <w:rPr>
          <w:rFonts w:ascii="Arial" w:cs="Arial" w:eastAsia="Arial" w:hAnsi="Arial"/>
          <w:sz w:val="24"/>
          <w:szCs w:val="24"/>
        </w:rPr>
        <w:t xml:space="preserve">Clinical phenotype data: seizure semiology, age of onset, seizure frequency, developmental milestones, treatment responsiveness</w:t>
      </w:r>
    </w:p>
    <w:p>
      <w:pPr>
        <w:pStyle w:val="ListParagraph"/>
        <w:numPr>
          <w:ilvl w:val="0"/>
          <w:numId w:val="2"/>
        </w:numPr>
        <w:spacing w:after="100" w:line="360"/>
      </w:pPr>
      <w:r>
        <w:rPr>
          <w:rFonts w:ascii="Arial" w:cs="Arial" w:eastAsia="Arial" w:hAnsi="Arial"/>
          <w:sz w:val="24"/>
          <w:szCs w:val="24"/>
        </w:rPr>
        <w:t xml:space="preserve">mRNA sequence context: exon-intron boundaries, splicing signals, SNP/variant-specific sequence motifs enabling allele-specific targeting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ClinVar &amp; DECIPHER: </w:t>
      </w:r>
      <w:r>
        <w:rPr>
          <w:rFonts w:ascii="Arial" w:cs="Arial" w:eastAsia="Arial" w:hAnsi="Arial"/>
          <w:sz w:val="24"/>
          <w:szCs w:val="24"/>
        </w:rPr>
        <w:t xml:space="preserve">SCN8A GOF variant pathogenicity scores, functional impact classifications, allelic series</w:t>
      </w:r>
    </w:p>
    <w:p>
      <w:pPr>
        <w:pStyle w:val="ListParagraph"/>
        <w:numPr>
          <w:ilvl w:val="0"/>
          <w:numId w:val="2"/>
        </w:numPr>
        <w:spacing w:after="80" w:line="360"/>
      </w:pPr>
      <w:r>
        <w:rPr>
          <w:rFonts w:ascii="Arial" w:cs="Arial" w:eastAsia="Arial" w:hAnsi="Arial"/>
          <w:b/>
          <w:bCs/>
          <w:sz w:val="24"/>
          <w:szCs w:val="24"/>
        </w:rPr>
        <w:t xml:space="preserve">PDB &amp; RCSB: </w:t>
      </w:r>
      <w:r>
        <w:rPr>
          <w:rFonts w:ascii="Arial" w:cs="Arial" w:eastAsia="Arial" w:hAnsi="Arial"/>
          <w:sz w:val="24"/>
          <w:szCs w:val="24"/>
        </w:rPr>
        <w:t xml:space="preserve">cryo-EM sodium channel structures (bacterial Nav, mammalian homologs), variant mapping to transmembrane domains</w:t>
      </w:r>
    </w:p>
    <w:p>
      <w:pPr>
        <w:pStyle w:val="ListParagraph"/>
        <w:numPr>
          <w:ilvl w:val="0"/>
          <w:numId w:val="2"/>
        </w:numPr>
        <w:spacing w:after="80" w:line="360"/>
      </w:pPr>
      <w:r>
        <w:rPr>
          <w:rFonts w:ascii="Arial" w:cs="Arial" w:eastAsia="Arial" w:hAnsi="Arial"/>
          <w:b/>
          <w:bCs/>
          <w:sz w:val="24"/>
          <w:szCs w:val="24"/>
        </w:rPr>
        <w:t xml:space="preserve">InterPro &amp; UniProt: </w:t>
      </w:r>
      <w:r>
        <w:rPr>
          <w:rFonts w:ascii="Arial" w:cs="Arial" w:eastAsia="Arial" w:hAnsi="Arial"/>
          <w:sz w:val="24"/>
          <w:szCs w:val="24"/>
        </w:rPr>
        <w:t xml:space="preserve">SCN8A domain annotations, conserved regions, functional motifs (voltage sensors, inactivation gate)</w:t>
      </w:r>
    </w:p>
    <w:p>
      <w:pPr>
        <w:pStyle w:val="ListParagraph"/>
        <w:numPr>
          <w:ilvl w:val="0"/>
          <w:numId w:val="2"/>
        </w:numPr>
        <w:spacing w:after="80" w:line="360"/>
      </w:pPr>
      <w:r>
        <w:rPr>
          <w:rFonts w:ascii="Arial" w:cs="Arial" w:eastAsia="Arial" w:hAnsi="Arial"/>
          <w:b/>
          <w:bCs/>
          <w:sz w:val="24"/>
          <w:szCs w:val="24"/>
        </w:rPr>
        <w:t xml:space="preserve">FoldX &amp; Rosetta: </w:t>
      </w:r>
      <w:r>
        <w:rPr>
          <w:rFonts w:ascii="Arial" w:cs="Arial" w:eastAsia="Arial" w:hAnsi="Arial"/>
          <w:sz w:val="24"/>
          <w:szCs w:val="24"/>
        </w:rPr>
        <w:t xml:space="preserve">computational predictions of channel stability, voltage sensor function, gating kinetics for GOF variants</w:t>
      </w:r>
    </w:p>
    <w:p>
      <w:pPr>
        <w:pStyle w:val="ListParagraph"/>
        <w:numPr>
          <w:ilvl w:val="0"/>
          <w:numId w:val="2"/>
        </w:numPr>
        <w:spacing w:after="100" w:line="360"/>
      </w:pPr>
      <w:r>
        <w:rPr>
          <w:rFonts w:ascii="Arial" w:cs="Arial" w:eastAsia="Arial" w:hAnsi="Arial"/>
          <w:b/>
          <w:bCs/>
          <w:sz w:val="24"/>
          <w:szCs w:val="24"/>
        </w:rPr>
        <w:t xml:space="preserve">Molecular dynamics simulations: </w:t>
      </w:r>
      <w:r>
        <w:rPr>
          <w:rFonts w:ascii="Arial" w:cs="Arial" w:eastAsia="Arial" w:hAnsi="Arial"/>
          <w:sz w:val="24"/>
          <w:szCs w:val="24"/>
        </w:rPr>
        <w:t xml:space="preserve">model variant SCN8A gating transitions, sodium permeation, inactivation gate behavior</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Classify SCN8A GOF variants: voltage sensor mutations vs. inactivation gate defects vs. pore mutations; predict functional consequence</w:t>
      </w:r>
    </w:p>
    <w:p>
      <w:pPr>
        <w:pStyle w:val="ListParagraph"/>
        <w:numPr>
          <w:ilvl w:val="0"/>
          <w:numId w:val="2"/>
        </w:numPr>
        <w:spacing w:after="80" w:line="360"/>
      </w:pPr>
      <w:r>
        <w:rPr>
          <w:rFonts w:ascii="Arial" w:cs="Arial" w:eastAsia="Arial" w:hAnsi="Arial"/>
          <w:sz w:val="24"/>
          <w:szCs w:val="24"/>
        </w:rPr>
        <w:t xml:space="preserve">Predict biophysical phenotype: left-shift in activation, right-shift in inactivation, increased channel availability, faster recovery rate</w:t>
      </w:r>
    </w:p>
    <w:p>
      <w:pPr>
        <w:pStyle w:val="ListParagraph"/>
        <w:numPr>
          <w:ilvl w:val="0"/>
          <w:numId w:val="2"/>
        </w:numPr>
        <w:spacing w:after="80" w:line="360"/>
      </w:pPr>
      <w:r>
        <w:rPr>
          <w:rFonts w:ascii="Arial" w:cs="Arial" w:eastAsia="Arial" w:hAnsi="Arial"/>
          <w:sz w:val="24"/>
          <w:szCs w:val="24"/>
        </w:rPr>
        <w:t xml:space="preserve">Map variants to mRNA sequence: identify unique nucleotide context around mutation enabling allele-specific ASO design</w:t>
      </w:r>
    </w:p>
    <w:p>
      <w:pPr>
        <w:pStyle w:val="ListParagraph"/>
        <w:numPr>
          <w:ilvl w:val="0"/>
          <w:numId w:val="2"/>
        </w:numPr>
        <w:spacing w:after="80" w:line="360"/>
      </w:pPr>
      <w:r>
        <w:rPr>
          <w:rFonts w:ascii="Arial" w:cs="Arial" w:eastAsia="Arial" w:hAnsi="Arial"/>
          <w:sz w:val="24"/>
          <w:szCs w:val="24"/>
        </w:rPr>
        <w:t xml:space="preserve">Correlate variant location to clinical phenotype: pore mutations→early-onset severe seizures vs. voltage sensor→progressive/atypical</w:t>
      </w:r>
    </w:p>
    <w:p>
      <w:pPr>
        <w:pStyle w:val="ListParagraph"/>
        <w:numPr>
          <w:ilvl w:val="0"/>
          <w:numId w:val="2"/>
        </w:numPr>
        <w:spacing w:after="100" w:line="360"/>
      </w:pPr>
      <w:r>
        <w:rPr>
          <w:rFonts w:ascii="Arial" w:cs="Arial" w:eastAsia="Arial" w:hAnsi="Arial"/>
          <w:sz w:val="24"/>
          <w:szCs w:val="24"/>
        </w:rPr>
        <w:t xml:space="preserve">Assess dominant-negative potential: heterozygous channel assembly effects, subunit interaction disruption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Variant classification: SCN8A GOF variant ID, domain location, predicted biophysical consequence, severity score</w:t>
      </w:r>
    </w:p>
    <w:p>
      <w:pPr>
        <w:pStyle w:val="ListParagraph"/>
        <w:numPr>
          <w:ilvl w:val="0"/>
          <w:numId w:val="2"/>
        </w:numPr>
        <w:spacing w:after="80" w:line="360"/>
      </w:pPr>
      <w:r>
        <w:rPr>
          <w:rFonts w:ascii="Arial" w:cs="Arial" w:eastAsia="Arial" w:hAnsi="Arial"/>
          <w:sz w:val="24"/>
          <w:szCs w:val="24"/>
        </w:rPr>
        <w:t xml:space="preserve">Biophysical prediction tables: activation/inactivation kinetics, voltage-dependence shifts, channel availability increases</w:t>
      </w:r>
    </w:p>
    <w:p>
      <w:pPr>
        <w:pStyle w:val="ListParagraph"/>
        <w:numPr>
          <w:ilvl w:val="0"/>
          <w:numId w:val="2"/>
        </w:numPr>
        <w:spacing w:after="80" w:line="360"/>
      </w:pPr>
      <w:r>
        <w:rPr>
          <w:rFonts w:ascii="Arial" w:cs="Arial" w:eastAsia="Arial" w:hAnsi="Arial"/>
          <w:sz w:val="24"/>
          <w:szCs w:val="24"/>
        </w:rPr>
        <w:t xml:space="preserve">3D structural models showing variant positions, mutations' impact on voltage sensors, pore architecture, inactivation gate</w:t>
      </w:r>
    </w:p>
    <w:p>
      <w:pPr>
        <w:pStyle w:val="ListParagraph"/>
        <w:numPr>
          <w:ilvl w:val="0"/>
          <w:numId w:val="2"/>
        </w:numPr>
        <w:spacing w:after="80" w:line="360"/>
      </w:pPr>
      <w:r>
        <w:rPr>
          <w:rFonts w:ascii="Arial" w:cs="Arial" w:eastAsia="Arial" w:hAnsi="Arial"/>
          <w:sz w:val="24"/>
          <w:szCs w:val="24"/>
        </w:rPr>
        <w:t xml:space="preserve">Genotype-phenotype matrix: SCN8A variant class vs. seizure onset age, frequency, treatment responsiveness, developmental outcome</w:t>
      </w:r>
    </w:p>
    <w:p>
      <w:pPr>
        <w:pStyle w:val="ListParagraph"/>
        <w:numPr>
          <w:ilvl w:val="0"/>
          <w:numId w:val="2"/>
        </w:numPr>
        <w:spacing w:after="80" w:line="360"/>
      </w:pPr>
      <w:r>
        <w:rPr>
          <w:rFonts w:ascii="Arial" w:cs="Arial" w:eastAsia="Arial" w:hAnsi="Arial"/>
          <w:sz w:val="24"/>
          <w:szCs w:val="24"/>
        </w:rPr>
        <w:t xml:space="preserve">mRNA context analysis: unique SNP/sequence signatures per variant enabling allele-specific ASO targeting</w:t>
      </w:r>
    </w:p>
    <w:p>
      <w:pPr>
        <w:pStyle w:val="ListParagraph"/>
        <w:numPr>
          <w:ilvl w:val="0"/>
          <w:numId w:val="2"/>
        </w:numPr>
        <w:spacing w:after="200" w:line="360"/>
      </w:pPr>
      <w:r>
        <w:rPr>
          <w:rFonts w:ascii="Arial" w:cs="Arial" w:eastAsia="Arial" w:hAnsi="Arial"/>
          <w:sz w:val="24"/>
          <w:szCs w:val="24"/>
        </w:rPr>
        <w:t xml:space="preserve">Literature summary: SCN8A GOF mechanisms, mouse knockout/knockin models, pharmacological rescue precedents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Variant classification tables, biophysical prediction tables, 3D structure visualizations, domain diagrams, genotype-phenotype matrices, mRNA context diagrams.</w:t>
      </w:r>
    </w:p>
    <w:p>
      <w:pPr>
        <w:pStyle w:val="Heading2"/>
        <w:spacing w:after="200" w:line="360"/>
      </w:pPr>
      <w:r>
        <w:rPr>
          <w:rFonts w:ascii="Arial" w:cs="Arial" w:eastAsia="Arial" w:hAnsi="Arial"/>
          <w:b/>
          <w:bCs/>
          <w:sz w:val="28"/>
          <w:szCs w:val="28"/>
        </w:rPr>
        <w:t xml:space="preserve">Stage 2: Electrophysiology Phenotyping &amp; mRNA Transcript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Profile sodium channel dysfunction from Quiver EP CRISPR atlas in SCN8A-perturbed neurons; identify dysregulated features (hyperexcitability, impaired inactivation); analyze variant-specific mRNA sequences for allele-specific ASO design; predict ASO efficacy.</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Quiver EP CRISPR atlas (18k perturbations) with SCN8A GOF variant-expressing neurons</w:t>
      </w:r>
    </w:p>
    <w:p>
      <w:pPr>
        <w:pStyle w:val="ListParagraph"/>
        <w:numPr>
          <w:ilvl w:val="0"/>
          <w:numId w:val="2"/>
        </w:numPr>
        <w:spacing w:after="80" w:line="360"/>
      </w:pPr>
      <w:r>
        <w:rPr>
          <w:rFonts w:ascii="Arial" w:cs="Arial" w:eastAsia="Arial" w:hAnsi="Arial"/>
          <w:sz w:val="24"/>
          <w:szCs w:val="24"/>
        </w:rPr>
        <w:t xml:space="preserve">500+ EP features: sodium current kinetics, action potential shape, spontaneous firing rate, burst frequency, neuronal excitability metrics</w:t>
      </w:r>
    </w:p>
    <w:p>
      <w:pPr>
        <w:pStyle w:val="ListParagraph"/>
        <w:numPr>
          <w:ilvl w:val="0"/>
          <w:numId w:val="2"/>
        </w:numPr>
        <w:spacing w:after="80" w:line="360"/>
      </w:pPr>
      <w:r>
        <w:rPr>
          <w:rFonts w:ascii="Arial" w:cs="Arial" w:eastAsia="Arial" w:hAnsi="Arial"/>
          <w:sz w:val="24"/>
          <w:szCs w:val="24"/>
        </w:rPr>
        <w:t xml:space="preserve">SCN8A mRNA sequences: WT vs. GOF variant coding sequences, flanking introns, SNP contexts, splicing signals</w:t>
      </w:r>
    </w:p>
    <w:p>
      <w:pPr>
        <w:pStyle w:val="ListParagraph"/>
        <w:numPr>
          <w:ilvl w:val="0"/>
          <w:numId w:val="2"/>
        </w:numPr>
        <w:spacing w:after="80" w:line="360"/>
      </w:pPr>
      <w:r>
        <w:rPr>
          <w:rFonts w:ascii="Arial" w:cs="Arial" w:eastAsia="Arial" w:hAnsi="Arial"/>
          <w:sz w:val="24"/>
          <w:szCs w:val="24"/>
        </w:rPr>
        <w:t xml:space="preserve">ASO design parameters: predicted target accessibility, secondary structure, thermodynamic binding predictions</w:t>
      </w:r>
    </w:p>
    <w:p>
      <w:pPr>
        <w:pStyle w:val="ListParagraph"/>
        <w:numPr>
          <w:ilvl w:val="0"/>
          <w:numId w:val="2"/>
        </w:numPr>
        <w:spacing w:after="100" w:line="360"/>
      </w:pPr>
      <w:r>
        <w:rPr>
          <w:rFonts w:ascii="Arial" w:cs="Arial" w:eastAsia="Arial" w:hAnsi="Arial"/>
          <w:sz w:val="24"/>
          <w:szCs w:val="24"/>
        </w:rPr>
        <w:t xml:space="preserve">Sequence conservation analysis: human SCN8A vs. rodent orthologs, identification of cross-species targeting opportunities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Sapphire CRISPR Atlas: </w:t>
      </w:r>
      <w:r>
        <w:rPr>
          <w:rFonts w:ascii="Arial" w:cs="Arial" w:eastAsia="Arial" w:hAnsi="Arial"/>
          <w:sz w:val="24"/>
          <w:szCs w:val="24"/>
        </w:rPr>
        <w:t xml:space="preserve">query SCN8A GOF phenotypes, sodium current metrics, neuronal hyperexcitability signatures</w:t>
      </w:r>
    </w:p>
    <w:p>
      <w:pPr>
        <w:pStyle w:val="ListParagraph"/>
        <w:numPr>
          <w:ilvl w:val="0"/>
          <w:numId w:val="2"/>
        </w:numPr>
        <w:spacing w:after="80" w:line="360"/>
      </w:pPr>
      <w:r>
        <w:rPr>
          <w:rFonts w:ascii="Arial" w:cs="Arial" w:eastAsia="Arial" w:hAnsi="Arial"/>
          <w:b/>
          <w:bCs/>
          <w:sz w:val="24"/>
          <w:szCs w:val="24"/>
        </w:rPr>
        <w:t xml:space="preserve">NCBI GenBank &amp; RefSeq: </w:t>
      </w:r>
      <w:r>
        <w:rPr>
          <w:rFonts w:ascii="Arial" w:cs="Arial" w:eastAsia="Arial" w:hAnsi="Arial"/>
          <w:sz w:val="24"/>
          <w:szCs w:val="24"/>
        </w:rPr>
        <w:t xml:space="preserve">retrieve SCN8A mRNA sequences, transcript variants, annotation of coding/UTR regions</w:t>
      </w:r>
    </w:p>
    <w:p>
      <w:pPr>
        <w:pStyle w:val="ListParagraph"/>
        <w:numPr>
          <w:ilvl w:val="0"/>
          <w:numId w:val="2"/>
        </w:numPr>
        <w:spacing w:after="80" w:line="360"/>
      </w:pPr>
      <w:r>
        <w:rPr>
          <w:rFonts w:ascii="Arial" w:cs="Arial" w:eastAsia="Arial" w:hAnsi="Arial"/>
          <w:b/>
          <w:bCs/>
          <w:sz w:val="24"/>
          <w:szCs w:val="24"/>
        </w:rPr>
        <w:t xml:space="preserve">mRNA secondary structure prediction (RNAfold, NUPACK): </w:t>
      </w:r>
      <w:r>
        <w:rPr>
          <w:rFonts w:ascii="Arial" w:cs="Arial" w:eastAsia="Arial" w:hAnsi="Arial"/>
          <w:sz w:val="24"/>
          <w:szCs w:val="24"/>
        </w:rPr>
        <w:t xml:space="preserve">predict SCN8A transcript structure, identify accessible ASO binding sites, calculate folding stability</w:t>
      </w:r>
    </w:p>
    <w:p>
      <w:pPr>
        <w:pStyle w:val="ListParagraph"/>
        <w:numPr>
          <w:ilvl w:val="0"/>
          <w:numId w:val="2"/>
        </w:numPr>
        <w:spacing w:after="80" w:line="360"/>
      </w:pPr>
      <w:r>
        <w:rPr>
          <w:rFonts w:ascii="Arial" w:cs="Arial" w:eastAsia="Arial" w:hAnsi="Arial"/>
          <w:b/>
          <w:bCs/>
          <w:sz w:val="24"/>
          <w:szCs w:val="24"/>
        </w:rPr>
        <w:t xml:space="preserve">ASO design tools (ISIS Design Tools, Geneblocks): </w:t>
      </w:r>
      <w:r>
        <w:rPr>
          <w:rFonts w:ascii="Arial" w:cs="Arial" w:eastAsia="Arial" w:hAnsi="Arial"/>
          <w:sz w:val="24"/>
          <w:szCs w:val="24"/>
        </w:rPr>
        <w:t xml:space="preserve">design allele-specific ASO sequences discriminating mutant from WT, predict target binding affinity</w:t>
      </w:r>
    </w:p>
    <w:p>
      <w:pPr>
        <w:pStyle w:val="ListParagraph"/>
        <w:numPr>
          <w:ilvl w:val="0"/>
          <w:numId w:val="2"/>
        </w:numPr>
        <w:spacing w:after="100" w:line="360"/>
      </w:pPr>
      <w:r>
        <w:rPr>
          <w:rFonts w:ascii="Arial" w:cs="Arial" w:eastAsia="Arial" w:hAnsi="Arial"/>
          <w:b/>
          <w:bCs/>
          <w:sz w:val="24"/>
          <w:szCs w:val="24"/>
        </w:rPr>
        <w:t xml:space="preserve">Off-target analysis (BLAST, OligoWalk): </w:t>
      </w:r>
      <w:r>
        <w:rPr>
          <w:rFonts w:ascii="Arial" w:cs="Arial" w:eastAsia="Arial" w:hAnsi="Arial"/>
          <w:sz w:val="24"/>
          <w:szCs w:val="24"/>
        </w:rPr>
        <w:t xml:space="preserve">identify potential off-target binding to other sodium channel genes (SCN1A, SCN2A) or related mRNAs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Quantify SCN8A GOF phenotype: sodium current increase, left-shifted activation, impaired inactivation, hyperexcitability metrics from Quiver</w:t>
      </w:r>
    </w:p>
    <w:p>
      <w:pPr>
        <w:pStyle w:val="ListParagraph"/>
        <w:numPr>
          <w:ilvl w:val="0"/>
          <w:numId w:val="2"/>
        </w:numPr>
        <w:spacing w:after="80" w:line="360"/>
      </w:pPr>
      <w:r>
        <w:rPr>
          <w:rFonts w:ascii="Arial" w:cs="Arial" w:eastAsia="Arial" w:hAnsi="Arial"/>
          <w:sz w:val="24"/>
          <w:szCs w:val="24"/>
        </w:rPr>
        <w:t xml:space="preserve">Identify allele-specific sequence context: SNP positions, unique nucleotide stretches flanking SCN8A mutation</w:t>
      </w:r>
    </w:p>
    <w:p>
      <w:pPr>
        <w:pStyle w:val="ListParagraph"/>
        <w:numPr>
          <w:ilvl w:val="0"/>
          <w:numId w:val="2"/>
        </w:numPr>
        <w:spacing w:after="80" w:line="360"/>
      </w:pPr>
      <w:r>
        <w:rPr>
          <w:rFonts w:ascii="Arial" w:cs="Arial" w:eastAsia="Arial" w:hAnsi="Arial"/>
          <w:sz w:val="24"/>
          <w:szCs w:val="24"/>
        </w:rPr>
        <w:t xml:space="preserve">Design 3-5 allele-specific ASO candidates targeting SCN8A GOF variant; predict specificity for mutant vs. WT</w:t>
      </w:r>
    </w:p>
    <w:p>
      <w:pPr>
        <w:pStyle w:val="ListParagraph"/>
        <w:numPr>
          <w:ilvl w:val="0"/>
          <w:numId w:val="2"/>
        </w:numPr>
        <w:spacing w:after="80" w:line="360"/>
      </w:pPr>
      <w:r>
        <w:rPr>
          <w:rFonts w:ascii="Arial" w:cs="Arial" w:eastAsia="Arial" w:hAnsi="Arial"/>
          <w:sz w:val="24"/>
          <w:szCs w:val="24"/>
        </w:rPr>
        <w:t xml:space="preserve">Calculate ASO binding thermodynamics: Tm, off-rate predictions, target accessibility scores from secondary structure models</w:t>
      </w:r>
    </w:p>
    <w:p>
      <w:pPr>
        <w:pStyle w:val="ListParagraph"/>
        <w:numPr>
          <w:ilvl w:val="0"/>
          <w:numId w:val="2"/>
        </w:numPr>
        <w:spacing w:after="100" w:line="360"/>
      </w:pPr>
      <w:r>
        <w:rPr>
          <w:rFonts w:ascii="Arial" w:cs="Arial" w:eastAsia="Arial" w:hAnsi="Arial"/>
          <w:sz w:val="24"/>
          <w:szCs w:val="24"/>
        </w:rPr>
        <w:t xml:space="preserve">Assess off-target potential: predict cross-reactivity to SCN1A, SCN2A, other ion channels; ranking by specificity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SCN8A GOF phenotype signature: sodium current magnitude, kinetics changes, hyperexcitability metrics, neuronal dysfunction scores</w:t>
      </w:r>
    </w:p>
    <w:p>
      <w:pPr>
        <w:pStyle w:val="ListParagraph"/>
        <w:numPr>
          <w:ilvl w:val="0"/>
          <w:numId w:val="2"/>
        </w:numPr>
        <w:spacing w:after="80" w:line="360"/>
      </w:pPr>
      <w:r>
        <w:rPr>
          <w:rFonts w:ascii="Arial" w:cs="Arial" w:eastAsia="Arial" w:hAnsi="Arial"/>
          <w:sz w:val="24"/>
          <w:szCs w:val="24"/>
        </w:rPr>
        <w:t xml:space="preserve">mRNA sequence annotations: variant position highlighted, unique SNP flanking regions, target sites for allele-specific ASOs</w:t>
      </w:r>
    </w:p>
    <w:p>
      <w:pPr>
        <w:pStyle w:val="ListParagraph"/>
        <w:numPr>
          <w:ilvl w:val="0"/>
          <w:numId w:val="2"/>
        </w:numPr>
        <w:spacing w:after="80" w:line="360"/>
      </w:pPr>
      <w:r>
        <w:rPr>
          <w:rFonts w:ascii="Arial" w:cs="Arial" w:eastAsia="Arial" w:hAnsi="Arial"/>
          <w:sz w:val="24"/>
          <w:szCs w:val="24"/>
        </w:rPr>
        <w:t xml:space="preserve">ASO candidate library: 3-5 allele-specific designs per variant with predicted specificity scores (mutant discrimination ratio)</w:t>
      </w:r>
    </w:p>
    <w:p>
      <w:pPr>
        <w:pStyle w:val="ListParagraph"/>
        <w:numPr>
          <w:ilvl w:val="0"/>
          <w:numId w:val="2"/>
        </w:numPr>
        <w:spacing w:after="80" w:line="360"/>
      </w:pPr>
      <w:r>
        <w:rPr>
          <w:rFonts w:ascii="Arial" w:cs="Arial" w:eastAsia="Arial" w:hAnsi="Arial"/>
          <w:sz w:val="24"/>
          <w:szCs w:val="24"/>
        </w:rPr>
        <w:t xml:space="preserve">Secondary structure models: SCN8A mRNA secondary structures showing ASO binding sites, accessibility predictions, kinetic trapping assessment</w:t>
      </w:r>
    </w:p>
    <w:p>
      <w:pPr>
        <w:pStyle w:val="ListParagraph"/>
        <w:numPr>
          <w:ilvl w:val="0"/>
          <w:numId w:val="2"/>
        </w:numPr>
        <w:spacing w:after="80" w:line="360"/>
      </w:pPr>
      <w:r>
        <w:rPr>
          <w:rFonts w:ascii="Arial" w:cs="Arial" w:eastAsia="Arial" w:hAnsi="Arial"/>
          <w:sz w:val="24"/>
          <w:szCs w:val="24"/>
        </w:rPr>
        <w:t xml:space="preserve">Binding thermodynamics: ASO Tm, ΔG, predicted target binding kinetics, thermal stability predictions</w:t>
      </w:r>
    </w:p>
    <w:p>
      <w:pPr>
        <w:pStyle w:val="ListParagraph"/>
        <w:numPr>
          <w:ilvl w:val="0"/>
          <w:numId w:val="2"/>
        </w:numPr>
        <w:spacing w:after="200" w:line="360"/>
      </w:pPr>
      <w:r>
        <w:rPr>
          <w:rFonts w:ascii="Arial" w:cs="Arial" w:eastAsia="Arial" w:hAnsi="Arial"/>
          <w:sz w:val="24"/>
          <w:szCs w:val="24"/>
        </w:rPr>
        <w:t xml:space="preserve">Off-target analysis: potential cross-reactivity to other sodium channels, predicted off-target transcript binding, selectivity rankings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Phenotype feature tables, mRNA sequence diagrams with ASO sites marked, secondary structure visualizations, binding thermodynamics tables, specificity matrices.</w:t>
      </w:r>
    </w:p>
    <w:p>
      <w:pPr>
        <w:pStyle w:val="Heading2"/>
        <w:spacing w:after="200" w:line="360"/>
      </w:pPr>
      <w:r>
        <w:rPr>
          <w:rFonts w:ascii="Arial" w:cs="Arial" w:eastAsia="Arial" w:hAnsi="Arial"/>
          <w:b/>
          <w:bCs/>
          <w:sz w:val="28"/>
          <w:szCs w:val="28"/>
        </w:rPr>
        <w:t xml:space="preserve">Stage 3: ASO Optimization &amp; Functional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Optimize allele-specific ASO chemistry, sequence, and delivery; validate in vitro knockdown of mutant SCN8A in patient-derived cells; confirm preservation of WT channel expression; test functional rescue of hyperexcitability phenotype.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ASO candidate designs from Stage 2 (3-5 candidates per variant with specificity rankings)</w:t>
      </w:r>
    </w:p>
    <w:p>
      <w:pPr>
        <w:pStyle w:val="ListParagraph"/>
        <w:numPr>
          <w:ilvl w:val="0"/>
          <w:numId w:val="2"/>
        </w:numPr>
        <w:spacing w:after="80" w:line="360"/>
      </w:pPr>
      <w:r>
        <w:rPr>
          <w:rFonts w:ascii="Arial" w:cs="Arial" w:eastAsia="Arial" w:hAnsi="Arial"/>
          <w:sz w:val="24"/>
          <w:szCs w:val="24"/>
        </w:rPr>
        <w:t xml:space="preserve">ASO chemistry options: phosphorothioate backbone, 2'-MOE sugar modifications, gapmer vs. full-length designs</w:t>
      </w:r>
    </w:p>
    <w:p>
      <w:pPr>
        <w:pStyle w:val="ListParagraph"/>
        <w:numPr>
          <w:ilvl w:val="0"/>
          <w:numId w:val="2"/>
        </w:numPr>
        <w:spacing w:after="80" w:line="360"/>
      </w:pPr>
      <w:r>
        <w:rPr>
          <w:rFonts w:ascii="Arial" w:cs="Arial" w:eastAsia="Arial" w:hAnsi="Arial"/>
          <w:sz w:val="24"/>
          <w:szCs w:val="24"/>
        </w:rPr>
        <w:t xml:space="preserve">Patient-derived iPSC-neurons or transfected HEK cells with SCN8A GOF variant cDNA expression</w:t>
      </w:r>
    </w:p>
    <w:p>
      <w:pPr>
        <w:pStyle w:val="ListParagraph"/>
        <w:numPr>
          <w:ilvl w:val="0"/>
          <w:numId w:val="2"/>
        </w:numPr>
        <w:spacing w:after="80" w:line="360"/>
      </w:pPr>
      <w:r>
        <w:rPr>
          <w:rFonts w:ascii="Arial" w:cs="Arial" w:eastAsia="Arial" w:hAnsi="Arial"/>
          <w:sz w:val="24"/>
          <w:szCs w:val="24"/>
        </w:rPr>
        <w:t xml:space="preserve">Delivery reagents: lipofectamine, electroporation, gymnotic uptake; transfection efficiency data</w:t>
      </w:r>
    </w:p>
    <w:p>
      <w:pPr>
        <w:pStyle w:val="ListParagraph"/>
        <w:numPr>
          <w:ilvl w:val="0"/>
          <w:numId w:val="2"/>
        </w:numPr>
        <w:spacing w:after="100" w:line="360"/>
      </w:pPr>
      <w:r>
        <w:rPr>
          <w:rFonts w:ascii="Arial" w:cs="Arial" w:eastAsia="Arial" w:hAnsi="Arial"/>
          <w:sz w:val="24"/>
          <w:szCs w:val="24"/>
        </w:rPr>
        <w:t xml:space="preserve">Functional rescue readouts: sodium current patch clamp, action potential shape, spontaneous activity, seizure-like bursting suppression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ASO synthesis platforms (ISIS, Lorus, Antisense Pharma): </w:t>
      </w:r>
      <w:r>
        <w:rPr>
          <w:rFonts w:ascii="Arial" w:cs="Arial" w:eastAsia="Arial" w:hAnsi="Arial"/>
          <w:sz w:val="24"/>
          <w:szCs w:val="24"/>
        </w:rPr>
        <w:t xml:space="preserve">synthesize allele-specific ASO candidates with 2'-MOE modifications, phosphorothioate backbone</w:t>
      </w:r>
    </w:p>
    <w:p>
      <w:pPr>
        <w:pStyle w:val="ListParagraph"/>
        <w:numPr>
          <w:ilvl w:val="0"/>
          <w:numId w:val="2"/>
        </w:numPr>
        <w:spacing w:after="80" w:line="360"/>
      </w:pPr>
      <w:r>
        <w:rPr>
          <w:rFonts w:ascii="Arial" w:cs="Arial" w:eastAsia="Arial" w:hAnsi="Arial"/>
          <w:b/>
          <w:bCs/>
          <w:sz w:val="24"/>
          <w:szCs w:val="24"/>
        </w:rPr>
        <w:t xml:space="preserve">In vitro transfection &amp; knockdown assays: </w:t>
      </w:r>
      <w:r>
        <w:rPr>
          <w:rFonts w:ascii="Arial" w:cs="Arial" w:eastAsia="Arial" w:hAnsi="Arial"/>
          <w:sz w:val="24"/>
          <w:szCs w:val="24"/>
        </w:rPr>
        <w:t xml:space="preserve">measure mRNA knockdown by qPCR, protein levels by Western blot, allele-specificity ratios</w:t>
      </w:r>
    </w:p>
    <w:p>
      <w:pPr>
        <w:pStyle w:val="ListParagraph"/>
        <w:numPr>
          <w:ilvl w:val="0"/>
          <w:numId w:val="2"/>
        </w:numPr>
        <w:spacing w:after="80" w:line="360"/>
      </w:pPr>
      <w:r>
        <w:rPr>
          <w:rFonts w:ascii="Arial" w:cs="Arial" w:eastAsia="Arial" w:hAnsi="Arial"/>
          <w:b/>
          <w:bCs/>
          <w:sz w:val="24"/>
          <w:szCs w:val="24"/>
        </w:rPr>
        <w:t xml:space="preserve">Electrophysiology platforms: </w:t>
      </w:r>
      <w:r>
        <w:rPr>
          <w:rFonts w:ascii="Arial" w:cs="Arial" w:eastAsia="Arial" w:hAnsi="Arial"/>
          <w:sz w:val="24"/>
          <w:szCs w:val="24"/>
        </w:rPr>
        <w:t xml:space="preserve">patch clamp (whole-cell sodium current measurement), automated planar electrodes (multi-channel assessment)</w:t>
      </w:r>
    </w:p>
    <w:p>
      <w:pPr>
        <w:pStyle w:val="ListParagraph"/>
        <w:numPr>
          <w:ilvl w:val="0"/>
          <w:numId w:val="2"/>
        </w:numPr>
        <w:spacing w:after="80" w:line="360"/>
      </w:pPr>
      <w:r>
        <w:rPr>
          <w:rFonts w:ascii="Arial" w:cs="Arial" w:eastAsia="Arial" w:hAnsi="Arial"/>
          <w:b/>
          <w:bCs/>
          <w:sz w:val="24"/>
          <w:szCs w:val="24"/>
        </w:rPr>
        <w:t xml:space="preserve">Calcium imaging &amp; microelectrode arrays: </w:t>
      </w:r>
      <w:r>
        <w:rPr>
          <w:rFonts w:ascii="Arial" w:cs="Arial" w:eastAsia="Arial" w:hAnsi="Arial"/>
          <w:sz w:val="24"/>
          <w:szCs w:val="24"/>
        </w:rPr>
        <w:t xml:space="preserve">assess neuronal activity, spontaneous firing, burst patterns; quantify hyperexcitability rescue</w:t>
      </w:r>
    </w:p>
    <w:p>
      <w:pPr>
        <w:pStyle w:val="ListParagraph"/>
        <w:numPr>
          <w:ilvl w:val="0"/>
          <w:numId w:val="2"/>
        </w:numPr>
        <w:spacing w:after="100" w:line="360"/>
      </w:pPr>
      <w:r>
        <w:rPr>
          <w:rFonts w:ascii="Arial" w:cs="Arial" w:eastAsia="Arial" w:hAnsi="Arial"/>
          <w:b/>
          <w:bCs/>
          <w:sz w:val="24"/>
          <w:szCs w:val="24"/>
        </w:rPr>
        <w:t xml:space="preserve">RNA-seq for off-target assessment: </w:t>
      </w:r>
      <w:r>
        <w:rPr>
          <w:rFonts w:ascii="Arial" w:cs="Arial" w:eastAsia="Arial" w:hAnsi="Arial"/>
          <w:sz w:val="24"/>
          <w:szCs w:val="24"/>
        </w:rPr>
        <w:t xml:space="preserve">validate selectivity, identify unintended transcript knockdown, transcriptome-wide impact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Test ASO knockdown specificity: measure % reduction of mutant SCN8A vs. WT channel mRNA; selectivity ratio per candidate</w:t>
      </w:r>
    </w:p>
    <w:p>
      <w:pPr>
        <w:pStyle w:val="ListParagraph"/>
        <w:numPr>
          <w:ilvl w:val="0"/>
          <w:numId w:val="2"/>
        </w:numPr>
        <w:spacing w:after="80" w:line="360"/>
      </w:pPr>
      <w:r>
        <w:rPr>
          <w:rFonts w:ascii="Arial" w:cs="Arial" w:eastAsia="Arial" w:hAnsi="Arial"/>
          <w:sz w:val="24"/>
          <w:szCs w:val="24"/>
        </w:rPr>
        <w:t xml:space="preserve">Optimize ASO chemistry: test 2'-MOE vs. other modifications for enhanced cellular uptake, stability, potency</w:t>
      </w:r>
    </w:p>
    <w:p>
      <w:pPr>
        <w:pStyle w:val="ListParagraph"/>
        <w:numPr>
          <w:ilvl w:val="0"/>
          <w:numId w:val="2"/>
        </w:numPr>
        <w:spacing w:after="80" w:line="360"/>
      </w:pPr>
      <w:r>
        <w:rPr>
          <w:rFonts w:ascii="Arial" w:cs="Arial" w:eastAsia="Arial" w:hAnsi="Arial"/>
          <w:sz w:val="24"/>
          <w:szCs w:val="24"/>
        </w:rPr>
        <w:t xml:space="preserve">Measure functional rescue: quantify sodium current reduction, action potential normalization, suppression of spontaneous seizure-like activity</w:t>
      </w:r>
    </w:p>
    <w:p>
      <w:pPr>
        <w:pStyle w:val="ListParagraph"/>
        <w:numPr>
          <w:ilvl w:val="0"/>
          <w:numId w:val="2"/>
        </w:numPr>
        <w:spacing w:after="80" w:line="360"/>
      </w:pPr>
      <w:r>
        <w:rPr>
          <w:rFonts w:ascii="Arial" w:cs="Arial" w:eastAsia="Arial" w:hAnsi="Arial"/>
          <w:sz w:val="24"/>
          <w:szCs w:val="24"/>
        </w:rPr>
        <w:t xml:space="preserve">Assess off-target effects: RNA-seq of ASO-treated cells; identify unintended transcript knockdown; evaluate toxicity risk</w:t>
      </w:r>
    </w:p>
    <w:p>
      <w:pPr>
        <w:pStyle w:val="ListParagraph"/>
        <w:numPr>
          <w:ilvl w:val="0"/>
          <w:numId w:val="2"/>
        </w:numPr>
        <w:spacing w:after="100" w:line="360"/>
      </w:pPr>
      <w:r>
        <w:rPr>
          <w:rFonts w:ascii="Arial" w:cs="Arial" w:eastAsia="Arial" w:hAnsi="Arial"/>
          <w:sz w:val="24"/>
          <w:szCs w:val="24"/>
        </w:rPr>
        <w:t xml:space="preserve">Rank ASO candidates: composite scoring (knockdown potency, allele specificity, functional rescue, safety profile)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ASO knockdown efficacy table: mRNA reduction %, allele specificity ratio (mutant/WT knockdown), potency (IC50, EC50)</w:t>
      </w:r>
    </w:p>
    <w:p>
      <w:pPr>
        <w:pStyle w:val="ListParagraph"/>
        <w:numPr>
          <w:ilvl w:val="0"/>
          <w:numId w:val="2"/>
        </w:numPr>
        <w:spacing w:after="80" w:line="360"/>
      </w:pPr>
      <w:r>
        <w:rPr>
          <w:rFonts w:ascii="Arial" w:cs="Arial" w:eastAsia="Arial" w:hAnsi="Arial"/>
          <w:sz w:val="24"/>
          <w:szCs w:val="24"/>
        </w:rPr>
        <w:t xml:space="preserve">Functional rescue data: patch clamp sodium current measurements pre/post-ASO, quantified hyperexcitability suppression</w:t>
      </w:r>
    </w:p>
    <w:p>
      <w:pPr>
        <w:pStyle w:val="ListParagraph"/>
        <w:numPr>
          <w:ilvl w:val="0"/>
          <w:numId w:val="2"/>
        </w:numPr>
        <w:spacing w:after="80" w:line="360"/>
      </w:pPr>
      <w:r>
        <w:rPr>
          <w:rFonts w:ascii="Arial" w:cs="Arial" w:eastAsia="Arial" w:hAnsi="Arial"/>
          <w:sz w:val="24"/>
          <w:szCs w:val="24"/>
        </w:rPr>
        <w:t xml:space="preserve">ASO chemistry optimization: comparative efficacy of 2'-MOE vs. other modifications, optimal backbone chemistry</w:t>
      </w:r>
    </w:p>
    <w:p>
      <w:pPr>
        <w:pStyle w:val="ListParagraph"/>
        <w:numPr>
          <w:ilvl w:val="0"/>
          <w:numId w:val="2"/>
        </w:numPr>
        <w:spacing w:after="80" w:line="360"/>
      </w:pPr>
      <w:r>
        <w:rPr>
          <w:rFonts w:ascii="Arial" w:cs="Arial" w:eastAsia="Arial" w:hAnsi="Arial"/>
          <w:sz w:val="24"/>
          <w:szCs w:val="24"/>
        </w:rPr>
        <w:t xml:space="preserve">Allele-specificity validation: differential knockdown of mutant vs. WT transcripts in isogenic cell lines/iPSC-neurons</w:t>
      </w:r>
    </w:p>
    <w:p>
      <w:pPr>
        <w:pStyle w:val="ListParagraph"/>
        <w:numPr>
          <w:ilvl w:val="0"/>
          <w:numId w:val="2"/>
        </w:numPr>
        <w:spacing w:after="80" w:line="360"/>
      </w:pPr>
      <w:r>
        <w:rPr>
          <w:rFonts w:ascii="Arial" w:cs="Arial" w:eastAsia="Arial" w:hAnsi="Arial"/>
          <w:sz w:val="24"/>
          <w:szCs w:val="24"/>
        </w:rPr>
        <w:t xml:space="preserve">Off-target assessment: RNA-seq validation showing minimal cross-reactivity to SCN1A, SCN2A, related transcripts</w:t>
      </w:r>
    </w:p>
    <w:p>
      <w:pPr>
        <w:pStyle w:val="ListParagraph"/>
        <w:numPr>
          <w:ilvl w:val="0"/>
          <w:numId w:val="2"/>
        </w:numPr>
        <w:spacing w:after="200" w:line="360"/>
      </w:pPr>
      <w:r>
        <w:rPr>
          <w:rFonts w:ascii="Arial" w:cs="Arial" w:eastAsia="Arial" w:hAnsi="Arial"/>
          <w:sz w:val="24"/>
          <w:szCs w:val="24"/>
        </w:rPr>
        <w:t xml:space="preserve">Lead candidate selection: top 1-2 ASOs for advancement to in vivo testing based on efficacy, specificity, safety profile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Knockdown efficacy tables, functional rescue plots, allele-specificity matrices, off-target RNA-seq summaries, ASO ranking charts.</w:t>
      </w:r>
    </w:p>
    <w:p>
      <w:pPr>
        <w:pStyle w:val="Heading2"/>
        <w:spacing w:after="200" w:line="360"/>
      </w:pPr>
      <w:r>
        <w:rPr>
          <w:rFonts w:ascii="Arial" w:cs="Arial" w:eastAsia="Arial" w:hAnsi="Arial"/>
          <w:b/>
          <w:bCs/>
          <w:sz w:val="28"/>
          <w:szCs w:val="28"/>
        </w:rPr>
        <w:t xml:space="preserve">Stage 4: Pharmacokinetics, Safety &amp; Toxicology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Characterize ASO biodistribution, tissue exposure, CNS penetration; assess acute/chronic toxicity in rodent models; evaluate immunogenicity and off-target effects; establish maximum tolerated dose (MTD) and IND-enabling safety package.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Lead ASO candidate(s) from Stage 3 (optimized chemistry, validated efficacy/specificity)</w:t>
      </w:r>
    </w:p>
    <w:p>
      <w:pPr>
        <w:pStyle w:val="ListParagraph"/>
        <w:numPr>
          <w:ilvl w:val="0"/>
          <w:numId w:val="2"/>
        </w:numPr>
        <w:spacing w:after="80" w:line="360"/>
      </w:pPr>
      <w:r>
        <w:rPr>
          <w:rFonts w:ascii="Arial" w:cs="Arial" w:eastAsia="Arial" w:hAnsi="Arial"/>
          <w:sz w:val="24"/>
          <w:szCs w:val="24"/>
        </w:rPr>
        <w:t xml:space="preserve">ASO chemical modifications, backbone, sequence (potential immunogenic CpG motifs, secondary structure)</w:t>
      </w:r>
    </w:p>
    <w:p>
      <w:pPr>
        <w:pStyle w:val="ListParagraph"/>
        <w:numPr>
          <w:ilvl w:val="0"/>
          <w:numId w:val="2"/>
        </w:numPr>
        <w:spacing w:after="80" w:line="360"/>
      </w:pPr>
      <w:r>
        <w:rPr>
          <w:rFonts w:ascii="Arial" w:cs="Arial" w:eastAsia="Arial" w:hAnsi="Arial"/>
          <w:sz w:val="24"/>
          <w:szCs w:val="24"/>
        </w:rPr>
        <w:t xml:space="preserve">Rodent toxicology study protocols (GLP, non-GLP dose-escalation, repeat-dose 4-week/13-week studies)</w:t>
      </w:r>
    </w:p>
    <w:p>
      <w:pPr>
        <w:pStyle w:val="ListParagraph"/>
        <w:numPr>
          <w:ilvl w:val="0"/>
          <w:numId w:val="2"/>
        </w:numPr>
        <w:spacing w:after="80" w:line="360"/>
      </w:pPr>
      <w:r>
        <w:rPr>
          <w:rFonts w:ascii="Arial" w:cs="Arial" w:eastAsia="Arial" w:hAnsi="Arial"/>
          <w:sz w:val="24"/>
          <w:szCs w:val="24"/>
        </w:rPr>
        <w:t xml:space="preserve">Biodistribution methods: radiolabeled ASO, fluorescent conjugates, tissue homogenate analysis by HPLC or mass spectrometry</w:t>
      </w:r>
    </w:p>
    <w:p>
      <w:pPr>
        <w:pStyle w:val="ListParagraph"/>
        <w:numPr>
          <w:ilvl w:val="0"/>
          <w:numId w:val="2"/>
        </w:numPr>
        <w:spacing w:after="100" w:line="360"/>
      </w:pPr>
      <w:r>
        <w:rPr>
          <w:rFonts w:ascii="Arial" w:cs="Arial" w:eastAsia="Arial" w:hAnsi="Arial"/>
          <w:sz w:val="24"/>
          <w:szCs w:val="24"/>
        </w:rPr>
        <w:t xml:space="preserve">CNS penetration assessment: blood-brain barrier (BBB) crossing measurement, CSF collection, neuronal uptake confirmation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GLP toxicology laboratories: </w:t>
      </w:r>
      <w:r>
        <w:rPr>
          <w:rFonts w:ascii="Arial" w:cs="Arial" w:eastAsia="Arial" w:hAnsi="Arial"/>
          <w:sz w:val="24"/>
          <w:szCs w:val="24"/>
        </w:rPr>
        <w:t xml:space="preserve">conduct acute/chronic toxicity studies in rodents; measure organ toxicity, hematology, clinical chemistry</w:t>
      </w:r>
    </w:p>
    <w:p>
      <w:pPr>
        <w:pStyle w:val="ListParagraph"/>
        <w:numPr>
          <w:ilvl w:val="0"/>
          <w:numId w:val="2"/>
        </w:numPr>
        <w:spacing w:after="80" w:line="360"/>
      </w:pPr>
      <w:r>
        <w:rPr>
          <w:rFonts w:ascii="Arial" w:cs="Arial" w:eastAsia="Arial" w:hAnsi="Arial"/>
          <w:b/>
          <w:bCs/>
          <w:sz w:val="24"/>
          <w:szCs w:val="24"/>
        </w:rPr>
        <w:t xml:space="preserve">Biodistribution study platforms: </w:t>
      </w:r>
      <w:r>
        <w:rPr>
          <w:rFonts w:ascii="Arial" w:cs="Arial" w:eastAsia="Arial" w:hAnsi="Arial"/>
          <w:sz w:val="24"/>
          <w:szCs w:val="24"/>
        </w:rPr>
        <w:t xml:space="preserve">measure radioactive/fluorescent ASO tissue concentrations, brain penetration, clearance kinetics</w:t>
      </w:r>
    </w:p>
    <w:p>
      <w:pPr>
        <w:pStyle w:val="ListParagraph"/>
        <w:numPr>
          <w:ilvl w:val="0"/>
          <w:numId w:val="2"/>
        </w:numPr>
        <w:spacing w:after="80" w:line="360"/>
      </w:pPr>
      <w:r>
        <w:rPr>
          <w:rFonts w:ascii="Arial" w:cs="Arial" w:eastAsia="Arial" w:hAnsi="Arial"/>
          <w:b/>
          <w:bCs/>
          <w:sz w:val="24"/>
          <w:szCs w:val="24"/>
        </w:rPr>
        <w:t xml:space="preserve">Immunogenicity assessment (TLR activation, cytokine induction): </w:t>
      </w:r>
      <w:r>
        <w:rPr>
          <w:rFonts w:ascii="Arial" w:cs="Arial" w:eastAsia="Arial" w:hAnsi="Arial"/>
          <w:sz w:val="24"/>
          <w:szCs w:val="24"/>
        </w:rPr>
        <w:t xml:space="preserve">in vitro immune cell assays, in vivo Interferon-alpha production in mice</w:t>
      </w:r>
    </w:p>
    <w:p>
      <w:pPr>
        <w:pStyle w:val="ListParagraph"/>
        <w:numPr>
          <w:ilvl w:val="0"/>
          <w:numId w:val="2"/>
        </w:numPr>
        <w:spacing w:after="80" w:line="360"/>
      </w:pPr>
      <w:r>
        <w:rPr>
          <w:rFonts w:ascii="Arial" w:cs="Arial" w:eastAsia="Arial" w:hAnsi="Arial"/>
          <w:b/>
          <w:bCs/>
          <w:sz w:val="24"/>
          <w:szCs w:val="24"/>
        </w:rPr>
        <w:t xml:space="preserve">SCN8A KO/GOF transgenic mouse models: </w:t>
      </w:r>
      <w:r>
        <w:rPr>
          <w:rFonts w:ascii="Arial" w:cs="Arial" w:eastAsia="Arial" w:hAnsi="Arial"/>
          <w:sz w:val="24"/>
          <w:szCs w:val="24"/>
        </w:rPr>
        <w:t xml:space="preserve">efficacy studies (seizure suppression, lifespan extension), toxicology (ASO off-target effects on motor/cognitive function)</w:t>
      </w:r>
    </w:p>
    <w:p>
      <w:pPr>
        <w:pStyle w:val="ListParagraph"/>
        <w:numPr>
          <w:ilvl w:val="0"/>
          <w:numId w:val="2"/>
        </w:numPr>
        <w:spacing w:after="100" w:line="360"/>
      </w:pPr>
      <w:r>
        <w:rPr>
          <w:rFonts w:ascii="Arial" w:cs="Arial" w:eastAsia="Arial" w:hAnsi="Arial"/>
          <w:b/>
          <w:bCs/>
          <w:sz w:val="24"/>
          <w:szCs w:val="24"/>
        </w:rPr>
        <w:t xml:space="preserve">FDA guidance documents (M-FTIH, IND Application requirements): </w:t>
      </w:r>
      <w:r>
        <w:rPr>
          <w:rFonts w:ascii="Arial" w:cs="Arial" w:eastAsia="Arial" w:hAnsi="Arial"/>
          <w:sz w:val="24"/>
          <w:szCs w:val="24"/>
        </w:rPr>
        <w:t xml:space="preserve">design adequate toxicology/PK studies for orphan drug IND filing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Design 4-week GLP rat toxicity study: dose escalation, organ/histological endpoints, neurotoxicity assessment</w:t>
      </w:r>
    </w:p>
    <w:p>
      <w:pPr>
        <w:pStyle w:val="ListParagraph"/>
        <w:numPr>
          <w:ilvl w:val="0"/>
          <w:numId w:val="2"/>
        </w:numPr>
        <w:spacing w:after="80" w:line="360"/>
      </w:pPr>
      <w:r>
        <w:rPr>
          <w:rFonts w:ascii="Arial" w:cs="Arial" w:eastAsia="Arial" w:hAnsi="Arial"/>
          <w:sz w:val="24"/>
          <w:szCs w:val="24"/>
        </w:rPr>
        <w:t xml:space="preserve">Measure ASO brain penetration: IV or intrathecal ASO dosing, quantify CSF/brain tissue levels, CNS distribution pattern</w:t>
      </w:r>
    </w:p>
    <w:p>
      <w:pPr>
        <w:pStyle w:val="ListParagraph"/>
        <w:numPr>
          <w:ilvl w:val="0"/>
          <w:numId w:val="2"/>
        </w:numPr>
        <w:spacing w:after="80" w:line="360"/>
      </w:pPr>
      <w:r>
        <w:rPr>
          <w:rFonts w:ascii="Arial" w:cs="Arial" w:eastAsia="Arial" w:hAnsi="Arial"/>
          <w:sz w:val="24"/>
          <w:szCs w:val="24"/>
        </w:rPr>
        <w:t xml:space="preserve">Assess immunogenicity: TLR9/7 activation by immunogenic CpG motifs in ASO; predict interferon response in humans</w:t>
      </w:r>
    </w:p>
    <w:p>
      <w:pPr>
        <w:pStyle w:val="ListParagraph"/>
        <w:numPr>
          <w:ilvl w:val="0"/>
          <w:numId w:val="2"/>
        </w:numPr>
        <w:spacing w:after="80" w:line="360"/>
      </w:pPr>
      <w:r>
        <w:rPr>
          <w:rFonts w:ascii="Arial" w:cs="Arial" w:eastAsia="Arial" w:hAnsi="Arial"/>
          <w:sz w:val="24"/>
          <w:szCs w:val="24"/>
        </w:rPr>
        <w:t xml:space="preserve">Determine MTD: identify maximum tolerated dose; establish safety margin (10-fold) for Phase I starting dose</w:t>
      </w:r>
    </w:p>
    <w:p>
      <w:pPr>
        <w:pStyle w:val="ListParagraph"/>
        <w:numPr>
          <w:ilvl w:val="0"/>
          <w:numId w:val="2"/>
        </w:numPr>
        <w:spacing w:after="100" w:line="360"/>
      </w:pPr>
      <w:r>
        <w:rPr>
          <w:rFonts w:ascii="Arial" w:cs="Arial" w:eastAsia="Arial" w:hAnsi="Arial"/>
          <w:sz w:val="24"/>
          <w:szCs w:val="24"/>
        </w:rPr>
        <w:t xml:space="preserve">Efficacy proof-of-concept in SCN8A GOF mice: seizure frequency reduction, lifespan extension, functional improvement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GLP toxicity study reports: NOAEL (no observed adverse effect level), organ toxicity findings, safety margins</w:t>
      </w:r>
    </w:p>
    <w:p>
      <w:pPr>
        <w:pStyle w:val="ListParagraph"/>
        <w:numPr>
          <w:ilvl w:val="0"/>
          <w:numId w:val="2"/>
        </w:numPr>
        <w:spacing w:after="80" w:line="360"/>
      </w:pPr>
      <w:r>
        <w:rPr>
          <w:rFonts w:ascii="Arial" w:cs="Arial" w:eastAsia="Arial" w:hAnsi="Arial"/>
          <w:sz w:val="24"/>
          <w:szCs w:val="24"/>
        </w:rPr>
        <w:t xml:space="preserve">Biodistribution data: ASO tissue concentrations over time, brain:blood ratios, organ accumulation patterns</w:t>
      </w:r>
    </w:p>
    <w:p>
      <w:pPr>
        <w:pStyle w:val="ListParagraph"/>
        <w:numPr>
          <w:ilvl w:val="0"/>
          <w:numId w:val="2"/>
        </w:numPr>
        <w:spacing w:after="80" w:line="360"/>
      </w:pPr>
      <w:r>
        <w:rPr>
          <w:rFonts w:ascii="Arial" w:cs="Arial" w:eastAsia="Arial" w:hAnsi="Arial"/>
          <w:sz w:val="24"/>
          <w:szCs w:val="24"/>
        </w:rPr>
        <w:t xml:space="preserve">Immunogenicity assessment: TLR activation profiles, predicted interferon induction risk in human dosing</w:t>
      </w:r>
    </w:p>
    <w:p>
      <w:pPr>
        <w:pStyle w:val="ListParagraph"/>
        <w:numPr>
          <w:ilvl w:val="0"/>
          <w:numId w:val="2"/>
        </w:numPr>
        <w:spacing w:after="80" w:line="360"/>
      </w:pPr>
      <w:r>
        <w:rPr>
          <w:rFonts w:ascii="Arial" w:cs="Arial" w:eastAsia="Arial" w:hAnsi="Arial"/>
          <w:sz w:val="24"/>
          <w:szCs w:val="24"/>
        </w:rPr>
        <w:t xml:space="preserve">MTD establishment: recommended starting dose, dose escalation scheme for Phase I trial</w:t>
      </w:r>
    </w:p>
    <w:p>
      <w:pPr>
        <w:pStyle w:val="ListParagraph"/>
        <w:numPr>
          <w:ilvl w:val="0"/>
          <w:numId w:val="2"/>
        </w:numPr>
        <w:spacing w:after="80" w:line="360"/>
      </w:pPr>
      <w:r>
        <w:rPr>
          <w:rFonts w:ascii="Arial" w:cs="Arial" w:eastAsia="Arial" w:hAnsi="Arial"/>
          <w:sz w:val="24"/>
          <w:szCs w:val="24"/>
        </w:rPr>
        <w:t xml:space="preserve">Pharmacokinetics: serum/CSF half-life, oral vs. IV bioavailability, steady-state kinetics prediction</w:t>
      </w:r>
    </w:p>
    <w:p>
      <w:pPr>
        <w:pStyle w:val="ListParagraph"/>
        <w:numPr>
          <w:ilvl w:val="0"/>
          <w:numId w:val="2"/>
        </w:numPr>
        <w:spacing w:after="200" w:line="360"/>
      </w:pPr>
      <w:r>
        <w:rPr>
          <w:rFonts w:ascii="Arial" w:cs="Arial" w:eastAsia="Arial" w:hAnsi="Arial"/>
          <w:sz w:val="24"/>
          <w:szCs w:val="24"/>
        </w:rPr>
        <w:t xml:space="preserve">Efficacy proof-of-concept: seizure suppression in SCN8A GOF mice, duration of effect, dose-response relationships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Toxicity study reports, biodistribution kinetics tables, immunogenicity assessment summaries, PK/PD plots, safety margin calculations.</w:t>
      </w:r>
    </w:p>
    <w:p>
      <w:pPr>
        <w:pStyle w:val="Heading2"/>
        <w:spacing w:after="200" w:line="360"/>
      </w:pPr>
      <w:r>
        <w:rPr>
          <w:rFonts w:ascii="Arial" w:cs="Arial" w:eastAsia="Arial" w:hAnsi="Arial"/>
          <w:b/>
          <w:bCs/>
          <w:sz w:val="28"/>
          <w:szCs w:val="28"/>
        </w:rPr>
        <w:t xml:space="preserve">Stage 5: In Vivo Efficacy &amp; Animal Model Studies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Demonstrate ASO efficacy in SCN8A GOF transgenic/knock-in mouse models; measure seizure suppression, lifespan extension, behavioral/motor improvement; establish dose-response relationships; optimize dosing regimen for clinical translation.</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Lead ASO candidate(s) with completed safety/toxicology package</w:t>
      </w:r>
    </w:p>
    <w:p>
      <w:pPr>
        <w:pStyle w:val="ListParagraph"/>
        <w:numPr>
          <w:ilvl w:val="0"/>
          <w:numId w:val="2"/>
        </w:numPr>
        <w:spacing w:after="80" w:line="360"/>
      </w:pPr>
      <w:r>
        <w:rPr>
          <w:rFonts w:ascii="Arial" w:cs="Arial" w:eastAsia="Arial" w:hAnsi="Arial"/>
          <w:sz w:val="24"/>
          <w:szCs w:val="24"/>
        </w:rPr>
        <w:t xml:space="preserve">SCN8A GOF transgenic or knock-in mouse models (homozygous/heterozygous, seizure-prone, spontaneous or evoked seizures)</w:t>
      </w:r>
    </w:p>
    <w:p>
      <w:pPr>
        <w:pStyle w:val="ListParagraph"/>
        <w:numPr>
          <w:ilvl w:val="0"/>
          <w:numId w:val="2"/>
        </w:numPr>
        <w:spacing w:after="80" w:line="360"/>
      </w:pPr>
      <w:r>
        <w:rPr>
          <w:rFonts w:ascii="Arial" w:cs="Arial" w:eastAsia="Arial" w:hAnsi="Arial"/>
          <w:sz w:val="24"/>
          <w:szCs w:val="24"/>
        </w:rPr>
        <w:t xml:space="preserve">Animal protocols for EEG recording, seizure quantification, behavioral testing (motor function, learning/memory), lifespan tracking</w:t>
      </w:r>
    </w:p>
    <w:p>
      <w:pPr>
        <w:pStyle w:val="ListParagraph"/>
        <w:numPr>
          <w:ilvl w:val="0"/>
          <w:numId w:val="2"/>
        </w:numPr>
        <w:spacing w:after="80" w:line="360"/>
      </w:pPr>
      <w:r>
        <w:rPr>
          <w:rFonts w:ascii="Arial" w:cs="Arial" w:eastAsia="Arial" w:hAnsi="Arial"/>
          <w:sz w:val="24"/>
          <w:szCs w:val="24"/>
        </w:rPr>
        <w:t xml:space="preserve">Dosing schedules: dose escalation, frequency optimization, route selection (IV, intrathecal, IP injection)</w:t>
      </w:r>
    </w:p>
    <w:p>
      <w:pPr>
        <w:pStyle w:val="ListParagraph"/>
        <w:numPr>
          <w:ilvl w:val="0"/>
          <w:numId w:val="2"/>
        </w:numPr>
        <w:spacing w:after="100" w:line="360"/>
      </w:pPr>
      <w:r>
        <w:rPr>
          <w:rFonts w:ascii="Arial" w:cs="Arial" w:eastAsia="Arial" w:hAnsi="Arial"/>
          <w:sz w:val="24"/>
          <w:szCs w:val="24"/>
        </w:rPr>
        <w:t xml:space="preserve">Endpoints: seizure frequency/severity (video-EEG), latency to first seizure, lifespan, neurological scores, tissue SCN8A levels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Animal behavior labs (epilepsy models): </w:t>
      </w:r>
      <w:r>
        <w:rPr>
          <w:rFonts w:ascii="Arial" w:cs="Arial" w:eastAsia="Arial" w:hAnsi="Arial"/>
          <w:sz w:val="24"/>
          <w:szCs w:val="24"/>
        </w:rPr>
        <w:t xml:space="preserve">conduct video-EEG, seizure quantification, dose-response efficacy studies in transgenic mice</w:t>
      </w:r>
    </w:p>
    <w:p>
      <w:pPr>
        <w:pStyle w:val="ListParagraph"/>
        <w:numPr>
          <w:ilvl w:val="0"/>
          <w:numId w:val="2"/>
        </w:numPr>
        <w:spacing w:after="80" w:line="360"/>
      </w:pPr>
      <w:r>
        <w:rPr>
          <w:rFonts w:ascii="Arial" w:cs="Arial" w:eastAsia="Arial" w:hAnsi="Arial"/>
          <w:b/>
          <w:bCs/>
          <w:sz w:val="24"/>
          <w:szCs w:val="24"/>
        </w:rPr>
        <w:t xml:space="preserve">Pharmacodynamics endpoints: </w:t>
      </w:r>
      <w:r>
        <w:rPr>
          <w:rFonts w:ascii="Arial" w:cs="Arial" w:eastAsia="Arial" w:hAnsi="Arial"/>
          <w:sz w:val="24"/>
          <w:szCs w:val="24"/>
        </w:rPr>
        <w:t xml:space="preserve">measure ASO target engagement, SCN8A mRNA knockdown in brain tissue, sodium current reduction by patch clamp</w:t>
      </w:r>
    </w:p>
    <w:p>
      <w:pPr>
        <w:pStyle w:val="ListParagraph"/>
        <w:numPr>
          <w:ilvl w:val="0"/>
          <w:numId w:val="2"/>
        </w:numPr>
        <w:spacing w:after="80" w:line="360"/>
      </w:pPr>
      <w:r>
        <w:rPr>
          <w:rFonts w:ascii="Arial" w:cs="Arial" w:eastAsia="Arial" w:hAnsi="Arial"/>
          <w:b/>
          <w:bCs/>
          <w:sz w:val="24"/>
          <w:szCs w:val="24"/>
        </w:rPr>
        <w:t xml:space="preserve">Behavioral/cognitive testing: </w:t>
      </w:r>
      <w:r>
        <w:rPr>
          <w:rFonts w:ascii="Arial" w:cs="Arial" w:eastAsia="Arial" w:hAnsi="Arial"/>
          <w:sz w:val="24"/>
          <w:szCs w:val="24"/>
        </w:rPr>
        <w:t xml:space="preserve">locomotor activity, rotarod (motor coordination), Morris water maze (spatial memory), anxiety measures</w:t>
      </w:r>
    </w:p>
    <w:p>
      <w:pPr>
        <w:pStyle w:val="ListParagraph"/>
        <w:numPr>
          <w:ilvl w:val="0"/>
          <w:numId w:val="2"/>
        </w:numPr>
        <w:spacing w:after="80" w:line="360"/>
      </w:pPr>
      <w:r>
        <w:rPr>
          <w:rFonts w:ascii="Arial" w:cs="Arial" w:eastAsia="Arial" w:hAnsi="Arial"/>
          <w:b/>
          <w:bCs/>
          <w:sz w:val="24"/>
          <w:szCs w:val="24"/>
        </w:rPr>
        <w:t xml:space="preserve">Histopathology &amp; neuroimaging: </w:t>
      </w:r>
      <w:r>
        <w:rPr>
          <w:rFonts w:ascii="Arial" w:cs="Arial" w:eastAsia="Arial" w:hAnsi="Arial"/>
          <w:sz w:val="24"/>
          <w:szCs w:val="24"/>
        </w:rPr>
        <w:t xml:space="preserve">ex vivo neuronal morphology, immunohistochemistry for SCN8A, off-target protein changes</w:t>
      </w:r>
    </w:p>
    <w:p>
      <w:pPr>
        <w:pStyle w:val="ListParagraph"/>
        <w:numPr>
          <w:ilvl w:val="0"/>
          <w:numId w:val="2"/>
        </w:numPr>
        <w:spacing w:after="100" w:line="360"/>
      </w:pPr>
      <w:r>
        <w:rPr>
          <w:rFonts w:ascii="Arial" w:cs="Arial" w:eastAsia="Arial" w:hAnsi="Arial"/>
          <w:b/>
          <w:bCs/>
          <w:sz w:val="24"/>
          <w:szCs w:val="24"/>
        </w:rPr>
        <w:t xml:space="preserve">Statistical analysis &amp; PK/PD modeling: </w:t>
      </w:r>
      <w:r>
        <w:rPr>
          <w:rFonts w:ascii="Arial" w:cs="Arial" w:eastAsia="Arial" w:hAnsi="Arial"/>
          <w:sz w:val="24"/>
          <w:szCs w:val="24"/>
        </w:rPr>
        <w:t xml:space="preserve">model dose-response relationships, estimate optimal human-equivalent dose, predict safety margins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Establish dose-response: test 3-4 dose levels in SCN8A GOF mice; measure seizure frequency reduction vs. dose</w:t>
      </w:r>
    </w:p>
    <w:p>
      <w:pPr>
        <w:pStyle w:val="ListParagraph"/>
        <w:numPr>
          <w:ilvl w:val="0"/>
          <w:numId w:val="2"/>
        </w:numPr>
        <w:spacing w:after="80" w:line="360"/>
      </w:pPr>
      <w:r>
        <w:rPr>
          <w:rFonts w:ascii="Arial" w:cs="Arial" w:eastAsia="Arial" w:hAnsi="Arial"/>
          <w:sz w:val="24"/>
          <w:szCs w:val="24"/>
        </w:rPr>
        <w:t xml:space="preserve">Quantify efficacy: % seizure reduction, latency to first seizure, lifespan extension (days), behavioral improvement (motor/cognitive)</w:t>
      </w:r>
    </w:p>
    <w:p>
      <w:pPr>
        <w:pStyle w:val="ListParagraph"/>
        <w:numPr>
          <w:ilvl w:val="0"/>
          <w:numId w:val="2"/>
        </w:numPr>
        <w:spacing w:after="80" w:line="360"/>
      </w:pPr>
      <w:r>
        <w:rPr>
          <w:rFonts w:ascii="Arial" w:cs="Arial" w:eastAsia="Arial" w:hAnsi="Arial"/>
          <w:sz w:val="24"/>
          <w:szCs w:val="24"/>
        </w:rPr>
        <w:t xml:space="preserve">Optimize dosing schedule: compare single vs. repeated dosing, IV vs. intrathecal administration, dose intervals</w:t>
      </w:r>
    </w:p>
    <w:p>
      <w:pPr>
        <w:pStyle w:val="ListParagraph"/>
        <w:numPr>
          <w:ilvl w:val="0"/>
          <w:numId w:val="2"/>
        </w:numPr>
        <w:spacing w:after="80" w:line="360"/>
      </w:pPr>
      <w:r>
        <w:rPr>
          <w:rFonts w:ascii="Arial" w:cs="Arial" w:eastAsia="Arial" w:hAnsi="Arial"/>
          <w:sz w:val="24"/>
          <w:szCs w:val="24"/>
        </w:rPr>
        <w:t xml:space="preserve">Validate target engagement: measure brain SCN8A knockdown, confirm mutation-specific silencing, verify WT channel preservation</w:t>
      </w:r>
    </w:p>
    <w:p>
      <w:pPr>
        <w:pStyle w:val="ListParagraph"/>
        <w:numPr>
          <w:ilvl w:val="0"/>
          <w:numId w:val="2"/>
        </w:numPr>
        <w:spacing w:after="100" w:line="360"/>
      </w:pPr>
      <w:r>
        <w:rPr>
          <w:rFonts w:ascii="Arial" w:cs="Arial" w:eastAsia="Arial" w:hAnsi="Arial"/>
          <w:sz w:val="24"/>
          <w:szCs w:val="24"/>
        </w:rPr>
        <w:t xml:space="preserve">Model PK/PD for translational dosing: predict human efficacious dose from mouse data, define safety/efficacy windows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Efficacy study reports: dose-response seizure reduction curves, % seizure frequency suppression, lifespan data</w:t>
      </w:r>
    </w:p>
    <w:p>
      <w:pPr>
        <w:pStyle w:val="ListParagraph"/>
        <w:numPr>
          <w:ilvl w:val="0"/>
          <w:numId w:val="2"/>
        </w:numPr>
        <w:spacing w:after="80" w:line="360"/>
      </w:pPr>
      <w:r>
        <w:rPr>
          <w:rFonts w:ascii="Arial" w:cs="Arial" w:eastAsia="Arial" w:hAnsi="Arial"/>
          <w:sz w:val="24"/>
          <w:szCs w:val="24"/>
        </w:rPr>
        <w:t xml:space="preserve">Video-EEG recordings: seizure event quantification, seizure duration trends, interictal spike suppression metrics</w:t>
      </w:r>
    </w:p>
    <w:p>
      <w:pPr>
        <w:pStyle w:val="ListParagraph"/>
        <w:numPr>
          <w:ilvl w:val="0"/>
          <w:numId w:val="2"/>
        </w:numPr>
        <w:spacing w:after="80" w:line="360"/>
      </w:pPr>
      <w:r>
        <w:rPr>
          <w:rFonts w:ascii="Arial" w:cs="Arial" w:eastAsia="Arial" w:hAnsi="Arial"/>
          <w:sz w:val="24"/>
          <w:szCs w:val="24"/>
        </w:rPr>
        <w:t xml:space="preserve">Pharmacodynamics data: brain tissue SCN8A mRNA knockdown %, target engagement verification, duration of effect</w:t>
      </w:r>
    </w:p>
    <w:p>
      <w:pPr>
        <w:pStyle w:val="ListParagraph"/>
        <w:numPr>
          <w:ilvl w:val="0"/>
          <w:numId w:val="2"/>
        </w:numPr>
        <w:spacing w:after="80" w:line="360"/>
      </w:pPr>
      <w:r>
        <w:rPr>
          <w:rFonts w:ascii="Arial" w:cs="Arial" w:eastAsia="Arial" w:hAnsi="Arial"/>
          <w:sz w:val="24"/>
          <w:szCs w:val="24"/>
        </w:rPr>
        <w:t xml:space="preserve">Behavioral/cognitive outcomes: motor function scores, cognitive testing results, long-term behavioral tracking</w:t>
      </w:r>
    </w:p>
    <w:p>
      <w:pPr>
        <w:pStyle w:val="ListParagraph"/>
        <w:numPr>
          <w:ilvl w:val="0"/>
          <w:numId w:val="2"/>
        </w:numPr>
        <w:spacing w:after="80" w:line="360"/>
      </w:pPr>
      <w:r>
        <w:rPr>
          <w:rFonts w:ascii="Arial" w:cs="Arial" w:eastAsia="Arial" w:hAnsi="Arial"/>
          <w:sz w:val="24"/>
          <w:szCs w:val="24"/>
        </w:rPr>
        <w:t xml:space="preserve">PK/PD modeling: dose-response model parameters, predicted human efficacious dose, safety/efficacy window definition</w:t>
      </w:r>
    </w:p>
    <w:p>
      <w:pPr>
        <w:pStyle w:val="ListParagraph"/>
        <w:numPr>
          <w:ilvl w:val="0"/>
          <w:numId w:val="2"/>
        </w:numPr>
        <w:spacing w:after="200" w:line="360"/>
      </w:pPr>
      <w:r>
        <w:rPr>
          <w:rFonts w:ascii="Arial" w:cs="Arial" w:eastAsia="Arial" w:hAnsi="Arial"/>
          <w:sz w:val="24"/>
          <w:szCs w:val="24"/>
        </w:rPr>
        <w:t xml:space="preserve">Histopathology: neuronal morphology assessment, absence of off-target CNS toxicity, preservation of motor/sensory function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Efficacy study reports, dose-response curves, EEG seizure quantification plots, behavioral testing summaries, PK/PD model outputs.</w:t>
      </w:r>
    </w:p>
    <w:p>
      <w:pPr>
        <w:pStyle w:val="Heading2"/>
        <w:spacing w:after="200" w:line="360"/>
      </w:pPr>
      <w:r>
        <w:rPr>
          <w:rFonts w:ascii="Arial" w:cs="Arial" w:eastAsia="Arial" w:hAnsi="Arial"/>
          <w:b/>
          <w:bCs/>
          <w:sz w:val="28"/>
          <w:szCs w:val="28"/>
        </w:rPr>
        <w:t xml:space="preserve">Stage 6: Clinical Development &amp; Translational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Phase IIb clinical trial for allele-specific ASO therapy in SCN8A GOF DEE13; identify patient stratification criteria; establish biomarker-driven endpoints; develop regulatory pathway for breakthrough/accelerated approval consideration.</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Phase I safety/PK data from initial human trials (if completed) or animal-derived human-equivalent dosing predictions</w:t>
      </w:r>
    </w:p>
    <w:p>
      <w:pPr>
        <w:pStyle w:val="ListParagraph"/>
        <w:numPr>
          <w:ilvl w:val="0"/>
          <w:numId w:val="2"/>
        </w:numPr>
        <w:spacing w:after="80" w:line="360"/>
      </w:pPr>
      <w:r>
        <w:rPr>
          <w:rFonts w:ascii="Arial" w:cs="Arial" w:eastAsia="Arial" w:hAnsi="Arial"/>
          <w:sz w:val="24"/>
          <w:szCs w:val="24"/>
        </w:rPr>
        <w:t xml:space="preserve">SCN8A GOF patient cohort data: genotypes, DEE13 phenotypes, seizure characteristics, developmental/functional status</w:t>
      </w:r>
    </w:p>
    <w:p>
      <w:pPr>
        <w:pStyle w:val="ListParagraph"/>
        <w:numPr>
          <w:ilvl w:val="0"/>
          <w:numId w:val="2"/>
        </w:numPr>
        <w:spacing w:after="80" w:line="360"/>
      </w:pPr>
      <w:r>
        <w:rPr>
          <w:rFonts w:ascii="Arial" w:cs="Arial" w:eastAsia="Arial" w:hAnsi="Arial"/>
          <w:sz w:val="24"/>
          <w:szCs w:val="24"/>
        </w:rPr>
        <w:t xml:space="preserve">Natural history study data: seizure progression without treatment, baseline seizure frequency distributions, outcome correlates</w:t>
      </w:r>
    </w:p>
    <w:p>
      <w:pPr>
        <w:pStyle w:val="ListParagraph"/>
        <w:numPr>
          <w:ilvl w:val="0"/>
          <w:numId w:val="2"/>
        </w:numPr>
        <w:spacing w:after="80" w:line="360"/>
      </w:pPr>
      <w:r>
        <w:rPr>
          <w:rFonts w:ascii="Arial" w:cs="Arial" w:eastAsia="Arial" w:hAnsi="Arial"/>
          <w:sz w:val="24"/>
          <w:szCs w:val="24"/>
        </w:rPr>
        <w:t xml:space="preserve">Biomarker qualification: CSF/serum biomarkers of hyperexcitability (sodium channel activity, neuronal damage markers), imaging correlates</w:t>
      </w:r>
    </w:p>
    <w:p>
      <w:pPr>
        <w:pStyle w:val="ListParagraph"/>
        <w:numPr>
          <w:ilvl w:val="0"/>
          <w:numId w:val="2"/>
        </w:numPr>
        <w:spacing w:after="100" w:line="360"/>
      </w:pPr>
      <w:r>
        <w:rPr>
          <w:rFonts w:ascii="Arial" w:cs="Arial" w:eastAsia="Arial" w:hAnsi="Arial"/>
          <w:sz w:val="24"/>
          <w:szCs w:val="24"/>
        </w:rPr>
        <w:t xml:space="preserve">FDA guidance: orphan drug strategies, breakthrough designation criteria for rare seizure disorders, surrogate endpoint pathways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ClinicalTrials.gov &amp; Cortellis: </w:t>
      </w:r>
      <w:r>
        <w:rPr>
          <w:rFonts w:ascii="Arial" w:cs="Arial" w:eastAsia="Arial" w:hAnsi="Arial"/>
          <w:sz w:val="24"/>
          <w:szCs w:val="24"/>
        </w:rPr>
        <w:t xml:space="preserve">query similar rare epilepsy trial designs, endpoints, inclusion criteria for DEE13 program</w:t>
      </w:r>
    </w:p>
    <w:p>
      <w:pPr>
        <w:pStyle w:val="ListParagraph"/>
        <w:numPr>
          <w:ilvl w:val="0"/>
          <w:numId w:val="2"/>
        </w:numPr>
        <w:spacing w:after="80" w:line="360"/>
      </w:pPr>
      <w:r>
        <w:rPr>
          <w:rFonts w:ascii="Arial" w:cs="Arial" w:eastAsia="Arial" w:hAnsi="Arial"/>
          <w:b/>
          <w:bCs/>
          <w:sz w:val="24"/>
          <w:szCs w:val="24"/>
        </w:rPr>
        <w:t xml:space="preserve">FDA guidance documents: </w:t>
      </w:r>
      <w:r>
        <w:rPr>
          <w:rFonts w:ascii="Arial" w:cs="Arial" w:eastAsia="Arial" w:hAnsi="Arial"/>
          <w:sz w:val="24"/>
          <w:szCs w:val="24"/>
        </w:rPr>
        <w:t xml:space="preserve">orphan drug designation, breakthrough therapy, accelerated approval pathways for rare seizure disorders</w:t>
      </w:r>
    </w:p>
    <w:p>
      <w:pPr>
        <w:pStyle w:val="ListParagraph"/>
        <w:numPr>
          <w:ilvl w:val="0"/>
          <w:numId w:val="2"/>
        </w:numPr>
        <w:spacing w:after="80" w:line="360"/>
      </w:pPr>
      <w:r>
        <w:rPr>
          <w:rFonts w:ascii="Arial" w:cs="Arial" w:eastAsia="Arial" w:hAnsi="Arial"/>
          <w:b/>
          <w:bCs/>
          <w:sz w:val="24"/>
          <w:szCs w:val="24"/>
        </w:rPr>
        <w:t xml:space="preserve">Natural history study registries: </w:t>
      </w:r>
      <w:r>
        <w:rPr>
          <w:rFonts w:ascii="Arial" w:cs="Arial" w:eastAsia="Arial" w:hAnsi="Arial"/>
          <w:sz w:val="24"/>
          <w:szCs w:val="24"/>
        </w:rPr>
        <w:t xml:space="preserve">DEE13 progression data, seizure frequency distributions, comorbidity patterns for patient stratification</w:t>
      </w:r>
    </w:p>
    <w:p>
      <w:pPr>
        <w:pStyle w:val="ListParagraph"/>
        <w:numPr>
          <w:ilvl w:val="0"/>
          <w:numId w:val="2"/>
        </w:numPr>
        <w:spacing w:after="80" w:line="360"/>
      </w:pPr>
      <w:r>
        <w:rPr>
          <w:rFonts w:ascii="Arial" w:cs="Arial" w:eastAsia="Arial" w:hAnsi="Arial"/>
          <w:b/>
          <w:bCs/>
          <w:sz w:val="24"/>
          <w:szCs w:val="24"/>
        </w:rPr>
        <w:t xml:space="preserve">Biomarker qualification frameworks: </w:t>
      </w:r>
      <w:r>
        <w:rPr>
          <w:rFonts w:ascii="Arial" w:cs="Arial" w:eastAsia="Arial" w:hAnsi="Arial"/>
          <w:sz w:val="24"/>
          <w:szCs w:val="24"/>
        </w:rPr>
        <w:t xml:space="preserve">analytical validation, clinical utility evidence, regulatory acceptance criteria for surrogate endpoints</w:t>
      </w:r>
    </w:p>
    <w:p>
      <w:pPr>
        <w:pStyle w:val="ListParagraph"/>
        <w:numPr>
          <w:ilvl w:val="0"/>
          <w:numId w:val="2"/>
        </w:numPr>
        <w:spacing w:after="100" w:line="360"/>
      </w:pPr>
      <w:r>
        <w:rPr>
          <w:rFonts w:ascii="Arial" w:cs="Arial" w:eastAsia="Arial" w:hAnsi="Arial"/>
          <w:b/>
          <w:bCs/>
          <w:sz w:val="24"/>
          <w:szCs w:val="24"/>
        </w:rPr>
        <w:t xml:space="preserve">Machine learning patient stratification: </w:t>
      </w:r>
      <w:r>
        <w:rPr>
          <w:rFonts w:ascii="Arial" w:cs="Arial" w:eastAsia="Arial" w:hAnsi="Arial"/>
          <w:sz w:val="24"/>
          <w:szCs w:val="24"/>
        </w:rPr>
        <w:t xml:space="preserve">genotype/phenotype clustering for enriched trial enrollment, responder prediction models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Design Phase IIb enriched trial: patient entry criteria (SCN8A GOF variant confirmation), ASO dosing, primary endpoint, duration</w:t>
      </w:r>
    </w:p>
    <w:p>
      <w:pPr>
        <w:pStyle w:val="ListParagraph"/>
        <w:numPr>
          <w:ilvl w:val="0"/>
          <w:numId w:val="2"/>
        </w:numPr>
        <w:spacing w:after="80" w:line="360"/>
      </w:pPr>
      <w:r>
        <w:rPr>
          <w:rFonts w:ascii="Arial" w:cs="Arial" w:eastAsia="Arial" w:hAnsi="Arial"/>
          <w:sz w:val="24"/>
          <w:szCs w:val="24"/>
        </w:rPr>
        <w:t xml:space="preserve">Identify primary endpoint: 50% seizure reduction vs. seizure freedom vs. biomarker reversal vs. developmental trajectory</w:t>
      </w:r>
    </w:p>
    <w:p>
      <w:pPr>
        <w:pStyle w:val="ListParagraph"/>
        <w:numPr>
          <w:ilvl w:val="0"/>
          <w:numId w:val="2"/>
        </w:numPr>
        <w:spacing w:after="80" w:line="360"/>
      </w:pPr>
      <w:r>
        <w:rPr>
          <w:rFonts w:ascii="Arial" w:cs="Arial" w:eastAsia="Arial" w:hAnsi="Arial"/>
          <w:sz w:val="24"/>
          <w:szCs w:val="24"/>
        </w:rPr>
        <w:t xml:space="preserve">Develop patient stratification: SCN8A variant type, seizure severity, age cohorts for enriched enrollment</w:t>
      </w:r>
    </w:p>
    <w:p>
      <w:pPr>
        <w:pStyle w:val="ListParagraph"/>
        <w:numPr>
          <w:ilvl w:val="0"/>
          <w:numId w:val="2"/>
        </w:numPr>
        <w:spacing w:after="80" w:line="360"/>
      </w:pPr>
      <w:r>
        <w:rPr>
          <w:rFonts w:ascii="Arial" w:cs="Arial" w:eastAsia="Arial" w:hAnsi="Arial"/>
          <w:sz w:val="24"/>
          <w:szCs w:val="24"/>
        </w:rPr>
        <w:t xml:space="preserve">Propose biomarkers: CSF sodium channel activity, neurodegeneration markers, EEG/imaging correlates of treatment response</w:t>
      </w:r>
    </w:p>
    <w:p>
      <w:pPr>
        <w:pStyle w:val="ListParagraph"/>
        <w:numPr>
          <w:ilvl w:val="0"/>
          <w:numId w:val="2"/>
        </w:numPr>
        <w:spacing w:after="100" w:line="360"/>
      </w:pPr>
      <w:r>
        <w:rPr>
          <w:rFonts w:ascii="Arial" w:cs="Arial" w:eastAsia="Arial" w:hAnsi="Arial"/>
          <w:sz w:val="24"/>
          <w:szCs w:val="24"/>
        </w:rPr>
        <w:t xml:space="preserve">Plan regulatory pathway: breakthrough designation rationale, surrogate endpoint justification, post-approval surveillance strategy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Phase IIb clinical trial protocol: study design, patient population, ASO dosing/schedule, primary/secondary endpoints</w:t>
      </w:r>
    </w:p>
    <w:p>
      <w:pPr>
        <w:pStyle w:val="ListParagraph"/>
        <w:numPr>
          <w:ilvl w:val="0"/>
          <w:numId w:val="2"/>
        </w:numPr>
        <w:spacing w:after="80" w:line="360"/>
      </w:pPr>
      <w:r>
        <w:rPr>
          <w:rFonts w:ascii="Arial" w:cs="Arial" w:eastAsia="Arial" w:hAnsi="Arial"/>
          <w:sz w:val="24"/>
          <w:szCs w:val="24"/>
        </w:rPr>
        <w:t xml:space="preserve">Endpoint specifications: seizure reduction definitions, composite functional scores, biomarker response criteria, safety endpoints</w:t>
      </w:r>
    </w:p>
    <w:p>
      <w:pPr>
        <w:pStyle w:val="ListParagraph"/>
        <w:numPr>
          <w:ilvl w:val="0"/>
          <w:numId w:val="2"/>
        </w:numPr>
        <w:spacing w:after="80" w:line="360"/>
      </w:pPr>
      <w:r>
        <w:rPr>
          <w:rFonts w:ascii="Arial" w:cs="Arial" w:eastAsia="Arial" w:hAnsi="Arial"/>
          <w:sz w:val="24"/>
          <w:szCs w:val="24"/>
        </w:rPr>
        <w:t xml:space="preserve">Patient stratification algorithm: genotype-based enrollment enrichment, severity-stratified randomization, baseline seizure predictors</w:t>
      </w:r>
    </w:p>
    <w:p>
      <w:pPr>
        <w:pStyle w:val="ListParagraph"/>
        <w:numPr>
          <w:ilvl w:val="0"/>
          <w:numId w:val="2"/>
        </w:numPr>
        <w:spacing w:after="80" w:line="360"/>
      </w:pPr>
      <w:r>
        <w:rPr>
          <w:rFonts w:ascii="Arial" w:cs="Arial" w:eastAsia="Arial" w:hAnsi="Arial"/>
          <w:sz w:val="24"/>
          <w:szCs w:val="24"/>
        </w:rPr>
        <w:t xml:space="preserve">Biomarker qualification dossier: CSF sampling protocols, assay validation, clinical relevance, regulatory acceptance strategy</w:t>
      </w:r>
    </w:p>
    <w:p>
      <w:pPr>
        <w:pStyle w:val="ListParagraph"/>
        <w:numPr>
          <w:ilvl w:val="0"/>
          <w:numId w:val="2"/>
        </w:numPr>
        <w:spacing w:after="80" w:line="360"/>
      </w:pPr>
      <w:r>
        <w:rPr>
          <w:rFonts w:ascii="Arial" w:cs="Arial" w:eastAsia="Arial" w:hAnsi="Arial"/>
          <w:sz w:val="24"/>
          <w:szCs w:val="24"/>
        </w:rPr>
        <w:t xml:space="preserve">Regulatory submission roadmap: breakthrough designation application, orphan drug pathway, accelerated approval justification</w:t>
      </w:r>
    </w:p>
    <w:p>
      <w:pPr>
        <w:pStyle w:val="ListParagraph"/>
        <w:numPr>
          <w:ilvl w:val="0"/>
          <w:numId w:val="2"/>
        </w:numPr>
        <w:spacing w:after="200" w:line="360"/>
      </w:pPr>
      <w:r>
        <w:rPr>
          <w:rFonts w:ascii="Arial" w:cs="Arial" w:eastAsia="Arial" w:hAnsi="Arial"/>
          <w:sz w:val="24"/>
          <w:szCs w:val="24"/>
        </w:rPr>
        <w:t xml:space="preserve">Long-term follow-up strategy: post-approval evidence generation, real-world outcomes, biomarker-driven patient monitoring protocols</w:t>
      </w:r>
    </w:p>
    <w:p>
      <w:pPr>
        <w:spacing w:after="240" w:line="360"/>
      </w:pPr>
      <w:r>
        <w:rPr>
          <w:rFonts w:ascii="Arial" w:cs="Arial" w:eastAsia="Arial" w:hAnsi="Arial"/>
          <w:b/>
          <w:bCs/>
          <w:sz w:val="24"/>
          <w:szCs w:val="24"/>
        </w:rPr>
        <w:t xml:space="preserve">Format: </w:t>
      </w:r>
      <w:r>
        <w:rPr>
          <w:rFonts w:ascii="Arial" w:cs="Arial" w:eastAsia="Arial" w:hAnsi="Arial"/>
          <w:sz w:val="24"/>
          <w:szCs w:val="24"/>
        </w:rPr>
        <w:t xml:space="preserve">Clinical trial protocol, endpoint specification tables, patient stratification algorithms, biomarker dossiers, regulatory roadmaps.</w:t>
      </w:r>
    </w:p>
    <w:p>
      <w:pPr>
        <w:pStyle w:val="Heading2"/>
        <w:spacing w:after="200" w:line="360"/>
      </w:pPr>
      <w:r>
        <w:rPr>
          <w:rFonts w:ascii="Arial" w:cs="Arial" w:eastAsia="Arial" w:hAnsi="Arial"/>
          <w:b/>
          <w:bCs/>
          <w:sz w:val="28"/>
          <w:szCs w:val="28"/>
        </w:rPr>
        <w:t xml:space="preserve">Tools &amp; Databases Summary</w:t>
      </w:r>
    </w:p>
    <w:p>
      <w:pPr>
        <w:pStyle w:val="ListParagraph"/>
        <w:numPr>
          <w:ilvl w:val="0"/>
          <w:numId w:val="2"/>
        </w:numPr>
        <w:spacing w:after="80" w:line="360"/>
      </w:pPr>
      <w:r>
        <w:rPr>
          <w:rFonts w:ascii="Arial" w:cs="Arial" w:eastAsia="Arial" w:hAnsi="Arial"/>
          <w:sz w:val="24"/>
          <w:szCs w:val="24"/>
        </w:rPr>
        <w:t xml:space="preserve">Quiver Sapphire CRISPR Atlas: 18,000 gene perturbations, 500+ EP features, sodium channel dysfunction phenotyping</w:t>
      </w:r>
    </w:p>
    <w:p>
      <w:pPr>
        <w:pStyle w:val="ListParagraph"/>
        <w:numPr>
          <w:ilvl w:val="0"/>
          <w:numId w:val="2"/>
        </w:numPr>
        <w:spacing w:after="80" w:line="360"/>
      </w:pPr>
      <w:r>
        <w:rPr>
          <w:rFonts w:ascii="Arial" w:cs="Arial" w:eastAsia="Arial" w:hAnsi="Arial"/>
          <w:sz w:val="24"/>
          <w:szCs w:val="24"/>
        </w:rPr>
        <w:t xml:space="preserve">ClinVar &amp; DECIPHER: SCN8A GOF variant pathogenicity, DEE13 associations, phenotype correlations</w:t>
      </w:r>
    </w:p>
    <w:p>
      <w:pPr>
        <w:pStyle w:val="ListParagraph"/>
        <w:numPr>
          <w:ilvl w:val="0"/>
          <w:numId w:val="2"/>
        </w:numPr>
        <w:spacing w:after="80" w:line="360"/>
      </w:pPr>
      <w:r>
        <w:rPr>
          <w:rFonts w:ascii="Arial" w:cs="Arial" w:eastAsia="Arial" w:hAnsi="Arial"/>
          <w:sz w:val="24"/>
          <w:szCs w:val="24"/>
        </w:rPr>
        <w:t xml:space="preserve">PDB &amp; RCSB: Cryo-EM sodium channel structures, variant mapping, pore/voltage sensor visualization</w:t>
      </w:r>
    </w:p>
    <w:p>
      <w:pPr>
        <w:pStyle w:val="ListParagraph"/>
        <w:numPr>
          <w:ilvl w:val="0"/>
          <w:numId w:val="2"/>
        </w:numPr>
        <w:spacing w:after="80" w:line="360"/>
      </w:pPr>
      <w:r>
        <w:rPr>
          <w:rFonts w:ascii="Arial" w:cs="Arial" w:eastAsia="Arial" w:hAnsi="Arial"/>
          <w:sz w:val="24"/>
          <w:szCs w:val="24"/>
        </w:rPr>
        <w:t xml:space="preserve">NCBI GenBank &amp; RefSeq: SCN8A mRNA sequences, transcript variants, coding/UTR region annotations</w:t>
      </w:r>
    </w:p>
    <w:p>
      <w:pPr>
        <w:pStyle w:val="ListParagraph"/>
        <w:numPr>
          <w:ilvl w:val="0"/>
          <w:numId w:val="2"/>
        </w:numPr>
        <w:spacing w:after="80" w:line="360"/>
      </w:pPr>
      <w:r>
        <w:rPr>
          <w:rFonts w:ascii="Arial" w:cs="Arial" w:eastAsia="Arial" w:hAnsi="Arial"/>
          <w:sz w:val="24"/>
          <w:szCs w:val="24"/>
        </w:rPr>
        <w:t xml:space="preserve">RNAfold, NUPACK: mRNA secondary structure prediction, ASO binding site accessibility assessment</w:t>
      </w:r>
    </w:p>
    <w:p>
      <w:pPr>
        <w:pStyle w:val="ListParagraph"/>
        <w:numPr>
          <w:ilvl w:val="0"/>
          <w:numId w:val="2"/>
        </w:numPr>
        <w:spacing w:after="80" w:line="360"/>
      </w:pPr>
      <w:r>
        <w:rPr>
          <w:rFonts w:ascii="Arial" w:cs="Arial" w:eastAsia="Arial" w:hAnsi="Arial"/>
          <w:sz w:val="24"/>
          <w:szCs w:val="24"/>
        </w:rPr>
        <w:t xml:space="preserve">ISIS Design Tools &amp; Geneblocks: Allele-specific ASO sequence design, binding affinity prediction</w:t>
      </w:r>
    </w:p>
    <w:p>
      <w:pPr>
        <w:pStyle w:val="ListParagraph"/>
        <w:numPr>
          <w:ilvl w:val="0"/>
          <w:numId w:val="2"/>
        </w:numPr>
        <w:spacing w:after="80" w:line="360"/>
      </w:pPr>
      <w:r>
        <w:rPr>
          <w:rFonts w:ascii="Arial" w:cs="Arial" w:eastAsia="Arial" w:hAnsi="Arial"/>
          <w:sz w:val="24"/>
          <w:szCs w:val="24"/>
        </w:rPr>
        <w:t xml:space="preserve">BLAST &amp; OligoWalk: Off-target binding prediction to SCN1A, SCN2A, related sodium channels</w:t>
      </w:r>
    </w:p>
    <w:p>
      <w:pPr>
        <w:pStyle w:val="ListParagraph"/>
        <w:numPr>
          <w:ilvl w:val="0"/>
          <w:numId w:val="2"/>
        </w:numPr>
        <w:spacing w:after="80" w:line="360"/>
      </w:pPr>
      <w:r>
        <w:rPr>
          <w:rFonts w:ascii="Arial" w:cs="Arial" w:eastAsia="Arial" w:hAnsi="Arial"/>
          <w:sz w:val="24"/>
          <w:szCs w:val="24"/>
        </w:rPr>
        <w:t xml:space="preserve">ASO chemistry platforms (ISIS, Lorus): Synthesis with 2'-MOE modifications, phosphorothioate backbones</w:t>
      </w:r>
    </w:p>
    <w:p>
      <w:pPr>
        <w:pStyle w:val="ListParagraph"/>
        <w:numPr>
          <w:ilvl w:val="0"/>
          <w:numId w:val="2"/>
        </w:numPr>
        <w:spacing w:after="80" w:line="360"/>
      </w:pPr>
      <w:r>
        <w:rPr>
          <w:rFonts w:ascii="Arial" w:cs="Arial" w:eastAsia="Arial" w:hAnsi="Arial"/>
          <w:sz w:val="24"/>
          <w:szCs w:val="24"/>
        </w:rPr>
        <w:t xml:space="preserve">Patch clamp &amp; microelectrode arrays: Electrophysiology validation, sodium current measurement, functional rescue assessment</w:t>
      </w:r>
    </w:p>
    <w:p>
      <w:pPr>
        <w:pStyle w:val="ListParagraph"/>
        <w:numPr>
          <w:ilvl w:val="0"/>
          <w:numId w:val="2"/>
        </w:numPr>
        <w:spacing w:after="80" w:line="360"/>
      </w:pPr>
      <w:r>
        <w:rPr>
          <w:rFonts w:ascii="Arial" w:cs="Arial" w:eastAsia="Arial" w:hAnsi="Arial"/>
          <w:sz w:val="24"/>
          <w:szCs w:val="24"/>
        </w:rPr>
        <w:t xml:space="preserve">RNA-seq platforms: Off-target transcript analysis, transcriptome-wide impact assessment</w:t>
      </w:r>
    </w:p>
    <w:p>
      <w:pPr>
        <w:pStyle w:val="ListParagraph"/>
        <w:numPr>
          <w:ilvl w:val="0"/>
          <w:numId w:val="2"/>
        </w:numPr>
        <w:spacing w:after="80" w:line="360"/>
      </w:pPr>
      <w:r>
        <w:rPr>
          <w:rFonts w:ascii="Arial" w:cs="Arial" w:eastAsia="Arial" w:hAnsi="Arial"/>
          <w:sz w:val="24"/>
          <w:szCs w:val="24"/>
        </w:rPr>
        <w:t xml:space="preserve">GLP toxicology laboratories: Acute/chronic toxicity studies, NOAEL determination, safety margin establishment</w:t>
      </w:r>
    </w:p>
    <w:p>
      <w:pPr>
        <w:pStyle w:val="ListParagraph"/>
        <w:numPr>
          <w:ilvl w:val="0"/>
          <w:numId w:val="2"/>
        </w:numPr>
        <w:spacing w:after="80" w:line="360"/>
      </w:pPr>
      <w:r>
        <w:rPr>
          <w:rFonts w:ascii="Arial" w:cs="Arial" w:eastAsia="Arial" w:hAnsi="Arial"/>
          <w:sz w:val="24"/>
          <w:szCs w:val="24"/>
        </w:rPr>
        <w:t xml:space="preserve">SCN8A GOF transgenic/knock-in mouse models: Video-EEG recording, seizure quantification, lifespan tracking</w:t>
      </w:r>
    </w:p>
    <w:p>
      <w:pPr>
        <w:pStyle w:val="ListParagraph"/>
        <w:numPr>
          <w:ilvl w:val="0"/>
          <w:numId w:val="2"/>
        </w:numPr>
        <w:spacing w:after="80" w:line="360"/>
      </w:pPr>
      <w:r>
        <w:rPr>
          <w:rFonts w:ascii="Arial" w:cs="Arial" w:eastAsia="Arial" w:hAnsi="Arial"/>
          <w:sz w:val="24"/>
          <w:szCs w:val="24"/>
        </w:rPr>
        <w:t xml:space="preserve">ClinicalTrials.gov &amp; Cortellis: Trial design templates, rare seizure disorder endpoints, regulatory precedent</w:t>
      </w:r>
    </w:p>
    <w:p>
      <w:pPr>
        <w:pStyle w:val="ListParagraph"/>
        <w:numPr>
          <w:ilvl w:val="0"/>
          <w:numId w:val="2"/>
        </w:numPr>
        <w:spacing w:after="80" w:line="360"/>
      </w:pPr>
      <w:r>
        <w:rPr>
          <w:rFonts w:ascii="Arial" w:cs="Arial" w:eastAsia="Arial" w:hAnsi="Arial"/>
          <w:sz w:val="24"/>
          <w:szCs w:val="24"/>
        </w:rPr>
        <w:t xml:space="preserve">FDA Guidance: Orphan drug designation, breakthrough therapy, accelerated approval, surrogate endpoint frameworks</w:t>
      </w:r>
    </w:p>
    <w:p>
      <w:pPr>
        <w:pStyle w:val="ListParagraph"/>
        <w:numPr>
          <w:ilvl w:val="0"/>
          <w:numId w:val="2"/>
        </w:numPr>
        <w:spacing w:after="100" w:line="360"/>
      </w:pPr>
      <w:r>
        <w:rPr>
          <w:rFonts w:ascii="Arial" w:cs="Arial" w:eastAsia="Arial" w:hAnsi="Arial"/>
          <w:sz w:val="24"/>
          <w:szCs w:val="24"/>
        </w:rPr>
        <w:t xml:space="preserve">Natural history study registries: DEE13 baseline seizure frequency, progression rates, developmental outcomes for trial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2026-03-02T16:49:58.360Z</dcterms:created>
  <dcterms:modified xsi:type="dcterms:W3CDTF">2026-03-02T16:49:58.360Z</dcterms:modified>
</cp:coreProperties>
</file>

<file path=docProps/custom.xml><?xml version="1.0" encoding="utf-8"?>
<Properties xmlns="http://schemas.openxmlformats.org/officeDocument/2006/custom-properties" xmlns:vt="http://schemas.openxmlformats.org/officeDocument/2006/docPropsVTypes"/>
</file>