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line="360"/>
      </w:pPr>
      <w:r>
        <w:rPr>
          <w:rFonts w:ascii="Arial" w:cs="Arial" w:eastAsia="Arial" w:hAnsi="Arial"/>
          <w:b/>
          <w:bCs/>
          <w:sz w:val="32"/>
          <w:szCs w:val="32"/>
        </w:rPr>
        <w:t xml:space="preserve">Sapphire Pipeline Workflow</w:t>
      </w:r>
    </w:p>
    <w:p>
      <w:pPr>
        <w:pStyle w:val="Heading2"/>
        <w:spacing w:after="200" w:before="200" w:line="360"/>
      </w:pPr>
      <w:r>
        <w:rPr>
          <w:rFonts w:ascii="Arial" w:cs="Arial" w:eastAsia="Arial" w:hAnsi="Arial"/>
          <w:b/>
          <w:bCs/>
          <w:sz w:val="28"/>
          <w:szCs w:val="28"/>
        </w:rPr>
        <w:t xml:space="preserve">Prompt: "For Rett syndrome, find mTOR-adjacent mechanisms that provide safer alternatives to rapalogs."</w:t>
      </w:r>
    </w:p>
    <w:p>
      <w:pPr>
        <w:spacing w:after="200" w:line="360"/>
      </w:pPr>
      <w:r>
        <w:rPr>
          <w:rFonts w:ascii="Arial" w:cs="Arial" w:eastAsia="Arial" w:hAnsi="Arial"/>
          <w:sz w:val="24"/>
          <w:szCs w:val="24"/>
        </w:rPr>
        <w:t xml:space="preserve">This document defines the complete Sapphire pipeline for drug discovery in Rett syndrome, focusing on identifying mTOR-adjacent mechanisms as safer alternatives to rapalogs. The pipeline leverages Quiver Bioscience's electrophysiology CRISPR atlas (~18,000 gene perturbations, ~3,500 compounds, 500+ neuronal features) to systematically dissect MECP2 biology, mTOR signaling pathways, and candidate mechanism validation.</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Rett syndrome is a severe monogenic neurological disorder caused by MECP2 (Methyl-CpG-binding protein 2) loss-of-function mutations. MECP2 encodes a transcriptional regulator that binds methylated DNA and recruits chromatin remodelers; its loss triggers widespread dysregulation of neuronal gene expression, electrophysiological dysfunction, seizures, and motor decline. Emerging evidence implicates mTOR pathway hyperactivation as a key downstream consequence of MECP2 loss, motivating mTOR inhibitor trials. However, rapalogs (allosteric mTORC1 inhibitors) carry significant clinical liabilities including immunosuppression, hyperglycemia, hepatic steatosis, and incomplete phenotype rescue due to preserved mTORC2 signaling.</w:t>
      </w:r>
    </w:p>
    <w:p>
      <w:pPr>
        <w:spacing w:after="200" w:line="360"/>
      </w:pPr>
      <w:r>
        <w:rPr>
          <w:rFonts w:ascii="Arial" w:cs="Arial" w:eastAsia="Arial" w:hAnsi="Arial"/>
          <w:sz w:val="24"/>
          <w:szCs w:val="24"/>
        </w:rPr>
        <w:t xml:space="preserve">This pipeline systematically identifies mTOR-adjacent kinases and phosphatases that modulate mTOR substrates or regulatory inputs without the off-target liabilities of rapalogs. By integrating MECP2-loss phenotypes, mTOR signaling architecture, adjacent kinase/phosphatase perturbations, and electrophysiological validation, we discover safer mechanistic alternatives with potential for reduced toxicity and improved clinical efficacy in Rett syndrome.</w:t>
      </w:r>
    </w:p>
    <w:p>
      <w:pPr>
        <w:pStyle w:val="Heading2"/>
        <w:spacing w:after="200" w:before="200" w:line="360"/>
      </w:pPr>
      <w:r>
        <w:rPr>
          <w:rFonts w:ascii="Arial" w:cs="Arial" w:eastAsia="Arial" w:hAnsi="Arial"/>
          <w:b/>
          <w:bCs/>
          <w:sz w:val="28"/>
          <w:szCs w:val="28"/>
        </w:rPr>
        <w:t xml:space="preserve">Stage 1: MECP2 Biology and Rett Syndrome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Establish baseline MECP2-loss phenotypes and downstream consequences in the electrophysiology atlas to inform mTOR-adjacent mechanism discovery.</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MECP2-perturbed neuronal electrophysiological features from Quiver EP atlas (~500+ features)</w:t>
      </w:r>
    </w:p>
    <w:p>
      <w:pPr>
        <w:pStyle w:val="ListParagraph"/>
        <w:numPr>
          <w:ilvl w:val="0"/>
          <w:numId w:val="2"/>
        </w:numPr>
        <w:spacing w:after="80" w:line="360"/>
      </w:pPr>
      <w:r>
        <w:rPr>
          <w:rFonts w:ascii="Arial" w:cs="Arial" w:eastAsia="Arial" w:hAnsi="Arial"/>
          <w:sz w:val="24"/>
          <w:szCs w:val="24"/>
        </w:rPr>
        <w:t xml:space="preserve">Rett syndrome patient-derived iPSC neuronal RNA-seq and proteomics datasets</w:t>
      </w:r>
    </w:p>
    <w:p>
      <w:pPr>
        <w:pStyle w:val="ListParagraph"/>
        <w:numPr>
          <w:ilvl w:val="0"/>
          <w:numId w:val="2"/>
        </w:numPr>
        <w:spacing w:after="80" w:line="360"/>
      </w:pPr>
      <w:r>
        <w:rPr>
          <w:rFonts w:ascii="Arial" w:cs="Arial" w:eastAsia="Arial" w:hAnsi="Arial"/>
          <w:sz w:val="24"/>
          <w:szCs w:val="24"/>
        </w:rPr>
        <w:t xml:space="preserve">MECP2 MeCP2 protein interaction network from BioGRID and STRING databases</w:t>
      </w:r>
    </w:p>
    <w:p>
      <w:pPr>
        <w:pStyle w:val="ListParagraph"/>
        <w:numPr>
          <w:ilvl w:val="0"/>
          <w:numId w:val="2"/>
        </w:numPr>
        <w:spacing w:after="80" w:line="360"/>
      </w:pPr>
      <w:r>
        <w:rPr>
          <w:rFonts w:ascii="Arial" w:cs="Arial" w:eastAsia="Arial" w:hAnsi="Arial"/>
          <w:sz w:val="24"/>
          <w:szCs w:val="24"/>
        </w:rPr>
        <w:t xml:space="preserve">Clinical phenotype correlations (seizures, motor dysfunction, respiratory abnormalities)</w:t>
      </w:r>
    </w:p>
    <w:p>
      <w:pPr>
        <w:pStyle w:val="ListParagraph"/>
        <w:numPr>
          <w:ilvl w:val="0"/>
          <w:numId w:val="2"/>
        </w:numPr>
        <w:spacing w:after="80" w:line="360"/>
      </w:pPr>
      <w:r>
        <w:rPr>
          <w:rFonts w:ascii="Arial" w:cs="Arial" w:eastAsia="Arial" w:hAnsi="Arial"/>
          <w:sz w:val="24"/>
          <w:szCs w:val="24"/>
        </w:rPr>
        <w:t xml:space="preserve">Baseline firing patterns, synaptic strength, and network topology from Rett-model neurons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Bioscience EP CRISPR Atlas: </w:t>
      </w:r>
      <w:r>
        <w:rPr>
          <w:rFonts w:ascii="Arial" w:cs="Arial" w:eastAsia="Arial" w:hAnsi="Arial"/>
          <w:sz w:val="24"/>
          <w:szCs w:val="24"/>
        </w:rPr>
        <w:t xml:space="preserve">Retrieve MECP2 KO neuronal electrophysiology phenotypes across all 500+ features</w:t>
      </w:r>
    </w:p>
    <w:p>
      <w:pPr>
        <w:pStyle w:val="ListParagraph"/>
        <w:numPr>
          <w:ilvl w:val="0"/>
          <w:numId w:val="2"/>
        </w:numPr>
        <w:spacing w:after="80" w:line="360"/>
      </w:pPr>
      <w:r>
        <w:rPr>
          <w:rFonts w:ascii="Arial" w:cs="Arial" w:eastAsia="Arial" w:hAnsi="Arial"/>
          <w:b/>
          <w:bCs/>
          <w:sz w:val="24"/>
          <w:szCs w:val="24"/>
        </w:rPr>
        <w:t xml:space="preserve">BioGRID: </w:t>
      </w:r>
      <w:r>
        <w:rPr>
          <w:rFonts w:ascii="Arial" w:cs="Arial" w:eastAsia="Arial" w:hAnsi="Arial"/>
          <w:sz w:val="24"/>
          <w:szCs w:val="24"/>
        </w:rPr>
        <w:t xml:space="preserve">Map MECP2 direct and indirect protein interactions to identify downstream effectors</w:t>
      </w:r>
    </w:p>
    <w:p>
      <w:pPr>
        <w:pStyle w:val="ListParagraph"/>
        <w:numPr>
          <w:ilvl w:val="0"/>
          <w:numId w:val="2"/>
        </w:numPr>
        <w:spacing w:after="80" w:line="360"/>
      </w:pPr>
      <w:r>
        <w:rPr>
          <w:rFonts w:ascii="Arial" w:cs="Arial" w:eastAsia="Arial" w:hAnsi="Arial"/>
          <w:b/>
          <w:bCs/>
          <w:sz w:val="24"/>
          <w:szCs w:val="24"/>
        </w:rPr>
        <w:t xml:space="preserve">STRING Database: </w:t>
      </w:r>
      <w:r>
        <w:rPr>
          <w:rFonts w:ascii="Arial" w:cs="Arial" w:eastAsia="Arial" w:hAnsi="Arial"/>
          <w:sz w:val="24"/>
          <w:szCs w:val="24"/>
        </w:rPr>
        <w:t xml:space="preserve">Construct functional interaction networks for MECP2 and co-perturbation partners</w:t>
      </w:r>
    </w:p>
    <w:p>
      <w:pPr>
        <w:pStyle w:val="ListParagraph"/>
        <w:numPr>
          <w:ilvl w:val="0"/>
          <w:numId w:val="2"/>
        </w:numPr>
        <w:spacing w:after="80" w:line="360"/>
      </w:pPr>
      <w:r>
        <w:rPr>
          <w:rFonts w:ascii="Arial" w:cs="Arial" w:eastAsia="Arial" w:hAnsi="Arial"/>
          <w:b/>
          <w:bCs/>
          <w:sz w:val="24"/>
          <w:szCs w:val="24"/>
        </w:rPr>
        <w:t xml:space="preserve">KEGG Pathway Database: </w:t>
      </w:r>
      <w:r>
        <w:rPr>
          <w:rFonts w:ascii="Arial" w:cs="Arial" w:eastAsia="Arial" w:hAnsi="Arial"/>
          <w:sz w:val="24"/>
          <w:szCs w:val="24"/>
        </w:rPr>
        <w:t xml:space="preserve">Identify canonical pathways dysregulated in MECP2-loss models</w:t>
      </w:r>
    </w:p>
    <w:p>
      <w:pPr>
        <w:pStyle w:val="ListParagraph"/>
        <w:numPr>
          <w:ilvl w:val="0"/>
          <w:numId w:val="2"/>
        </w:numPr>
        <w:spacing w:after="80" w:line="360"/>
      </w:pPr>
      <w:r>
        <w:rPr>
          <w:rFonts w:ascii="Arial" w:cs="Arial" w:eastAsia="Arial" w:hAnsi="Arial"/>
          <w:b/>
          <w:bCs/>
          <w:sz w:val="24"/>
          <w:szCs w:val="24"/>
        </w:rPr>
        <w:t xml:space="preserve">Human Protein Atlas: </w:t>
      </w:r>
      <w:r>
        <w:rPr>
          <w:rFonts w:ascii="Arial" w:cs="Arial" w:eastAsia="Arial" w:hAnsi="Arial"/>
          <w:sz w:val="24"/>
          <w:szCs w:val="24"/>
        </w:rPr>
        <w:t xml:space="preserve">Cross-reference tissue and cell-type-specific MECP2 expression patterns</w:t>
      </w:r>
    </w:p>
    <w:p>
      <w:pPr>
        <w:pStyle w:val="ListParagraph"/>
        <w:numPr>
          <w:ilvl w:val="0"/>
          <w:numId w:val="2"/>
        </w:numPr>
        <w:spacing w:after="80" w:line="360"/>
      </w:pPr>
      <w:r>
        <w:rPr>
          <w:rFonts w:ascii="Arial" w:cs="Arial" w:eastAsia="Arial" w:hAnsi="Arial"/>
          <w:b/>
          <w:bCs/>
          <w:sz w:val="24"/>
          <w:szCs w:val="24"/>
        </w:rPr>
        <w:t xml:space="preserve">GeneMANIA: </w:t>
      </w:r>
      <w:r>
        <w:rPr>
          <w:rFonts w:ascii="Arial" w:cs="Arial" w:eastAsia="Arial" w:hAnsi="Arial"/>
          <w:sz w:val="24"/>
          <w:szCs w:val="24"/>
        </w:rPr>
        <w:t xml:space="preserve">Predict functional gene modules co-regulated with MECP2 across neuronal subtypes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What are the top 20 most significantly dysregulated electrophysiological features in MECP2-KO neurons?</w:t>
      </w:r>
    </w:p>
    <w:p>
      <w:pPr>
        <w:pStyle w:val="ListParagraph"/>
        <w:numPr>
          <w:ilvl w:val="0"/>
          <w:numId w:val="2"/>
        </w:numPr>
        <w:spacing w:after="80" w:line="360"/>
      </w:pPr>
      <w:r>
        <w:rPr>
          <w:rFonts w:ascii="Arial" w:cs="Arial" w:eastAsia="Arial" w:hAnsi="Arial"/>
          <w:sz w:val="24"/>
          <w:szCs w:val="24"/>
        </w:rPr>
        <w:t xml:space="preserve">Which genes show strongest co-perturbation phenotypes with MECP2 loss in the atlas?</w:t>
      </w:r>
    </w:p>
    <w:p>
      <w:pPr>
        <w:pStyle w:val="ListParagraph"/>
        <w:numPr>
          <w:ilvl w:val="0"/>
          <w:numId w:val="2"/>
        </w:numPr>
        <w:spacing w:after="80" w:line="360"/>
      </w:pPr>
      <w:r>
        <w:rPr>
          <w:rFonts w:ascii="Arial" w:cs="Arial" w:eastAsia="Arial" w:hAnsi="Arial"/>
          <w:sz w:val="24"/>
          <w:szCs w:val="24"/>
        </w:rPr>
        <w:t xml:space="preserve">How do seizure-like burst patterns manifest in MECP2-deficient neuronal networks?</w:t>
      </w:r>
    </w:p>
    <w:p>
      <w:pPr>
        <w:pStyle w:val="ListParagraph"/>
        <w:numPr>
          <w:ilvl w:val="0"/>
          <w:numId w:val="2"/>
        </w:numPr>
        <w:spacing w:after="80" w:line="360"/>
      </w:pPr>
      <w:r>
        <w:rPr>
          <w:rFonts w:ascii="Arial" w:cs="Arial" w:eastAsia="Arial" w:hAnsi="Arial"/>
          <w:sz w:val="24"/>
          <w:szCs w:val="24"/>
        </w:rPr>
        <w:t xml:space="preserve">Which transcription factors and chromatin remodelers interact with MECP2?</w:t>
      </w:r>
    </w:p>
    <w:p>
      <w:pPr>
        <w:pStyle w:val="ListParagraph"/>
        <w:numPr>
          <w:ilvl w:val="0"/>
          <w:numId w:val="2"/>
        </w:numPr>
        <w:spacing w:after="80" w:line="360"/>
      </w:pPr>
      <w:r>
        <w:rPr>
          <w:rFonts w:ascii="Arial" w:cs="Arial" w:eastAsia="Arial" w:hAnsi="Arial"/>
          <w:sz w:val="24"/>
          <w:szCs w:val="24"/>
        </w:rPr>
        <w:t xml:space="preserve">What are the cell-type-specific consequences of MECP2 loss across excitatory, inhibitory, and glial populations?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Quantified electrophysiological feature changes (e.g., resting membrane potential, action potential threshold, burst frequency)</w:t>
      </w:r>
    </w:p>
    <w:p>
      <w:pPr>
        <w:pStyle w:val="ListParagraph"/>
        <w:numPr>
          <w:ilvl w:val="0"/>
          <w:numId w:val="2"/>
        </w:numPr>
        <w:spacing w:after="80" w:line="360"/>
      </w:pPr>
      <w:r>
        <w:rPr>
          <w:rFonts w:ascii="Arial" w:cs="Arial" w:eastAsia="Arial" w:hAnsi="Arial"/>
          <w:sz w:val="24"/>
          <w:szCs w:val="24"/>
        </w:rPr>
        <w:t xml:space="preserve">MECP2 interactome map with interaction confidence scores and validation evidence</w:t>
      </w:r>
    </w:p>
    <w:p>
      <w:pPr>
        <w:pStyle w:val="ListParagraph"/>
        <w:numPr>
          <w:ilvl w:val="0"/>
          <w:numId w:val="2"/>
        </w:numPr>
        <w:spacing w:after="80" w:line="360"/>
      </w:pPr>
      <w:r>
        <w:rPr>
          <w:rFonts w:ascii="Arial" w:cs="Arial" w:eastAsia="Arial" w:hAnsi="Arial"/>
          <w:sz w:val="24"/>
          <w:szCs w:val="24"/>
        </w:rPr>
        <w:t xml:space="preserve">Pathway enrichment analysis identifying top dysregulated canonical signaling cascades</w:t>
      </w:r>
    </w:p>
    <w:p>
      <w:pPr>
        <w:pStyle w:val="ListParagraph"/>
        <w:numPr>
          <w:ilvl w:val="0"/>
          <w:numId w:val="2"/>
        </w:numPr>
        <w:spacing w:after="80" w:line="360"/>
      </w:pPr>
      <w:r>
        <w:rPr>
          <w:rFonts w:ascii="Arial" w:cs="Arial" w:eastAsia="Arial" w:hAnsi="Arial"/>
          <w:sz w:val="24"/>
          <w:szCs w:val="24"/>
        </w:rPr>
        <w:t xml:space="preserve">Seizure susceptibility metrics derived from network burst properties</w:t>
      </w:r>
    </w:p>
    <w:p>
      <w:pPr>
        <w:pStyle w:val="ListParagraph"/>
        <w:numPr>
          <w:ilvl w:val="0"/>
          <w:numId w:val="2"/>
        </w:numPr>
        <w:spacing w:after="80" w:line="360"/>
      </w:pPr>
      <w:r>
        <w:rPr>
          <w:rFonts w:ascii="Arial" w:cs="Arial" w:eastAsia="Arial" w:hAnsi="Arial"/>
          <w:sz w:val="24"/>
          <w:szCs w:val="24"/>
        </w:rPr>
        <w:t xml:space="preserve">Cell-type stratification of MECP2 effects across neuronal populations</w:t>
      </w:r>
    </w:p>
    <w:p>
      <w:pPr>
        <w:pStyle w:val="ListParagraph"/>
        <w:numPr>
          <w:ilvl w:val="0"/>
          <w:numId w:val="2"/>
        </w:numPr>
        <w:spacing w:after="80" w:line="360"/>
      </w:pPr>
      <w:r>
        <w:rPr>
          <w:rFonts w:ascii="Arial" w:cs="Arial" w:eastAsia="Arial" w:hAnsi="Arial"/>
          <w:sz w:val="24"/>
          <w:szCs w:val="24"/>
        </w:rPr>
        <w:t xml:space="preserve">Clinical-to-molecular phenotype correlation matrix (seizures, motor, respiratory to EP features)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Tabular data with feature z-scores, interaction network graph (JSON), enrichment p-values, and feature heatmaps.</w:t>
      </w:r>
    </w:p>
    <w:p>
      <w:pPr>
        <w:pStyle w:val="Heading2"/>
        <w:spacing w:after="200" w:before="200" w:line="360"/>
      </w:pPr>
      <w:r>
        <w:rPr>
          <w:rFonts w:ascii="Arial" w:cs="Arial" w:eastAsia="Arial" w:hAnsi="Arial"/>
          <w:b/>
          <w:bCs/>
          <w:sz w:val="28"/>
          <w:szCs w:val="28"/>
        </w:rPr>
        <w:t xml:space="preserve">Stage 2: mTOR Signaling Pathway Dissection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map mTOR complex 1 &amp; 2 (mTORC1/C2) signaling branches and identify MECP2-mTOR mechanistic links to establish rationale for pathway modulation.</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mTORC1 and mTORC2 component perturbations from Quiver EP atlas (MTOR, RPTOR, RICTOR, TSC1/2, PTEN, etc.)</w:t>
      </w:r>
    </w:p>
    <w:p>
      <w:pPr>
        <w:pStyle w:val="ListParagraph"/>
        <w:numPr>
          <w:ilvl w:val="0"/>
          <w:numId w:val="2"/>
        </w:numPr>
        <w:spacing w:after="80" w:line="360"/>
      </w:pPr>
      <w:r>
        <w:rPr>
          <w:rFonts w:ascii="Arial" w:cs="Arial" w:eastAsia="Arial" w:hAnsi="Arial"/>
          <w:sz w:val="24"/>
          <w:szCs w:val="24"/>
        </w:rPr>
        <w:t xml:space="preserve">Phospho-proteomic datasets showing MECP2-loss-induced changes in mTOR substrate phosphorylation</w:t>
      </w:r>
    </w:p>
    <w:p>
      <w:pPr>
        <w:pStyle w:val="ListParagraph"/>
        <w:numPr>
          <w:ilvl w:val="0"/>
          <w:numId w:val="2"/>
        </w:numPr>
        <w:spacing w:after="80" w:line="360"/>
      </w:pPr>
      <w:r>
        <w:rPr>
          <w:rFonts w:ascii="Arial" w:cs="Arial" w:eastAsia="Arial" w:hAnsi="Arial"/>
          <w:sz w:val="24"/>
          <w:szCs w:val="24"/>
        </w:rPr>
        <w:t xml:space="preserve">mTOR inhibitor (rapamycin, torin1, pp242) dose-response EP profiles from Quiver compound library</w:t>
      </w:r>
    </w:p>
    <w:p>
      <w:pPr>
        <w:pStyle w:val="ListParagraph"/>
        <w:numPr>
          <w:ilvl w:val="0"/>
          <w:numId w:val="2"/>
        </w:numPr>
        <w:spacing w:after="80" w:line="360"/>
      </w:pPr>
      <w:r>
        <w:rPr>
          <w:rFonts w:ascii="Arial" w:cs="Arial" w:eastAsia="Arial" w:hAnsi="Arial"/>
          <w:sz w:val="24"/>
          <w:szCs w:val="24"/>
        </w:rPr>
        <w:t xml:space="preserve">Known rapalog toxicity profiles (immunosuppression, steatosis, hyperglycemia mechanisms)</w:t>
      </w:r>
    </w:p>
    <w:p>
      <w:pPr>
        <w:pStyle w:val="ListParagraph"/>
        <w:numPr>
          <w:ilvl w:val="0"/>
          <w:numId w:val="2"/>
        </w:numPr>
        <w:spacing w:after="80" w:line="360"/>
      </w:pPr>
      <w:r>
        <w:rPr>
          <w:rFonts w:ascii="Arial" w:cs="Arial" w:eastAsia="Arial" w:hAnsi="Arial"/>
          <w:sz w:val="24"/>
          <w:szCs w:val="24"/>
        </w:rPr>
        <w:t xml:space="preserve">Upstream kinase input data (PI3K/AKT, LKB1/AMPK, GATOR complexes)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Compound Perturbation Library: </w:t>
      </w:r>
      <w:r>
        <w:rPr>
          <w:rFonts w:ascii="Arial" w:cs="Arial" w:eastAsia="Arial" w:hAnsi="Arial"/>
          <w:sz w:val="24"/>
          <w:szCs w:val="24"/>
        </w:rPr>
        <w:t xml:space="preserve">Screen mTOR inhibitors and pathway modulators against MECP2-KO phenotypes</w:t>
      </w:r>
    </w:p>
    <w:p>
      <w:pPr>
        <w:pStyle w:val="ListParagraph"/>
        <w:numPr>
          <w:ilvl w:val="0"/>
          <w:numId w:val="2"/>
        </w:numPr>
        <w:spacing w:after="80" w:line="360"/>
      </w:pPr>
      <w:r>
        <w:rPr>
          <w:rFonts w:ascii="Arial" w:cs="Arial" w:eastAsia="Arial" w:hAnsi="Arial"/>
          <w:b/>
          <w:bCs/>
          <w:sz w:val="24"/>
          <w:szCs w:val="24"/>
        </w:rPr>
        <w:t xml:space="preserve">PhosphoSitePlus: </w:t>
      </w:r>
      <w:r>
        <w:rPr>
          <w:rFonts w:ascii="Arial" w:cs="Arial" w:eastAsia="Arial" w:hAnsi="Arial"/>
          <w:sz w:val="24"/>
          <w:szCs w:val="24"/>
        </w:rPr>
        <w:t xml:space="preserve">Retrieve comprehensive phosphorylation site data for mTOR substrates and pathway intermediates</w:t>
      </w:r>
    </w:p>
    <w:p>
      <w:pPr>
        <w:pStyle w:val="ListParagraph"/>
        <w:numPr>
          <w:ilvl w:val="0"/>
          <w:numId w:val="2"/>
        </w:numPr>
        <w:spacing w:after="80" w:line="360"/>
      </w:pPr>
      <w:r>
        <w:rPr>
          <w:rFonts w:ascii="Arial" w:cs="Arial" w:eastAsia="Arial" w:hAnsi="Arial"/>
          <w:b/>
          <w:bCs/>
          <w:sz w:val="24"/>
          <w:szCs w:val="24"/>
        </w:rPr>
        <w:t xml:space="preserve">SIGNOR: </w:t>
      </w:r>
      <w:r>
        <w:rPr>
          <w:rFonts w:ascii="Arial" w:cs="Arial" w:eastAsia="Arial" w:hAnsi="Arial"/>
          <w:sz w:val="24"/>
          <w:szCs w:val="24"/>
        </w:rPr>
        <w:t xml:space="preserve">Map signal transduction networks for mTORC1 and mTORC2 compartmentalization and substrate selectivity</w:t>
      </w:r>
    </w:p>
    <w:p>
      <w:pPr>
        <w:pStyle w:val="ListParagraph"/>
        <w:numPr>
          <w:ilvl w:val="0"/>
          <w:numId w:val="2"/>
        </w:numPr>
        <w:spacing w:after="80" w:line="360"/>
      </w:pPr>
      <w:r>
        <w:rPr>
          <w:rFonts w:ascii="Arial" w:cs="Arial" w:eastAsia="Arial" w:hAnsi="Arial"/>
          <w:b/>
          <w:bCs/>
          <w:sz w:val="24"/>
          <w:szCs w:val="24"/>
        </w:rPr>
        <w:t xml:space="preserve">Reactome: </w:t>
      </w:r>
      <w:r>
        <w:rPr>
          <w:rFonts w:ascii="Arial" w:cs="Arial" w:eastAsia="Arial" w:hAnsi="Arial"/>
          <w:sz w:val="24"/>
          <w:szCs w:val="24"/>
        </w:rPr>
        <w:t xml:space="preserve">Query mTOR pathway topologies, feedback loops, and tissue-specific regulation</w:t>
      </w:r>
    </w:p>
    <w:p>
      <w:pPr>
        <w:pStyle w:val="ListParagraph"/>
        <w:numPr>
          <w:ilvl w:val="0"/>
          <w:numId w:val="2"/>
        </w:numPr>
        <w:spacing w:after="80" w:line="360"/>
      </w:pPr>
      <w:r>
        <w:rPr>
          <w:rFonts w:ascii="Arial" w:cs="Arial" w:eastAsia="Arial" w:hAnsi="Arial"/>
          <w:b/>
          <w:bCs/>
          <w:sz w:val="24"/>
          <w:szCs w:val="24"/>
        </w:rPr>
        <w:t xml:space="preserve">DrugBank &amp; ChEMBL: </w:t>
      </w:r>
      <w:r>
        <w:rPr>
          <w:rFonts w:ascii="Arial" w:cs="Arial" w:eastAsia="Arial" w:hAnsi="Arial"/>
          <w:sz w:val="24"/>
          <w:szCs w:val="24"/>
        </w:rPr>
        <w:t xml:space="preserve">Collate mTOR-targeting compounds with off-target kinase profiles and clinical outcomes</w:t>
      </w:r>
    </w:p>
    <w:p>
      <w:pPr>
        <w:pStyle w:val="ListParagraph"/>
        <w:numPr>
          <w:ilvl w:val="0"/>
          <w:numId w:val="2"/>
        </w:numPr>
        <w:spacing w:after="80" w:line="360"/>
      </w:pPr>
      <w:r>
        <w:rPr>
          <w:rFonts w:ascii="Arial" w:cs="Arial" w:eastAsia="Arial" w:hAnsi="Arial"/>
          <w:b/>
          <w:bCs/>
          <w:sz w:val="24"/>
          <w:szCs w:val="24"/>
        </w:rPr>
        <w:t xml:space="preserve">PubChem: </w:t>
      </w:r>
      <w:r>
        <w:rPr>
          <w:rFonts w:ascii="Arial" w:cs="Arial" w:eastAsia="Arial" w:hAnsi="Arial"/>
          <w:sz w:val="24"/>
          <w:szCs w:val="24"/>
        </w:rPr>
        <w:t xml:space="preserve">Retrieve chemical structures and assay data for mTOR pathway modulators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How do MECP2-loss phenotypes correlate with mTORC1 vs. mTORC2 hyperactivation signatures?</w:t>
      </w:r>
    </w:p>
    <w:p>
      <w:pPr>
        <w:pStyle w:val="ListParagraph"/>
        <w:numPr>
          <w:ilvl w:val="0"/>
          <w:numId w:val="2"/>
        </w:numPr>
        <w:spacing w:after="80" w:line="360"/>
      </w:pPr>
      <w:r>
        <w:rPr>
          <w:rFonts w:ascii="Arial" w:cs="Arial" w:eastAsia="Arial" w:hAnsi="Arial"/>
          <w:sz w:val="24"/>
          <w:szCs w:val="24"/>
        </w:rPr>
        <w:t xml:space="preserve">Which mTOR pathway branches (nutrient sensing, growth factor signaling, stress responses) are most dysregulated?</w:t>
      </w:r>
    </w:p>
    <w:p>
      <w:pPr>
        <w:pStyle w:val="ListParagraph"/>
        <w:numPr>
          <w:ilvl w:val="0"/>
          <w:numId w:val="2"/>
        </w:numPr>
        <w:spacing w:after="80" w:line="360"/>
      </w:pPr>
      <w:r>
        <w:rPr>
          <w:rFonts w:ascii="Arial" w:cs="Arial" w:eastAsia="Arial" w:hAnsi="Arial"/>
          <w:sz w:val="24"/>
          <w:szCs w:val="24"/>
        </w:rPr>
        <w:t xml:space="preserve">What are the compartment-specific mTOR effects (soma vs. axon vs. dendritic spine)?</w:t>
      </w:r>
    </w:p>
    <w:p>
      <w:pPr>
        <w:pStyle w:val="ListParagraph"/>
        <w:numPr>
          <w:ilvl w:val="0"/>
          <w:numId w:val="2"/>
        </w:numPr>
        <w:spacing w:after="80" w:line="360"/>
      </w:pPr>
      <w:r>
        <w:rPr>
          <w:rFonts w:ascii="Arial" w:cs="Arial" w:eastAsia="Arial" w:hAnsi="Arial"/>
          <w:sz w:val="24"/>
          <w:szCs w:val="24"/>
        </w:rPr>
        <w:t xml:space="preserve">How do rapamycin side effects manifest in EP features, and can these be stratified from therapeutic effects?</w:t>
      </w:r>
    </w:p>
    <w:p>
      <w:pPr>
        <w:pStyle w:val="ListParagraph"/>
        <w:numPr>
          <w:ilvl w:val="0"/>
          <w:numId w:val="2"/>
        </w:numPr>
        <w:spacing w:after="80" w:line="360"/>
      </w:pPr>
      <w:r>
        <w:rPr>
          <w:rFonts w:ascii="Arial" w:cs="Arial" w:eastAsia="Arial" w:hAnsi="Arial"/>
          <w:sz w:val="24"/>
          <w:szCs w:val="24"/>
        </w:rPr>
        <w:t xml:space="preserve">Which feedback loops in the mTOR pathway might compensate for rapalog treatment?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mTORC1 and mTORC2 activation maps with pathway branch-specific readouts (S6K, 4E-BP1, PKC, GSK3 phosphorylation)</w:t>
      </w:r>
    </w:p>
    <w:p>
      <w:pPr>
        <w:pStyle w:val="ListParagraph"/>
        <w:numPr>
          <w:ilvl w:val="0"/>
          <w:numId w:val="2"/>
        </w:numPr>
        <w:spacing w:after="80" w:line="360"/>
      </w:pPr>
      <w:r>
        <w:rPr>
          <w:rFonts w:ascii="Arial" w:cs="Arial" w:eastAsia="Arial" w:hAnsi="Arial"/>
          <w:sz w:val="24"/>
          <w:szCs w:val="24"/>
        </w:rPr>
        <w:t xml:space="preserve">MECP2-mTOR mechanistic pathway diagram with quantified flux changes</w:t>
      </w:r>
    </w:p>
    <w:p>
      <w:pPr>
        <w:pStyle w:val="ListParagraph"/>
        <w:numPr>
          <w:ilvl w:val="0"/>
          <w:numId w:val="2"/>
        </w:numPr>
        <w:spacing w:after="80" w:line="360"/>
      </w:pPr>
      <w:r>
        <w:rPr>
          <w:rFonts w:ascii="Arial" w:cs="Arial" w:eastAsia="Arial" w:hAnsi="Arial"/>
          <w:sz w:val="24"/>
          <w:szCs w:val="24"/>
        </w:rPr>
        <w:t xml:space="preserve">Rapalog toxicity mechanisms mapped to off-target kinases and tissue-specific effects</w:t>
      </w:r>
    </w:p>
    <w:p>
      <w:pPr>
        <w:pStyle w:val="ListParagraph"/>
        <w:numPr>
          <w:ilvl w:val="0"/>
          <w:numId w:val="2"/>
        </w:numPr>
        <w:spacing w:after="80" w:line="360"/>
      </w:pPr>
      <w:r>
        <w:rPr>
          <w:rFonts w:ascii="Arial" w:cs="Arial" w:eastAsia="Arial" w:hAnsi="Arial"/>
          <w:sz w:val="24"/>
          <w:szCs w:val="24"/>
        </w:rPr>
        <w:t xml:space="preserve">Dose-response curves for mTOR pathway components in MECP2-KO neurons</w:t>
      </w:r>
    </w:p>
    <w:p>
      <w:pPr>
        <w:pStyle w:val="ListParagraph"/>
        <w:numPr>
          <w:ilvl w:val="0"/>
          <w:numId w:val="2"/>
        </w:numPr>
        <w:spacing w:after="80" w:line="360"/>
      </w:pPr>
      <w:r>
        <w:rPr>
          <w:rFonts w:ascii="Arial" w:cs="Arial" w:eastAsia="Arial" w:hAnsi="Arial"/>
          <w:sz w:val="24"/>
          <w:szCs w:val="24"/>
        </w:rPr>
        <w:t xml:space="preserve">Feedback loop predictions and compensatory pathway activations</w:t>
      </w:r>
    </w:p>
    <w:p>
      <w:pPr>
        <w:pStyle w:val="ListParagraph"/>
        <w:numPr>
          <w:ilvl w:val="0"/>
          <w:numId w:val="2"/>
        </w:numPr>
        <w:spacing w:after="80" w:line="360"/>
      </w:pPr>
      <w:r>
        <w:rPr>
          <w:rFonts w:ascii="Arial" w:cs="Arial" w:eastAsia="Arial" w:hAnsi="Arial"/>
          <w:sz w:val="24"/>
          <w:szCs w:val="24"/>
        </w:rPr>
        <w:t xml:space="preserve">Temporal dynamics of mTOR signaling changes (acute vs. chronic rapalog exposure)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Pathway diagrams (SVG), phosphorylation z-score heatmaps, dose-response curves (CSV), kinetic modeling predictions.</w:t>
      </w:r>
    </w:p>
    <w:p>
      <w:pPr>
        <w:pStyle w:val="Heading2"/>
        <w:spacing w:after="200" w:before="200" w:line="360"/>
      </w:pPr>
      <w:r>
        <w:rPr>
          <w:rFonts w:ascii="Arial" w:cs="Arial" w:eastAsia="Arial" w:hAnsi="Arial"/>
          <w:b/>
          <w:bCs/>
          <w:sz w:val="28"/>
          <w:szCs w:val="28"/>
        </w:rPr>
        <w:t xml:space="preserve">Stage 3: Adjacent Kinase and Phosphatase Identification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mTOR-adjacent kinases and phosphatases that modulate mTOR substrates or upstream regulators with minimal off-target toxicity, representing safer alternatives.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mTOR substrate and regulatory kinase perturbation data from Quiver atlas (PIK3CA, AKT1/2, MAPK3/1, etc.)</w:t>
      </w:r>
    </w:p>
    <w:p>
      <w:pPr>
        <w:pStyle w:val="ListParagraph"/>
        <w:numPr>
          <w:ilvl w:val="0"/>
          <w:numId w:val="2"/>
        </w:numPr>
        <w:spacing w:after="80" w:line="360"/>
      </w:pPr>
      <w:r>
        <w:rPr>
          <w:rFonts w:ascii="Arial" w:cs="Arial" w:eastAsia="Arial" w:hAnsi="Arial"/>
          <w:sz w:val="24"/>
          <w:szCs w:val="24"/>
        </w:rPr>
        <w:t xml:space="preserve">mTOR phosphatase perturbations (PP2A, PTEN, DGK subtypes) with EP phenotype outputs</w:t>
      </w:r>
    </w:p>
    <w:p>
      <w:pPr>
        <w:pStyle w:val="ListParagraph"/>
        <w:numPr>
          <w:ilvl w:val="0"/>
          <w:numId w:val="2"/>
        </w:numPr>
        <w:spacing w:after="80" w:line="360"/>
      </w:pPr>
      <w:r>
        <w:rPr>
          <w:rFonts w:ascii="Arial" w:cs="Arial" w:eastAsia="Arial" w:hAnsi="Arial"/>
          <w:sz w:val="24"/>
          <w:szCs w:val="24"/>
        </w:rPr>
        <w:t xml:space="preserve">Kinase inhibitor selectivity profiles from Kinase Assay Database (promiscuity scoring)</w:t>
      </w:r>
    </w:p>
    <w:p>
      <w:pPr>
        <w:pStyle w:val="ListParagraph"/>
        <w:numPr>
          <w:ilvl w:val="0"/>
          <w:numId w:val="2"/>
        </w:numPr>
        <w:spacing w:after="80" w:line="360"/>
      </w:pPr>
      <w:r>
        <w:rPr>
          <w:rFonts w:ascii="Arial" w:cs="Arial" w:eastAsia="Arial" w:hAnsi="Arial"/>
          <w:sz w:val="24"/>
          <w:szCs w:val="24"/>
        </w:rPr>
        <w:t xml:space="preserve">Clinical toxicity databases for kinase inhibitors (liver, immune, metabolic toxicities)</w:t>
      </w:r>
    </w:p>
    <w:p>
      <w:pPr>
        <w:pStyle w:val="ListParagraph"/>
        <w:numPr>
          <w:ilvl w:val="0"/>
          <w:numId w:val="2"/>
        </w:numPr>
        <w:spacing w:after="80" w:line="360"/>
      </w:pPr>
      <w:r>
        <w:rPr>
          <w:rFonts w:ascii="Arial" w:cs="Arial" w:eastAsia="Arial" w:hAnsi="Arial"/>
          <w:sz w:val="24"/>
          <w:szCs w:val="24"/>
        </w:rPr>
        <w:t xml:space="preserve">MECP2-mTOR mechanistic link quantification from Stage 2</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EP CRISPR Atlas: </w:t>
      </w:r>
      <w:r>
        <w:rPr>
          <w:rFonts w:ascii="Arial" w:cs="Arial" w:eastAsia="Arial" w:hAnsi="Arial"/>
          <w:sz w:val="24"/>
          <w:szCs w:val="24"/>
        </w:rPr>
        <w:t xml:space="preserve">Query kinase and phosphatase perturbations directly neighboring mTOR in functional networks</w:t>
      </w:r>
    </w:p>
    <w:p>
      <w:pPr>
        <w:pStyle w:val="ListParagraph"/>
        <w:numPr>
          <w:ilvl w:val="0"/>
          <w:numId w:val="2"/>
        </w:numPr>
        <w:spacing w:after="80" w:line="360"/>
      </w:pPr>
      <w:r>
        <w:rPr>
          <w:rFonts w:ascii="Arial" w:cs="Arial" w:eastAsia="Arial" w:hAnsi="Arial"/>
          <w:b/>
          <w:bCs/>
          <w:sz w:val="24"/>
          <w:szCs w:val="24"/>
        </w:rPr>
        <w:t xml:space="preserve">Kinase Assay Database: </w:t>
      </w:r>
      <w:r>
        <w:rPr>
          <w:rFonts w:ascii="Arial" w:cs="Arial" w:eastAsia="Arial" w:hAnsi="Arial"/>
          <w:sz w:val="24"/>
          <w:szCs w:val="24"/>
        </w:rPr>
        <w:t xml:space="preserve">Cross-reference selectivity profiles and off-target kinase interactions for all candidate modulators</w:t>
      </w:r>
    </w:p>
    <w:p>
      <w:pPr>
        <w:pStyle w:val="ListParagraph"/>
        <w:numPr>
          <w:ilvl w:val="0"/>
          <w:numId w:val="2"/>
        </w:numPr>
        <w:spacing w:after="80" w:line="360"/>
      </w:pPr>
      <w:r>
        <w:rPr>
          <w:rFonts w:ascii="Arial" w:cs="Arial" w:eastAsia="Arial" w:hAnsi="Arial"/>
          <w:b/>
          <w:bCs/>
          <w:sz w:val="24"/>
          <w:szCs w:val="24"/>
        </w:rPr>
        <w:t xml:space="preserve">NCBI Gene2Diseases: </w:t>
      </w:r>
      <w:r>
        <w:rPr>
          <w:rFonts w:ascii="Arial" w:cs="Arial" w:eastAsia="Arial" w:hAnsi="Arial"/>
          <w:sz w:val="24"/>
          <w:szCs w:val="24"/>
        </w:rPr>
        <w:t xml:space="preserve">Identify genetic and pharmacological mTOR alternatives linked to neurological phenotypes</w:t>
      </w:r>
    </w:p>
    <w:p>
      <w:pPr>
        <w:pStyle w:val="ListParagraph"/>
        <w:numPr>
          <w:ilvl w:val="0"/>
          <w:numId w:val="2"/>
        </w:numPr>
        <w:spacing w:after="80" w:line="360"/>
      </w:pPr>
      <w:r>
        <w:rPr>
          <w:rFonts w:ascii="Arial" w:cs="Arial" w:eastAsia="Arial" w:hAnsi="Arial"/>
          <w:b/>
          <w:bCs/>
          <w:sz w:val="24"/>
          <w:szCs w:val="24"/>
        </w:rPr>
        <w:t xml:space="preserve">UniProt PTM Browser: </w:t>
      </w:r>
      <w:r>
        <w:rPr>
          <w:rFonts w:ascii="Arial" w:cs="Arial" w:eastAsia="Arial" w:hAnsi="Arial"/>
          <w:sz w:val="24"/>
          <w:szCs w:val="24"/>
        </w:rPr>
        <w:t xml:space="preserve">Map phosphorylation sites and kinase specificity for mTOR substrates (S6, 4E-BP, PRAS40, etc.)</w:t>
      </w:r>
    </w:p>
    <w:p>
      <w:pPr>
        <w:pStyle w:val="ListParagraph"/>
        <w:numPr>
          <w:ilvl w:val="0"/>
          <w:numId w:val="2"/>
        </w:numPr>
        <w:spacing w:after="80" w:line="360"/>
      </w:pPr>
      <w:r>
        <w:rPr>
          <w:rFonts w:ascii="Arial" w:cs="Arial" w:eastAsia="Arial" w:hAnsi="Arial"/>
          <w:b/>
          <w:bCs/>
          <w:sz w:val="24"/>
          <w:szCs w:val="24"/>
        </w:rPr>
        <w:t xml:space="preserve">PDBe: </w:t>
      </w:r>
      <w:r>
        <w:rPr>
          <w:rFonts w:ascii="Arial" w:cs="Arial" w:eastAsia="Arial" w:hAnsi="Arial"/>
          <w:sz w:val="24"/>
          <w:szCs w:val="24"/>
        </w:rPr>
        <w:t xml:space="preserve">Retrieve structural data for kinase domains to predict selectivity for adjacent kinase inhibitors</w:t>
      </w:r>
    </w:p>
    <w:p>
      <w:pPr>
        <w:pStyle w:val="ListParagraph"/>
        <w:numPr>
          <w:ilvl w:val="0"/>
          <w:numId w:val="2"/>
        </w:numPr>
        <w:spacing w:after="80" w:line="360"/>
      </w:pPr>
      <w:r>
        <w:rPr>
          <w:rFonts w:ascii="Arial" w:cs="Arial" w:eastAsia="Arial" w:hAnsi="Arial"/>
          <w:b/>
          <w:bCs/>
          <w:sz w:val="24"/>
          <w:szCs w:val="24"/>
        </w:rPr>
        <w:t xml:space="preserve">Clinical Trials DB: </w:t>
      </w:r>
      <w:r>
        <w:rPr>
          <w:rFonts w:ascii="Arial" w:cs="Arial" w:eastAsia="Arial" w:hAnsi="Arial"/>
          <w:sz w:val="24"/>
          <w:szCs w:val="24"/>
        </w:rPr>
        <w:t xml:space="preserve">Search for kinase inhibitors in neurological disease trials with safety/efficacy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kinases upstream of mTORC1 (PI3K, AKT, AMPK kinases) show non-overlapping phenotypes with mTOR itself?</w:t>
      </w:r>
    </w:p>
    <w:p>
      <w:pPr>
        <w:pStyle w:val="ListParagraph"/>
        <w:numPr>
          <w:ilvl w:val="0"/>
          <w:numId w:val="2"/>
        </w:numPr>
        <w:spacing w:after="80" w:line="360"/>
      </w:pPr>
      <w:r>
        <w:rPr>
          <w:rFonts w:ascii="Arial" w:cs="Arial" w:eastAsia="Arial" w:hAnsi="Arial"/>
          <w:sz w:val="24"/>
          <w:szCs w:val="24"/>
        </w:rPr>
        <w:t xml:space="preserve">What are the specificity profiles for kinase inhibitors targeting MECP2-adjacent mechanisms?</w:t>
      </w:r>
    </w:p>
    <w:p>
      <w:pPr>
        <w:pStyle w:val="ListParagraph"/>
        <w:numPr>
          <w:ilvl w:val="0"/>
          <w:numId w:val="2"/>
        </w:numPr>
        <w:spacing w:after="80" w:line="360"/>
      </w:pPr>
      <w:r>
        <w:rPr>
          <w:rFonts w:ascii="Arial" w:cs="Arial" w:eastAsia="Arial" w:hAnsi="Arial"/>
          <w:sz w:val="24"/>
          <w:szCs w:val="24"/>
        </w:rPr>
        <w:t xml:space="preserve">Which mTOR phosphatases (PP2A catalytic/regulatory subunits, PTEN variants) are neuroprotective?</w:t>
      </w:r>
    </w:p>
    <w:p>
      <w:pPr>
        <w:pStyle w:val="ListParagraph"/>
        <w:numPr>
          <w:ilvl w:val="0"/>
          <w:numId w:val="2"/>
        </w:numPr>
        <w:spacing w:after="80" w:line="360"/>
      </w:pPr>
      <w:r>
        <w:rPr>
          <w:rFonts w:ascii="Arial" w:cs="Arial" w:eastAsia="Arial" w:hAnsi="Arial"/>
          <w:sz w:val="24"/>
          <w:szCs w:val="24"/>
        </w:rPr>
        <w:t xml:space="preserve">Can substrate-selective mTOR modulators (nSMase2, ULK kinases) achieve phenotype rescue without toxicity?</w:t>
      </w:r>
    </w:p>
    <w:p>
      <w:pPr>
        <w:pStyle w:val="ListParagraph"/>
        <w:numPr>
          <w:ilvl w:val="0"/>
          <w:numId w:val="2"/>
        </w:numPr>
        <w:spacing w:after="80" w:line="360"/>
      </w:pPr>
      <w:r>
        <w:rPr>
          <w:rFonts w:ascii="Arial" w:cs="Arial" w:eastAsia="Arial" w:hAnsi="Arial"/>
          <w:sz w:val="24"/>
          <w:szCs w:val="24"/>
        </w:rPr>
        <w:t xml:space="preserve">How do dual or triple kinase inhibitor combinations avoid compensation and off-target effects?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Ranked list of mTOR-adjacent kinases by Quiver phenotypic similarity to mTOR perturbation (Pearson r &gt; 0.7)</w:t>
      </w:r>
    </w:p>
    <w:p>
      <w:pPr>
        <w:pStyle w:val="ListParagraph"/>
        <w:numPr>
          <w:ilvl w:val="0"/>
          <w:numId w:val="2"/>
        </w:numPr>
        <w:spacing w:after="80" w:line="360"/>
      </w:pPr>
      <w:r>
        <w:rPr>
          <w:rFonts w:ascii="Arial" w:cs="Arial" w:eastAsia="Arial" w:hAnsi="Arial"/>
          <w:sz w:val="24"/>
          <w:szCs w:val="24"/>
        </w:rPr>
        <w:t xml:space="preserve">Kinase selectivity matrices showing off-target kinase interactions and predicted toxicity mechanisms</w:t>
      </w:r>
    </w:p>
    <w:p>
      <w:pPr>
        <w:pStyle w:val="ListParagraph"/>
        <w:numPr>
          <w:ilvl w:val="0"/>
          <w:numId w:val="2"/>
        </w:numPr>
        <w:spacing w:after="80" w:line="360"/>
      </w:pPr>
      <w:r>
        <w:rPr>
          <w:rFonts w:ascii="Arial" w:cs="Arial" w:eastAsia="Arial" w:hAnsi="Arial"/>
          <w:sz w:val="24"/>
          <w:szCs w:val="24"/>
        </w:rPr>
        <w:t xml:space="preserve">Phosphatase candidates with neuroprotective phenotypic profiles in MECP2-KO neurons</w:t>
      </w:r>
    </w:p>
    <w:p>
      <w:pPr>
        <w:pStyle w:val="ListParagraph"/>
        <w:numPr>
          <w:ilvl w:val="0"/>
          <w:numId w:val="2"/>
        </w:numPr>
        <w:spacing w:after="80" w:line="360"/>
      </w:pPr>
      <w:r>
        <w:rPr>
          <w:rFonts w:ascii="Arial" w:cs="Arial" w:eastAsia="Arial" w:hAnsi="Arial"/>
          <w:sz w:val="24"/>
          <w:szCs w:val="24"/>
        </w:rPr>
        <w:t xml:space="preserve">Kinase inhibitor compounds ranked by selectivity index (target IC50 / off-target IC50 fold-change)</w:t>
      </w:r>
    </w:p>
    <w:p>
      <w:pPr>
        <w:pStyle w:val="ListParagraph"/>
        <w:numPr>
          <w:ilvl w:val="0"/>
          <w:numId w:val="2"/>
        </w:numPr>
        <w:spacing w:after="80" w:line="360"/>
      </w:pPr>
      <w:r>
        <w:rPr>
          <w:rFonts w:ascii="Arial" w:cs="Arial" w:eastAsia="Arial" w:hAnsi="Arial"/>
          <w:sz w:val="24"/>
          <w:szCs w:val="24"/>
        </w:rPr>
        <w:t xml:space="preserve">Clinical safety profiles for top adjacent kinase inhibitor candidates from trial databases</w:t>
      </w:r>
    </w:p>
    <w:p>
      <w:pPr>
        <w:pStyle w:val="ListParagraph"/>
        <w:numPr>
          <w:ilvl w:val="0"/>
          <w:numId w:val="2"/>
        </w:numPr>
        <w:spacing w:after="80" w:line="360"/>
      </w:pPr>
      <w:r>
        <w:rPr>
          <w:rFonts w:ascii="Arial" w:cs="Arial" w:eastAsia="Arial" w:hAnsi="Arial"/>
          <w:sz w:val="24"/>
          <w:szCs w:val="24"/>
        </w:rPr>
        <w:t xml:space="preserve">Predicted substrate-specific modulation (which mTOR substrates each inhibitor preferentially affects)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Ranked candidate tables (CSV), selectivity heatmaps, kinase inhibitor comparison matrices, clinical outcome summaries.</w:t>
      </w:r>
    </w:p>
    <w:p>
      <w:pPr>
        <w:pStyle w:val="Heading2"/>
        <w:spacing w:after="200" w:before="200" w:line="360"/>
      </w:pPr>
      <w:r>
        <w:rPr>
          <w:rFonts w:ascii="Arial" w:cs="Arial" w:eastAsia="Arial" w:hAnsi="Arial"/>
          <w:b/>
          <w:bCs/>
          <w:sz w:val="28"/>
          <w:szCs w:val="28"/>
        </w:rPr>
        <w:t xml:space="preserve">Stage 4: Electrophysiology Phenotype Correlation and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mTOR-adjacent kinase/phosphatase candidates by correlating predicted phenotypic changes with actual EP readouts, ensuring mechanism-driven selection.</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Quiver compound perturbation data for top kinase inhibitors and phosphatase modulators (~50-100 compounds)</w:t>
      </w:r>
    </w:p>
    <w:p>
      <w:pPr>
        <w:pStyle w:val="ListParagraph"/>
        <w:numPr>
          <w:ilvl w:val="0"/>
          <w:numId w:val="2"/>
        </w:numPr>
        <w:spacing w:after="80" w:line="360"/>
      </w:pPr>
      <w:r>
        <w:rPr>
          <w:rFonts w:ascii="Arial" w:cs="Arial" w:eastAsia="Arial" w:hAnsi="Arial"/>
          <w:sz w:val="24"/>
          <w:szCs w:val="24"/>
        </w:rPr>
        <w:t xml:space="preserve">Quantified MECP2-KO baseline EP features (action potential, bursting, synaptic transmission, network connectivity)</w:t>
      </w:r>
    </w:p>
    <w:p>
      <w:pPr>
        <w:pStyle w:val="ListParagraph"/>
        <w:numPr>
          <w:ilvl w:val="0"/>
          <w:numId w:val="2"/>
        </w:numPr>
        <w:spacing w:after="80" w:line="360"/>
      </w:pPr>
      <w:r>
        <w:rPr>
          <w:rFonts w:ascii="Arial" w:cs="Arial" w:eastAsia="Arial" w:hAnsi="Arial"/>
          <w:sz w:val="24"/>
          <w:szCs w:val="24"/>
        </w:rPr>
        <w:t xml:space="preserve">Expected phenotypic direction for each candidate (should reverse or partially rescue MECP2 deficiency)</w:t>
      </w:r>
    </w:p>
    <w:p>
      <w:pPr>
        <w:pStyle w:val="ListParagraph"/>
        <w:numPr>
          <w:ilvl w:val="0"/>
          <w:numId w:val="2"/>
        </w:numPr>
        <w:spacing w:after="80" w:line="360"/>
      </w:pPr>
      <w:r>
        <w:rPr>
          <w:rFonts w:ascii="Arial" w:cs="Arial" w:eastAsia="Arial" w:hAnsi="Arial"/>
          <w:sz w:val="24"/>
          <w:szCs w:val="24"/>
        </w:rPr>
        <w:t xml:space="preserve">Temporal dynamics of compound effects (acute dose-response vs. chronic exposure)</w:t>
      </w:r>
    </w:p>
    <w:p>
      <w:pPr>
        <w:pStyle w:val="ListParagraph"/>
        <w:numPr>
          <w:ilvl w:val="0"/>
          <w:numId w:val="2"/>
        </w:numPr>
        <w:spacing w:after="80" w:line="360"/>
      </w:pPr>
      <w:r>
        <w:rPr>
          <w:rFonts w:ascii="Arial" w:cs="Arial" w:eastAsia="Arial" w:hAnsi="Arial"/>
          <w:sz w:val="24"/>
          <w:szCs w:val="24"/>
        </w:rPr>
        <w:t xml:space="preserve">Multi-electrode array (MEA) network-level readouts (synchronized bursting, spike-timing patterns)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Quiver Compound Library Screening: </w:t>
      </w:r>
      <w:r>
        <w:rPr>
          <w:rFonts w:ascii="Arial" w:cs="Arial" w:eastAsia="Arial" w:hAnsi="Arial"/>
          <w:sz w:val="24"/>
          <w:szCs w:val="24"/>
        </w:rPr>
        <w:t xml:space="preserve">Systematically profile top 50-100 adjacent kinase/phosphatase candidates against MECP2-KO phenotypes</w:t>
      </w:r>
    </w:p>
    <w:p>
      <w:pPr>
        <w:pStyle w:val="ListParagraph"/>
        <w:numPr>
          <w:ilvl w:val="0"/>
          <w:numId w:val="2"/>
        </w:numPr>
        <w:spacing w:after="80" w:line="360"/>
      </w:pPr>
      <w:r>
        <w:rPr>
          <w:rFonts w:ascii="Arial" w:cs="Arial" w:eastAsia="Arial" w:hAnsi="Arial"/>
          <w:b/>
          <w:bCs/>
          <w:sz w:val="24"/>
          <w:szCs w:val="24"/>
        </w:rPr>
        <w:t xml:space="preserve">Custom EP Feature Correlation Pipeline: </w:t>
      </w:r>
      <w:r>
        <w:rPr>
          <w:rFonts w:ascii="Arial" w:cs="Arial" w:eastAsia="Arial" w:hAnsi="Arial"/>
          <w:sz w:val="24"/>
          <w:szCs w:val="24"/>
        </w:rPr>
        <w:t xml:space="preserve">Calculate Pearson/Spearman correlations between candidate-induced changes and MECP2 phenotype rescue direction</w:t>
      </w:r>
    </w:p>
    <w:p>
      <w:pPr>
        <w:pStyle w:val="ListParagraph"/>
        <w:numPr>
          <w:ilvl w:val="0"/>
          <w:numId w:val="2"/>
        </w:numPr>
        <w:spacing w:after="80" w:line="360"/>
      </w:pPr>
      <w:r>
        <w:rPr>
          <w:rFonts w:ascii="Arial" w:cs="Arial" w:eastAsia="Arial" w:hAnsi="Arial"/>
          <w:b/>
          <w:bCs/>
          <w:sz w:val="24"/>
          <w:szCs w:val="24"/>
        </w:rPr>
        <w:t xml:space="preserve">R/Python Statistical Analysis: </w:t>
      </w:r>
      <w:r>
        <w:rPr>
          <w:rFonts w:ascii="Arial" w:cs="Arial" w:eastAsia="Arial" w:hAnsi="Arial"/>
          <w:sz w:val="24"/>
          <w:szCs w:val="24"/>
        </w:rPr>
        <w:t xml:space="preserve">Perform ANOVA, effect size estimation, and false discovery rate correction across 500+ EP features</w:t>
      </w:r>
    </w:p>
    <w:p>
      <w:pPr>
        <w:pStyle w:val="ListParagraph"/>
        <w:numPr>
          <w:ilvl w:val="0"/>
          <w:numId w:val="2"/>
        </w:numPr>
        <w:spacing w:after="80" w:line="360"/>
      </w:pPr>
      <w:r>
        <w:rPr>
          <w:rFonts w:ascii="Arial" w:cs="Arial" w:eastAsia="Arial" w:hAnsi="Arial"/>
          <w:b/>
          <w:bCs/>
          <w:sz w:val="24"/>
          <w:szCs w:val="24"/>
        </w:rPr>
        <w:t xml:space="preserve">Network Pharmacology Tools: </w:t>
      </w:r>
      <w:r>
        <w:rPr>
          <w:rFonts w:ascii="Arial" w:cs="Arial" w:eastAsia="Arial" w:hAnsi="Arial"/>
          <w:sz w:val="24"/>
          <w:szCs w:val="24"/>
        </w:rPr>
        <w:t xml:space="preserve">Map compound-induced connectivity changes to circuit-level phenotype alterations</w:t>
      </w:r>
    </w:p>
    <w:p>
      <w:pPr>
        <w:pStyle w:val="ListParagraph"/>
        <w:numPr>
          <w:ilvl w:val="0"/>
          <w:numId w:val="2"/>
        </w:numPr>
        <w:spacing w:after="80" w:line="360"/>
      </w:pPr>
      <w:r>
        <w:rPr>
          <w:rFonts w:ascii="Arial" w:cs="Arial" w:eastAsia="Arial" w:hAnsi="Arial"/>
          <w:b/>
          <w:bCs/>
          <w:sz w:val="24"/>
          <w:szCs w:val="24"/>
        </w:rPr>
        <w:t xml:space="preserve">Machine Learning (Random Forest): </w:t>
      </w:r>
      <w:r>
        <w:rPr>
          <w:rFonts w:ascii="Arial" w:cs="Arial" w:eastAsia="Arial" w:hAnsi="Arial"/>
          <w:sz w:val="24"/>
          <w:szCs w:val="24"/>
        </w:rPr>
        <w:t xml:space="preserve">Predict strongest candidates based on multi-feature EP improvement profiles</w:t>
      </w:r>
    </w:p>
    <w:p>
      <w:pPr>
        <w:pStyle w:val="ListParagraph"/>
        <w:numPr>
          <w:ilvl w:val="0"/>
          <w:numId w:val="2"/>
        </w:numPr>
        <w:spacing w:after="80" w:line="360"/>
      </w:pPr>
      <w:r>
        <w:rPr>
          <w:rFonts w:ascii="Arial" w:cs="Arial" w:eastAsia="Arial" w:hAnsi="Arial"/>
          <w:b/>
          <w:bCs/>
          <w:sz w:val="24"/>
          <w:szCs w:val="24"/>
        </w:rPr>
        <w:t xml:space="preserve">Temporal Kinetics Modeling: </w:t>
      </w:r>
      <w:r>
        <w:rPr>
          <w:rFonts w:ascii="Arial" w:cs="Arial" w:eastAsia="Arial" w:hAnsi="Arial"/>
          <w:sz w:val="24"/>
          <w:szCs w:val="24"/>
        </w:rPr>
        <w:t xml:space="preserve">Fit dose-time-response surfaces to identify optimal exposure windows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kinase inhibitors produce MECP2-KO phenotype improvements across the most EP features (&gt;100 features improved)?</w:t>
      </w:r>
    </w:p>
    <w:p>
      <w:pPr>
        <w:pStyle w:val="ListParagraph"/>
        <w:numPr>
          <w:ilvl w:val="0"/>
          <w:numId w:val="2"/>
        </w:numPr>
        <w:spacing w:after="80" w:line="360"/>
      </w:pPr>
      <w:r>
        <w:rPr>
          <w:rFonts w:ascii="Arial" w:cs="Arial" w:eastAsia="Arial" w:hAnsi="Arial"/>
          <w:sz w:val="24"/>
          <w:szCs w:val="24"/>
        </w:rPr>
        <w:t xml:space="preserve">Do adjacent kinase candidates show partial vs. full rescue of MECP2-loss phenotypes?</w:t>
      </w:r>
    </w:p>
    <w:p>
      <w:pPr>
        <w:pStyle w:val="ListParagraph"/>
        <w:numPr>
          <w:ilvl w:val="0"/>
          <w:numId w:val="2"/>
        </w:numPr>
        <w:spacing w:after="80" w:line="360"/>
      </w:pPr>
      <w:r>
        <w:rPr>
          <w:rFonts w:ascii="Arial" w:cs="Arial" w:eastAsia="Arial" w:hAnsi="Arial"/>
          <w:sz w:val="24"/>
          <w:szCs w:val="24"/>
        </w:rPr>
        <w:t xml:space="preserve">How do candidate effects on excitatory vs. inhibitory neurons differ?</w:t>
      </w:r>
    </w:p>
    <w:p>
      <w:pPr>
        <w:pStyle w:val="ListParagraph"/>
        <w:numPr>
          <w:ilvl w:val="0"/>
          <w:numId w:val="2"/>
        </w:numPr>
        <w:spacing w:after="80" w:line="360"/>
      </w:pPr>
      <w:r>
        <w:rPr>
          <w:rFonts w:ascii="Arial" w:cs="Arial" w:eastAsia="Arial" w:hAnsi="Arial"/>
          <w:sz w:val="24"/>
          <w:szCs w:val="24"/>
        </w:rPr>
        <w:t xml:space="preserve">Which compounds minimize EP feature changes unrelated to mTOR (indicating selectivity)?</w:t>
      </w:r>
    </w:p>
    <w:p>
      <w:pPr>
        <w:pStyle w:val="ListParagraph"/>
        <w:numPr>
          <w:ilvl w:val="0"/>
          <w:numId w:val="2"/>
        </w:numPr>
        <w:spacing w:after="80" w:line="360"/>
      </w:pPr>
      <w:r>
        <w:rPr>
          <w:rFonts w:ascii="Arial" w:cs="Arial" w:eastAsia="Arial" w:hAnsi="Arial"/>
          <w:sz w:val="24"/>
          <w:szCs w:val="24"/>
        </w:rPr>
        <w:t xml:space="preserve">What is the pharmacokinetic window for optimal therapeutic effects without toxicity?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Correlation matrices of compound-induced changes vs. MECP2-phenotype recovery (500+ features)</w:t>
      </w:r>
    </w:p>
    <w:p>
      <w:pPr>
        <w:pStyle w:val="ListParagraph"/>
        <w:numPr>
          <w:ilvl w:val="0"/>
          <w:numId w:val="2"/>
        </w:numPr>
        <w:spacing w:after="80" w:line="360"/>
      </w:pPr>
      <w:r>
        <w:rPr>
          <w:rFonts w:ascii="Arial" w:cs="Arial" w:eastAsia="Arial" w:hAnsi="Arial"/>
          <w:sz w:val="24"/>
          <w:szCs w:val="24"/>
        </w:rPr>
        <w:t xml:space="preserve">Ranked candidate efficacy scores (percent of dysregulated features rescued, magnitude of rescue)</w:t>
      </w:r>
    </w:p>
    <w:p>
      <w:pPr>
        <w:pStyle w:val="ListParagraph"/>
        <w:numPr>
          <w:ilvl w:val="0"/>
          <w:numId w:val="2"/>
        </w:numPr>
        <w:spacing w:after="80" w:line="360"/>
      </w:pPr>
      <w:r>
        <w:rPr>
          <w:rFonts w:ascii="Arial" w:cs="Arial" w:eastAsia="Arial" w:hAnsi="Arial"/>
          <w:sz w:val="24"/>
          <w:szCs w:val="24"/>
        </w:rPr>
        <w:t xml:space="preserve">Phenotypic rescue magnitude heatmaps (excitatory, inhibitory, glial cell types)</w:t>
      </w:r>
    </w:p>
    <w:p>
      <w:pPr>
        <w:pStyle w:val="ListParagraph"/>
        <w:numPr>
          <w:ilvl w:val="0"/>
          <w:numId w:val="2"/>
        </w:numPr>
        <w:spacing w:after="80" w:line="360"/>
      </w:pPr>
      <w:r>
        <w:rPr>
          <w:rFonts w:ascii="Arial" w:cs="Arial" w:eastAsia="Arial" w:hAnsi="Arial"/>
          <w:sz w:val="24"/>
          <w:szCs w:val="24"/>
        </w:rPr>
        <w:t xml:space="preserve">Network-level improvements (burst synchrony, spike-timing patterns, connectivity metrics)</w:t>
      </w:r>
    </w:p>
    <w:p>
      <w:pPr>
        <w:pStyle w:val="ListParagraph"/>
        <w:numPr>
          <w:ilvl w:val="0"/>
          <w:numId w:val="2"/>
        </w:numPr>
        <w:spacing w:after="80" w:line="360"/>
      </w:pPr>
      <w:r>
        <w:rPr>
          <w:rFonts w:ascii="Arial" w:cs="Arial" w:eastAsia="Arial" w:hAnsi="Arial"/>
          <w:sz w:val="24"/>
          <w:szCs w:val="24"/>
        </w:rPr>
        <w:t xml:space="preserve">Dose-response curves and EC50/IC50 estimates for top candidates in MECP2-KO context</w:t>
      </w:r>
    </w:p>
    <w:p>
      <w:pPr>
        <w:pStyle w:val="ListParagraph"/>
        <w:numPr>
          <w:ilvl w:val="0"/>
          <w:numId w:val="2"/>
        </w:numPr>
        <w:spacing w:after="80" w:line="360"/>
      </w:pPr>
      <w:r>
        <w:rPr>
          <w:rFonts w:ascii="Arial" w:cs="Arial" w:eastAsia="Arial" w:hAnsi="Arial"/>
          <w:sz w:val="24"/>
          <w:szCs w:val="24"/>
        </w:rPr>
        <w:t xml:space="preserve">Selectivity indices (therapeutic phenotype change / off-target EP feature changes)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Heatmaps of feature correlations, ranked efficacy tables, dose-response plots (PDF), statistical p-value matrices.</w:t>
      </w:r>
    </w:p>
    <w:p>
      <w:pPr>
        <w:pStyle w:val="Heading2"/>
        <w:spacing w:after="200" w:before="200" w:line="360"/>
      </w:pPr>
      <w:r>
        <w:rPr>
          <w:rFonts w:ascii="Arial" w:cs="Arial" w:eastAsia="Arial" w:hAnsi="Arial"/>
          <w:b/>
          <w:bCs/>
          <w:sz w:val="28"/>
          <w:szCs w:val="28"/>
        </w:rPr>
        <w:t xml:space="preserve">Stage 5: Safety and Toxicity Profiling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Systematically evaluate safety profiles of mTOR-adjacent candidates, prioritizing compounds with minimal off-target liabilities and tissue-specific toxicity risks compared to rapalogs.</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Off-target kinase inhibition profiles for all candidates (broad kinase panel screening data)</w:t>
      </w:r>
    </w:p>
    <w:p>
      <w:pPr>
        <w:pStyle w:val="ListParagraph"/>
        <w:numPr>
          <w:ilvl w:val="0"/>
          <w:numId w:val="2"/>
        </w:numPr>
        <w:spacing w:after="80" w:line="360"/>
      </w:pPr>
      <w:r>
        <w:rPr>
          <w:rFonts w:ascii="Arial" w:cs="Arial" w:eastAsia="Arial" w:hAnsi="Arial"/>
          <w:sz w:val="24"/>
          <w:szCs w:val="24"/>
        </w:rPr>
        <w:t xml:space="preserve">Predicted tissue-specific toxicity mechanisms (liver, immune, metabolic, renal, cardiovascular)</w:t>
      </w:r>
    </w:p>
    <w:p>
      <w:pPr>
        <w:pStyle w:val="ListParagraph"/>
        <w:numPr>
          <w:ilvl w:val="0"/>
          <w:numId w:val="2"/>
        </w:numPr>
        <w:spacing w:after="80" w:line="360"/>
      </w:pPr>
      <w:r>
        <w:rPr>
          <w:rFonts w:ascii="Arial" w:cs="Arial" w:eastAsia="Arial" w:hAnsi="Arial"/>
          <w:sz w:val="24"/>
          <w:szCs w:val="24"/>
        </w:rPr>
        <w:t xml:space="preserve">Known rapalog toxicities (immunosuppression, hyperglycemia, hepatic steatosis, mTORC2 off-target effects)</w:t>
      </w:r>
    </w:p>
    <w:p>
      <w:pPr>
        <w:pStyle w:val="ListParagraph"/>
        <w:numPr>
          <w:ilvl w:val="0"/>
          <w:numId w:val="2"/>
        </w:numPr>
        <w:spacing w:after="80" w:line="360"/>
      </w:pPr>
      <w:r>
        <w:rPr>
          <w:rFonts w:ascii="Arial" w:cs="Arial" w:eastAsia="Arial" w:hAnsi="Arial"/>
          <w:sz w:val="24"/>
          <w:szCs w:val="24"/>
        </w:rPr>
        <w:t xml:space="preserve">Safety pharmacology data (hERG, CYP450 interactions, genotoxicity, developmental toxicity)</w:t>
      </w:r>
    </w:p>
    <w:p>
      <w:pPr>
        <w:pStyle w:val="ListParagraph"/>
        <w:numPr>
          <w:ilvl w:val="0"/>
          <w:numId w:val="2"/>
        </w:numPr>
        <w:spacing w:after="80" w:line="360"/>
      </w:pPr>
      <w:r>
        <w:rPr>
          <w:rFonts w:ascii="Arial" w:cs="Arial" w:eastAsia="Arial" w:hAnsi="Arial"/>
          <w:sz w:val="24"/>
          <w:szCs w:val="24"/>
        </w:rPr>
        <w:t xml:space="preserve">Clinical adverse event databases for kinase inhibitors with similar mechanisms</w:t>
      </w:r>
    </w:p>
    <w:p>
      <w:pPr>
        <w:pStyle w:val="ListParagraph"/>
        <w:numPr>
          <w:ilvl w:val="0"/>
          <w:numId w:val="2"/>
        </w:numPr>
        <w:spacing w:after="80" w:line="360"/>
      </w:pPr>
      <w:r>
        <w:rPr>
          <w:rFonts w:ascii="Arial" w:cs="Arial" w:eastAsia="Arial" w:hAnsi="Arial"/>
          <w:sz w:val="24"/>
          <w:szCs w:val="24"/>
        </w:rPr>
        <w:t xml:space="preserve">Relevant MECP2-related comorbidities (seizures, respiratory, cardiac arrhythmias)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ChEMBL Safety Database: </w:t>
      </w:r>
      <w:r>
        <w:rPr>
          <w:rFonts w:ascii="Arial" w:cs="Arial" w:eastAsia="Arial" w:hAnsi="Arial"/>
          <w:sz w:val="24"/>
          <w:szCs w:val="24"/>
        </w:rPr>
        <w:t xml:space="preserve">Retrieve comprehensive adverse effect profiles and toxicity classifications</w:t>
      </w:r>
    </w:p>
    <w:p>
      <w:pPr>
        <w:pStyle w:val="ListParagraph"/>
        <w:numPr>
          <w:ilvl w:val="0"/>
          <w:numId w:val="2"/>
        </w:numPr>
        <w:spacing w:after="80" w:line="360"/>
      </w:pPr>
      <w:r>
        <w:rPr>
          <w:rFonts w:ascii="Arial" w:cs="Arial" w:eastAsia="Arial" w:hAnsi="Arial"/>
          <w:b/>
          <w:bCs/>
          <w:sz w:val="24"/>
          <w:szCs w:val="24"/>
        </w:rPr>
        <w:t xml:space="preserve">PubChem Bioassay: </w:t>
      </w:r>
      <w:r>
        <w:rPr>
          <w:rFonts w:ascii="Arial" w:cs="Arial" w:eastAsia="Arial" w:hAnsi="Arial"/>
          <w:sz w:val="24"/>
          <w:szCs w:val="24"/>
        </w:rPr>
        <w:t xml:space="preserve">Query cell viability, toxicity, and off-target kinase binding data</w:t>
      </w:r>
    </w:p>
    <w:p>
      <w:pPr>
        <w:pStyle w:val="ListParagraph"/>
        <w:numPr>
          <w:ilvl w:val="0"/>
          <w:numId w:val="2"/>
        </w:numPr>
        <w:spacing w:after="80" w:line="360"/>
      </w:pPr>
      <w:r>
        <w:rPr>
          <w:rFonts w:ascii="Arial" w:cs="Arial" w:eastAsia="Arial" w:hAnsi="Arial"/>
          <w:b/>
          <w:bCs/>
          <w:sz w:val="24"/>
          <w:szCs w:val="24"/>
        </w:rPr>
        <w:t xml:space="preserve">FAers (FDA Adverse Events Reporting): </w:t>
      </w:r>
      <w:r>
        <w:rPr>
          <w:rFonts w:ascii="Arial" w:cs="Arial" w:eastAsia="Arial" w:hAnsi="Arial"/>
          <w:sz w:val="24"/>
          <w:szCs w:val="24"/>
        </w:rPr>
        <w:t xml:space="preserve">Analyze real-world safety data for candidate kinase inhibitors in clinical use</w:t>
      </w:r>
    </w:p>
    <w:p>
      <w:pPr>
        <w:pStyle w:val="ListParagraph"/>
        <w:numPr>
          <w:ilvl w:val="0"/>
          <w:numId w:val="2"/>
        </w:numPr>
        <w:spacing w:after="80" w:line="360"/>
      </w:pPr>
      <w:r>
        <w:rPr>
          <w:rFonts w:ascii="Arial" w:cs="Arial" w:eastAsia="Arial" w:hAnsi="Arial"/>
          <w:b/>
          <w:bCs/>
          <w:sz w:val="24"/>
          <w:szCs w:val="24"/>
        </w:rPr>
        <w:t xml:space="preserve">PreClinical Toxicology Models: </w:t>
      </w:r>
      <w:r>
        <w:rPr>
          <w:rFonts w:ascii="Arial" w:cs="Arial" w:eastAsia="Arial" w:hAnsi="Arial"/>
          <w:sz w:val="24"/>
          <w:szCs w:val="24"/>
        </w:rPr>
        <w:t xml:space="preserve">Assess hepatotoxicity, immunotoxicity, and metabolic side effects in published studies</w:t>
      </w:r>
    </w:p>
    <w:p>
      <w:pPr>
        <w:pStyle w:val="ListParagraph"/>
        <w:numPr>
          <w:ilvl w:val="0"/>
          <w:numId w:val="2"/>
        </w:numPr>
        <w:spacing w:after="80" w:line="360"/>
      </w:pPr>
      <w:r>
        <w:rPr>
          <w:rFonts w:ascii="Arial" w:cs="Arial" w:eastAsia="Arial" w:hAnsi="Arial"/>
          <w:b/>
          <w:bCs/>
          <w:sz w:val="24"/>
          <w:szCs w:val="24"/>
        </w:rPr>
        <w:t xml:space="preserve">Cardiac Electrophysiology Databases: </w:t>
      </w:r>
      <w:r>
        <w:rPr>
          <w:rFonts w:ascii="Arial" w:cs="Arial" w:eastAsia="Arial" w:hAnsi="Arial"/>
          <w:sz w:val="24"/>
          <w:szCs w:val="24"/>
        </w:rPr>
        <w:t xml:space="preserve">Evaluate hERG block and QT prolongation risk for compounds with neurological targets</w:t>
      </w:r>
    </w:p>
    <w:p>
      <w:pPr>
        <w:pStyle w:val="ListParagraph"/>
        <w:numPr>
          <w:ilvl w:val="0"/>
          <w:numId w:val="2"/>
        </w:numPr>
        <w:spacing w:after="80" w:line="360"/>
      </w:pPr>
      <w:r>
        <w:rPr>
          <w:rFonts w:ascii="Arial" w:cs="Arial" w:eastAsia="Arial" w:hAnsi="Arial"/>
          <w:b/>
          <w:bCs/>
          <w:sz w:val="24"/>
          <w:szCs w:val="24"/>
        </w:rPr>
        <w:t xml:space="preserve">Human Protein Atlas + Tissue-Specific Expression: </w:t>
      </w:r>
      <w:r>
        <w:rPr>
          <w:rFonts w:ascii="Arial" w:cs="Arial" w:eastAsia="Arial" w:hAnsi="Arial"/>
          <w:sz w:val="24"/>
          <w:szCs w:val="24"/>
        </w:rPr>
        <w:t xml:space="preserve">Map target kinase expression to predict tissue-specific toxicity risks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adjacent kinase inhibitors have the broadest safety windows vs. rapalogs?</w:t>
      </w:r>
    </w:p>
    <w:p>
      <w:pPr>
        <w:pStyle w:val="ListParagraph"/>
        <w:numPr>
          <w:ilvl w:val="0"/>
          <w:numId w:val="2"/>
        </w:numPr>
        <w:spacing w:after="80" w:line="360"/>
      </w:pPr>
      <w:r>
        <w:rPr>
          <w:rFonts w:ascii="Arial" w:cs="Arial" w:eastAsia="Arial" w:hAnsi="Arial"/>
          <w:sz w:val="24"/>
          <w:szCs w:val="24"/>
        </w:rPr>
        <w:t xml:space="preserve">How do off-target kinase inhibition profiles differ between candidates?</w:t>
      </w:r>
    </w:p>
    <w:p>
      <w:pPr>
        <w:pStyle w:val="ListParagraph"/>
        <w:numPr>
          <w:ilvl w:val="0"/>
          <w:numId w:val="2"/>
        </w:numPr>
        <w:spacing w:after="80" w:line="360"/>
      </w:pPr>
      <w:r>
        <w:rPr>
          <w:rFonts w:ascii="Arial" w:cs="Arial" w:eastAsia="Arial" w:hAnsi="Arial"/>
          <w:sz w:val="24"/>
          <w:szCs w:val="24"/>
        </w:rPr>
        <w:t xml:space="preserve">Which compounds show minimal immune, metabolic, or hepatic toxicity liabilities?</w:t>
      </w:r>
    </w:p>
    <w:p>
      <w:pPr>
        <w:pStyle w:val="ListParagraph"/>
        <w:numPr>
          <w:ilvl w:val="0"/>
          <w:numId w:val="2"/>
        </w:numPr>
        <w:spacing w:after="80" w:line="360"/>
      </w:pPr>
      <w:r>
        <w:rPr>
          <w:rFonts w:ascii="Arial" w:cs="Arial" w:eastAsia="Arial" w:hAnsi="Arial"/>
          <w:sz w:val="24"/>
          <w:szCs w:val="24"/>
        </w:rPr>
        <w:t xml:space="preserve">Are there tissue-specific kinase isoforms that can be targeted without systemic toxicity?</w:t>
      </w:r>
    </w:p>
    <w:p>
      <w:pPr>
        <w:pStyle w:val="ListParagraph"/>
        <w:numPr>
          <w:ilvl w:val="0"/>
          <w:numId w:val="2"/>
        </w:numPr>
        <w:spacing w:after="80" w:line="360"/>
      </w:pPr>
      <w:r>
        <w:rPr>
          <w:rFonts w:ascii="Arial" w:cs="Arial" w:eastAsia="Arial" w:hAnsi="Arial"/>
          <w:sz w:val="24"/>
          <w:szCs w:val="24"/>
        </w:rPr>
        <w:t xml:space="preserve">Can predictive ADME/Tox modeling rank candidates by clinical viability?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Off-target kinase inhibition matrices for all candidates (rank-ordered by selectivity)</w:t>
      </w:r>
    </w:p>
    <w:p>
      <w:pPr>
        <w:pStyle w:val="ListParagraph"/>
        <w:numPr>
          <w:ilvl w:val="0"/>
          <w:numId w:val="2"/>
        </w:numPr>
        <w:spacing w:after="80" w:line="360"/>
      </w:pPr>
      <w:r>
        <w:rPr>
          <w:rFonts w:ascii="Arial" w:cs="Arial" w:eastAsia="Arial" w:hAnsi="Arial"/>
          <w:sz w:val="24"/>
          <w:szCs w:val="24"/>
        </w:rPr>
        <w:t xml:space="preserve">Tissue-specific toxicity risk scores (liver, immune, metabolic, kidney, cardiovascular per compound)</w:t>
      </w:r>
    </w:p>
    <w:p>
      <w:pPr>
        <w:pStyle w:val="ListParagraph"/>
        <w:numPr>
          <w:ilvl w:val="0"/>
          <w:numId w:val="2"/>
        </w:numPr>
        <w:spacing w:after="80" w:line="360"/>
      </w:pPr>
      <w:r>
        <w:rPr>
          <w:rFonts w:ascii="Arial" w:cs="Arial" w:eastAsia="Arial" w:hAnsi="Arial"/>
          <w:sz w:val="24"/>
          <w:szCs w:val="24"/>
        </w:rPr>
        <w:t xml:space="preserve">Rapalog vs. mTOR-adjacent candidate safety comparison matrices</w:t>
      </w:r>
    </w:p>
    <w:p>
      <w:pPr>
        <w:pStyle w:val="ListParagraph"/>
        <w:numPr>
          <w:ilvl w:val="0"/>
          <w:numId w:val="2"/>
        </w:numPr>
        <w:spacing w:after="80" w:line="360"/>
      </w:pPr>
      <w:r>
        <w:rPr>
          <w:rFonts w:ascii="Arial" w:cs="Arial" w:eastAsia="Arial" w:hAnsi="Arial"/>
          <w:sz w:val="24"/>
          <w:szCs w:val="24"/>
        </w:rPr>
        <w:t xml:space="preserve">Clinical adverse event frequency data for kinase inhibitors with similar targets</w:t>
      </w:r>
    </w:p>
    <w:p>
      <w:pPr>
        <w:pStyle w:val="ListParagraph"/>
        <w:numPr>
          <w:ilvl w:val="0"/>
          <w:numId w:val="2"/>
        </w:numPr>
        <w:spacing w:after="80" w:line="360"/>
      </w:pPr>
      <w:r>
        <w:rPr>
          <w:rFonts w:ascii="Arial" w:cs="Arial" w:eastAsia="Arial" w:hAnsi="Arial"/>
          <w:sz w:val="24"/>
          <w:szCs w:val="24"/>
        </w:rPr>
        <w:t xml:space="preserve">Predicted ADME/Tox profile summaries (absorption, distribution, metabolism, excretion, toxicity)</w:t>
      </w:r>
    </w:p>
    <w:p>
      <w:pPr>
        <w:pStyle w:val="ListParagraph"/>
        <w:numPr>
          <w:ilvl w:val="0"/>
          <w:numId w:val="2"/>
        </w:numPr>
        <w:spacing w:after="80" w:line="360"/>
      </w:pPr>
      <w:r>
        <w:rPr>
          <w:rFonts w:ascii="Arial" w:cs="Arial" w:eastAsia="Arial" w:hAnsi="Arial"/>
          <w:sz w:val="24"/>
          <w:szCs w:val="24"/>
        </w:rPr>
        <w:t xml:space="preserve">Prioritized candidate list ranked by safety window and mechanistic selectivity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Safety summary tables, kinase selectivity heatmaps, toxicity risk matrices (color-coded), comparative safety profiles.</w:t>
      </w:r>
    </w:p>
    <w:p>
      <w:pPr>
        <w:pStyle w:val="Heading2"/>
        <w:spacing w:after="200" w:before="200" w:line="360"/>
      </w:pPr>
      <w:r>
        <w:rPr>
          <w:rFonts w:ascii="Arial" w:cs="Arial" w:eastAsia="Arial" w:hAnsi="Arial"/>
          <w:b/>
          <w:bCs/>
          <w:sz w:val="28"/>
          <w:szCs w:val="28"/>
        </w:rPr>
        <w:t xml:space="preserve">Stage 6: Lead Candidate Selection and Mechanistic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phenotypic efficacy, safety profiling, and mechanistic selectivity data to nominate lead mTOR-adjacent candidates as safer alternatives to rapalogs for Rett syndrome.</w:t>
      </w:r>
    </w:p>
    <w:p>
      <w:pPr>
        <w:spacing w:after="100" w:line="360"/>
      </w:pPr>
      <w:r>
        <w:rPr>
          <w:rFonts w:ascii="Arial" w:cs="Arial" w:eastAsia="Arial" w:hAnsi="Arial"/>
          <w:b/>
          <w:bCs/>
          <w:sz w:val="24"/>
          <w:szCs w:val="24"/>
        </w:rPr>
        <w:t xml:space="preserve">Inputs:</w:t>
      </w:r>
    </w:p>
    <w:p>
      <w:pPr>
        <w:pStyle w:val="ListParagraph"/>
        <w:numPr>
          <w:ilvl w:val="0"/>
          <w:numId w:val="2"/>
        </w:numPr>
        <w:spacing w:after="80" w:line="360"/>
      </w:pPr>
      <w:r>
        <w:rPr>
          <w:rFonts w:ascii="Arial" w:cs="Arial" w:eastAsia="Arial" w:hAnsi="Arial"/>
          <w:sz w:val="24"/>
          <w:szCs w:val="24"/>
        </w:rPr>
        <w:t xml:space="preserve">Ranked candidates from Stage 4 (phenotypic efficacy) and Stage 5 (safety profiling)</w:t>
      </w:r>
    </w:p>
    <w:p>
      <w:pPr>
        <w:pStyle w:val="ListParagraph"/>
        <w:numPr>
          <w:ilvl w:val="0"/>
          <w:numId w:val="2"/>
        </w:numPr>
        <w:spacing w:after="80" w:line="360"/>
      </w:pPr>
      <w:r>
        <w:rPr>
          <w:rFonts w:ascii="Arial" w:cs="Arial" w:eastAsia="Arial" w:hAnsi="Arial"/>
          <w:sz w:val="24"/>
          <w:szCs w:val="24"/>
        </w:rPr>
        <w:t xml:space="preserve">Integrated efficacy/safety scores combining phenotype rescue magnitude and toxicity risk</w:t>
      </w:r>
    </w:p>
    <w:p>
      <w:pPr>
        <w:pStyle w:val="ListParagraph"/>
        <w:numPr>
          <w:ilvl w:val="0"/>
          <w:numId w:val="2"/>
        </w:numPr>
        <w:spacing w:after="80" w:line="360"/>
      </w:pPr>
      <w:r>
        <w:rPr>
          <w:rFonts w:ascii="Arial" w:cs="Arial" w:eastAsia="Arial" w:hAnsi="Arial"/>
          <w:sz w:val="24"/>
          <w:szCs w:val="24"/>
        </w:rPr>
        <w:t xml:space="preserve">Mechanistic selectivity data (mTOR substrate vs. off-target kinase effects)</w:t>
      </w:r>
    </w:p>
    <w:p>
      <w:pPr>
        <w:pStyle w:val="ListParagraph"/>
        <w:numPr>
          <w:ilvl w:val="0"/>
          <w:numId w:val="2"/>
        </w:numPr>
        <w:spacing w:after="80" w:line="360"/>
      </w:pPr>
      <w:r>
        <w:rPr>
          <w:rFonts w:ascii="Arial" w:cs="Arial" w:eastAsia="Arial" w:hAnsi="Arial"/>
          <w:sz w:val="24"/>
          <w:szCs w:val="24"/>
        </w:rPr>
        <w:t xml:space="preserve">Pre-clinical validation from published Rett syndrome models (if available)</w:t>
      </w:r>
    </w:p>
    <w:p>
      <w:pPr>
        <w:pStyle w:val="ListParagraph"/>
        <w:numPr>
          <w:ilvl w:val="0"/>
          <w:numId w:val="2"/>
        </w:numPr>
        <w:spacing w:after="80" w:line="360"/>
      </w:pPr>
      <w:r>
        <w:rPr>
          <w:rFonts w:ascii="Arial" w:cs="Arial" w:eastAsia="Arial" w:hAnsi="Arial"/>
          <w:sz w:val="24"/>
          <w:szCs w:val="24"/>
        </w:rPr>
        <w:t xml:space="preserve">Regulatory pathway considerations (fast-track designation, orphan drug status for Rett)</w:t>
      </w:r>
    </w:p>
    <w:p>
      <w:pPr>
        <w:pStyle w:val="ListParagraph"/>
        <w:numPr>
          <w:ilvl w:val="0"/>
          <w:numId w:val="2"/>
        </w:numPr>
        <w:spacing w:after="80" w:line="360"/>
      </w:pPr>
      <w:r>
        <w:rPr>
          <w:rFonts w:ascii="Arial" w:cs="Arial" w:eastAsia="Arial" w:hAnsi="Arial"/>
          <w:sz w:val="24"/>
          <w:szCs w:val="24"/>
        </w:rPr>
        <w:t xml:space="preserve">Cost and availability metrics for lead compounds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80" w:line="360"/>
      </w:pPr>
      <w:r>
        <w:rPr>
          <w:rFonts w:ascii="Arial" w:cs="Arial" w:eastAsia="Arial" w:hAnsi="Arial"/>
          <w:b/>
          <w:bCs/>
          <w:sz w:val="24"/>
          <w:szCs w:val="24"/>
        </w:rPr>
        <w:t xml:space="preserve">Multi-Criteria Decision Analysis: </w:t>
      </w:r>
      <w:r>
        <w:rPr>
          <w:rFonts w:ascii="Arial" w:cs="Arial" w:eastAsia="Arial" w:hAnsi="Arial"/>
          <w:sz w:val="24"/>
          <w:szCs w:val="24"/>
        </w:rPr>
        <w:t xml:space="preserve">Weight efficacy, safety, selectivity, and mechanistic relevance to generate composite scores</w:t>
      </w:r>
    </w:p>
    <w:p>
      <w:pPr>
        <w:pStyle w:val="ListParagraph"/>
        <w:numPr>
          <w:ilvl w:val="0"/>
          <w:numId w:val="2"/>
        </w:numPr>
        <w:spacing w:after="80" w:line="360"/>
      </w:pPr>
      <w:r>
        <w:rPr>
          <w:rFonts w:ascii="Arial" w:cs="Arial" w:eastAsia="Arial" w:hAnsi="Arial"/>
          <w:b/>
          <w:bCs/>
          <w:sz w:val="24"/>
          <w:szCs w:val="24"/>
        </w:rPr>
        <w:t xml:space="preserve">Quiver Integration Pipeline: </w:t>
      </w:r>
      <w:r>
        <w:rPr>
          <w:rFonts w:ascii="Arial" w:cs="Arial" w:eastAsia="Arial" w:hAnsi="Arial"/>
          <w:sz w:val="24"/>
          <w:szCs w:val="24"/>
        </w:rPr>
        <w:t xml:space="preserve">Final validation of leads in original MECP2-KO and WT control networks</w:t>
      </w:r>
    </w:p>
    <w:p>
      <w:pPr>
        <w:pStyle w:val="ListParagraph"/>
        <w:numPr>
          <w:ilvl w:val="0"/>
          <w:numId w:val="2"/>
        </w:numPr>
        <w:spacing w:after="80" w:line="360"/>
      </w:pPr>
      <w:r>
        <w:rPr>
          <w:rFonts w:ascii="Arial" w:cs="Arial" w:eastAsia="Arial" w:hAnsi="Arial"/>
          <w:b/>
          <w:bCs/>
          <w:sz w:val="24"/>
          <w:szCs w:val="24"/>
        </w:rPr>
        <w:t xml:space="preserve">PubMed/Google Scholar: </w:t>
      </w:r>
      <w:r>
        <w:rPr>
          <w:rFonts w:ascii="Arial" w:cs="Arial" w:eastAsia="Arial" w:hAnsi="Arial"/>
          <w:sz w:val="24"/>
          <w:szCs w:val="24"/>
        </w:rPr>
        <w:t xml:space="preserve">Literature validation of leads in Rett syndrome or MECP2 models</w:t>
      </w:r>
    </w:p>
    <w:p>
      <w:pPr>
        <w:pStyle w:val="ListParagraph"/>
        <w:numPr>
          <w:ilvl w:val="0"/>
          <w:numId w:val="2"/>
        </w:numPr>
        <w:spacing w:after="80" w:line="360"/>
      </w:pPr>
      <w:r>
        <w:rPr>
          <w:rFonts w:ascii="Arial" w:cs="Arial" w:eastAsia="Arial" w:hAnsi="Arial"/>
          <w:b/>
          <w:bCs/>
          <w:sz w:val="24"/>
          <w:szCs w:val="24"/>
        </w:rPr>
        <w:t xml:space="preserve">FDA Orphan Drug Database: </w:t>
      </w:r>
      <w:r>
        <w:rPr>
          <w:rFonts w:ascii="Arial" w:cs="Arial" w:eastAsia="Arial" w:hAnsi="Arial"/>
          <w:sz w:val="24"/>
          <w:szCs w:val="24"/>
        </w:rPr>
        <w:t xml:space="preserve">Assess regulatory pathways and development incentives for leads</w:t>
      </w:r>
    </w:p>
    <w:p>
      <w:pPr>
        <w:pStyle w:val="ListParagraph"/>
        <w:numPr>
          <w:ilvl w:val="0"/>
          <w:numId w:val="2"/>
        </w:numPr>
        <w:spacing w:after="80" w:line="360"/>
      </w:pPr>
      <w:r>
        <w:rPr>
          <w:rFonts w:ascii="Arial" w:cs="Arial" w:eastAsia="Arial" w:hAnsi="Arial"/>
          <w:b/>
          <w:bCs/>
          <w:sz w:val="24"/>
          <w:szCs w:val="24"/>
        </w:rPr>
        <w:t xml:space="preserve">ChemSpider/PubChem: </w:t>
      </w:r>
      <w:r>
        <w:rPr>
          <w:rFonts w:ascii="Arial" w:cs="Arial" w:eastAsia="Arial" w:hAnsi="Arial"/>
          <w:sz w:val="24"/>
          <w:szCs w:val="24"/>
        </w:rPr>
        <w:t xml:space="preserve">Confirm chemical availability, synthetic feasibility, and pricing</w:t>
      </w:r>
    </w:p>
    <w:p>
      <w:pPr>
        <w:pStyle w:val="ListParagraph"/>
        <w:numPr>
          <w:ilvl w:val="0"/>
          <w:numId w:val="2"/>
        </w:numPr>
        <w:spacing w:after="80" w:line="360"/>
      </w:pPr>
      <w:r>
        <w:rPr>
          <w:rFonts w:ascii="Arial" w:cs="Arial" w:eastAsia="Arial" w:hAnsi="Arial"/>
          <w:b/>
          <w:bCs/>
          <w:sz w:val="24"/>
          <w:szCs w:val="24"/>
        </w:rPr>
        <w:t xml:space="preserve">Translational Modeling: </w:t>
      </w:r>
      <w:r>
        <w:rPr>
          <w:rFonts w:ascii="Arial" w:cs="Arial" w:eastAsia="Arial" w:hAnsi="Arial"/>
          <w:sz w:val="24"/>
          <w:szCs w:val="24"/>
        </w:rPr>
        <w:t xml:space="preserve">Predict brain exposure, CNS penetration, and efficacious dose ranges for leads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80" w:line="360"/>
      </w:pPr>
      <w:r>
        <w:rPr>
          <w:rFonts w:ascii="Arial" w:cs="Arial" w:eastAsia="Arial" w:hAnsi="Arial"/>
          <w:sz w:val="24"/>
          <w:szCs w:val="24"/>
        </w:rPr>
        <w:t xml:space="preserve">Which top 3-5 candidates achieve the best balance of efficacy and safety?</w:t>
      </w:r>
    </w:p>
    <w:p>
      <w:pPr>
        <w:pStyle w:val="ListParagraph"/>
        <w:numPr>
          <w:ilvl w:val="0"/>
          <w:numId w:val="2"/>
        </w:numPr>
        <w:spacing w:after="80" w:line="360"/>
      </w:pPr>
      <w:r>
        <w:rPr>
          <w:rFonts w:ascii="Arial" w:cs="Arial" w:eastAsia="Arial" w:hAnsi="Arial"/>
          <w:sz w:val="24"/>
          <w:szCs w:val="24"/>
        </w:rPr>
        <w:t xml:space="preserve">How mechanistically distinct are leads from rapamycin in terms of off-target effects?</w:t>
      </w:r>
    </w:p>
    <w:p>
      <w:pPr>
        <w:pStyle w:val="ListParagraph"/>
        <w:numPr>
          <w:ilvl w:val="0"/>
          <w:numId w:val="2"/>
        </w:numPr>
        <w:spacing w:after="80" w:line="360"/>
      </w:pPr>
      <w:r>
        <w:rPr>
          <w:rFonts w:ascii="Arial" w:cs="Arial" w:eastAsia="Arial" w:hAnsi="Arial"/>
          <w:sz w:val="24"/>
          <w:szCs w:val="24"/>
        </w:rPr>
        <w:t xml:space="preserve">Do leads show promise in published MECP2/Rett syndrome pre-clinical models?</w:t>
      </w:r>
    </w:p>
    <w:p>
      <w:pPr>
        <w:pStyle w:val="ListParagraph"/>
        <w:numPr>
          <w:ilvl w:val="0"/>
          <w:numId w:val="2"/>
        </w:numPr>
        <w:spacing w:after="80" w:line="360"/>
      </w:pPr>
      <w:r>
        <w:rPr>
          <w:rFonts w:ascii="Arial" w:cs="Arial" w:eastAsia="Arial" w:hAnsi="Arial"/>
          <w:sz w:val="24"/>
          <w:szCs w:val="24"/>
        </w:rPr>
        <w:t xml:space="preserve">What is the regulatory and commercial viability of each lead candidate?</w:t>
      </w:r>
    </w:p>
    <w:p>
      <w:pPr>
        <w:pStyle w:val="ListParagraph"/>
        <w:numPr>
          <w:ilvl w:val="0"/>
          <w:numId w:val="2"/>
        </w:numPr>
        <w:spacing w:after="80" w:line="360"/>
      </w:pPr>
      <w:r>
        <w:rPr>
          <w:rFonts w:ascii="Arial" w:cs="Arial" w:eastAsia="Arial" w:hAnsi="Arial"/>
          <w:sz w:val="24"/>
          <w:szCs w:val="24"/>
        </w:rPr>
        <w:t xml:space="preserve">What functional assays (e.g., synaptic plasticity, dendritic spine density, seizure threshold) would validate leads in vivo?</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80" w:line="360"/>
      </w:pPr>
      <w:r>
        <w:rPr>
          <w:rFonts w:ascii="Arial" w:cs="Arial" w:eastAsia="Arial" w:hAnsi="Arial"/>
          <w:sz w:val="24"/>
          <w:szCs w:val="24"/>
        </w:rPr>
        <w:t xml:space="preserve">Ranked lead candidate summary sheet (top 3-5 compounds with efficacy, safety, selectivity scores)</w:t>
      </w:r>
    </w:p>
    <w:p>
      <w:pPr>
        <w:pStyle w:val="ListParagraph"/>
        <w:numPr>
          <w:ilvl w:val="0"/>
          <w:numId w:val="2"/>
        </w:numPr>
        <w:spacing w:after="80" w:line="360"/>
      </w:pPr>
      <w:r>
        <w:rPr>
          <w:rFonts w:ascii="Arial" w:cs="Arial" w:eastAsia="Arial" w:hAnsi="Arial"/>
          <w:sz w:val="24"/>
          <w:szCs w:val="24"/>
        </w:rPr>
        <w:t xml:space="preserve">Integrated mechanistic validation confirming mTOR-adjacent phenotype rescue in MECP2-KO neurons</w:t>
      </w:r>
    </w:p>
    <w:p>
      <w:pPr>
        <w:pStyle w:val="ListParagraph"/>
        <w:numPr>
          <w:ilvl w:val="0"/>
          <w:numId w:val="2"/>
        </w:numPr>
        <w:spacing w:after="80" w:line="360"/>
      </w:pPr>
      <w:r>
        <w:rPr>
          <w:rFonts w:ascii="Arial" w:cs="Arial" w:eastAsia="Arial" w:hAnsi="Arial"/>
          <w:sz w:val="24"/>
          <w:szCs w:val="24"/>
        </w:rPr>
        <w:t xml:space="preserve">Lead candidate chemical structures, SMILES, and PubChem identifiers</w:t>
      </w:r>
    </w:p>
    <w:p>
      <w:pPr>
        <w:pStyle w:val="ListParagraph"/>
        <w:numPr>
          <w:ilvl w:val="0"/>
          <w:numId w:val="2"/>
        </w:numPr>
        <w:spacing w:after="80" w:line="360"/>
      </w:pPr>
      <w:r>
        <w:rPr>
          <w:rFonts w:ascii="Arial" w:cs="Arial" w:eastAsia="Arial" w:hAnsi="Arial"/>
          <w:sz w:val="24"/>
          <w:szCs w:val="24"/>
        </w:rPr>
        <w:t xml:space="preserve">Predicted pharmacokinetics and brain penetration estimates for each lead</w:t>
      </w:r>
    </w:p>
    <w:p>
      <w:pPr>
        <w:pStyle w:val="ListParagraph"/>
        <w:numPr>
          <w:ilvl w:val="0"/>
          <w:numId w:val="2"/>
        </w:numPr>
        <w:spacing w:after="80" w:line="360"/>
      </w:pPr>
      <w:r>
        <w:rPr>
          <w:rFonts w:ascii="Arial" w:cs="Arial" w:eastAsia="Arial" w:hAnsi="Arial"/>
          <w:sz w:val="24"/>
          <w:szCs w:val="24"/>
        </w:rPr>
        <w:t xml:space="preserve">Recommended downstream validation assays (in vitro and in vivo)</w:t>
      </w:r>
    </w:p>
    <w:p>
      <w:pPr>
        <w:pStyle w:val="ListParagraph"/>
        <w:numPr>
          <w:ilvl w:val="0"/>
          <w:numId w:val="2"/>
        </w:numPr>
        <w:spacing w:after="80" w:line="360"/>
      </w:pPr>
      <w:r>
        <w:rPr>
          <w:rFonts w:ascii="Arial" w:cs="Arial" w:eastAsia="Arial" w:hAnsi="Arial"/>
          <w:sz w:val="24"/>
          <w:szCs w:val="24"/>
        </w:rPr>
        <w:t xml:space="preserve">Regulatory pathway summary and developmental timelines for orphan drug consideration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Executive summary document, lead candidate comparison tables, chemical structure images (SDF), mechanistic validation heatmaps, recommended experimental protocols.</w:t>
      </w:r>
    </w:p>
    <w:p>
      <w:pPr>
        <w:pStyle w:val="Heading2"/>
        <w:spacing w:after="200" w:before="200" w:line="360"/>
      </w:pPr>
      <w:r>
        <w:rPr>
          <w:rFonts w:ascii="Arial" w:cs="Arial" w:eastAsia="Arial" w:hAnsi="Arial"/>
          <w:b/>
          <w:bCs/>
          <w:sz w:val="28"/>
          <w:szCs w:val="28"/>
        </w:rPr>
        <w:t xml:space="preserve">Tools &amp; Databases Summary</w:t>
      </w:r>
    </w:p>
    <w:p>
      <w:pPr>
        <w:pStyle w:val="ListParagraph"/>
        <w:numPr>
          <w:ilvl w:val="0"/>
          <w:numId w:val="2"/>
        </w:numPr>
        <w:spacing w:after="80" w:line="360"/>
      </w:pPr>
      <w:r>
        <w:rPr>
          <w:rFonts w:ascii="Arial" w:cs="Arial" w:eastAsia="Arial" w:hAnsi="Arial"/>
          <w:sz w:val="24"/>
          <w:szCs w:val="24"/>
        </w:rPr>
        <w:t xml:space="preserve">Quiver Bioscience EP CRISPR Atlas: Core asset containing ~18,000 gene perturbations, ~3,500 compound perturbations, and 500+ electrophysiology features</w:t>
      </w:r>
    </w:p>
    <w:p>
      <w:pPr>
        <w:pStyle w:val="ListParagraph"/>
        <w:numPr>
          <w:ilvl w:val="0"/>
          <w:numId w:val="2"/>
        </w:numPr>
        <w:spacing w:after="80" w:line="360"/>
      </w:pPr>
      <w:r>
        <w:rPr>
          <w:rFonts w:ascii="Arial" w:cs="Arial" w:eastAsia="Arial" w:hAnsi="Arial"/>
          <w:sz w:val="24"/>
          <w:szCs w:val="24"/>
        </w:rPr>
        <w:t xml:space="preserve">BioGRID: Protein-protein interaction database for MECP2 and mTOR pathway component mapping</w:t>
      </w:r>
    </w:p>
    <w:p>
      <w:pPr>
        <w:pStyle w:val="ListParagraph"/>
        <w:numPr>
          <w:ilvl w:val="0"/>
          <w:numId w:val="2"/>
        </w:numPr>
        <w:spacing w:after="80" w:line="360"/>
      </w:pPr>
      <w:r>
        <w:rPr>
          <w:rFonts w:ascii="Arial" w:cs="Arial" w:eastAsia="Arial" w:hAnsi="Arial"/>
          <w:sz w:val="24"/>
          <w:szCs w:val="24"/>
        </w:rPr>
        <w:t xml:space="preserve">STRING Database: Functional interaction networks for pathway architecture and co-perturbation analysis</w:t>
      </w:r>
    </w:p>
    <w:p>
      <w:pPr>
        <w:pStyle w:val="ListParagraph"/>
        <w:numPr>
          <w:ilvl w:val="0"/>
          <w:numId w:val="2"/>
        </w:numPr>
        <w:spacing w:after="80" w:line="360"/>
      </w:pPr>
      <w:r>
        <w:rPr>
          <w:rFonts w:ascii="Arial" w:cs="Arial" w:eastAsia="Arial" w:hAnsi="Arial"/>
          <w:sz w:val="24"/>
          <w:szCs w:val="24"/>
        </w:rPr>
        <w:t xml:space="preserve">KEGG Pathway Database: Canonical pathway annotation and dysregulation tracking in MECP2-loss models</w:t>
      </w:r>
    </w:p>
    <w:p>
      <w:pPr>
        <w:pStyle w:val="ListParagraph"/>
        <w:numPr>
          <w:ilvl w:val="0"/>
          <w:numId w:val="2"/>
        </w:numPr>
        <w:spacing w:after="80" w:line="360"/>
      </w:pPr>
      <w:r>
        <w:rPr>
          <w:rFonts w:ascii="Arial" w:cs="Arial" w:eastAsia="Arial" w:hAnsi="Arial"/>
          <w:sz w:val="24"/>
          <w:szCs w:val="24"/>
        </w:rPr>
        <w:t xml:space="preserve">Human Protein Atlas: Tissue and cell-type-specific expression profiling for off-target risk assessment</w:t>
      </w:r>
    </w:p>
    <w:p>
      <w:pPr>
        <w:pStyle w:val="ListParagraph"/>
        <w:numPr>
          <w:ilvl w:val="0"/>
          <w:numId w:val="2"/>
        </w:numPr>
        <w:spacing w:after="80" w:line="360"/>
      </w:pPr>
      <w:r>
        <w:rPr>
          <w:rFonts w:ascii="Arial" w:cs="Arial" w:eastAsia="Arial" w:hAnsi="Arial"/>
          <w:sz w:val="24"/>
          <w:szCs w:val="24"/>
        </w:rPr>
        <w:t xml:space="preserve">GeneMANIA: Functional gene module prediction for MECP2 and adjacent regulatory networks</w:t>
      </w:r>
    </w:p>
    <w:p>
      <w:pPr>
        <w:pStyle w:val="ListParagraph"/>
        <w:numPr>
          <w:ilvl w:val="0"/>
          <w:numId w:val="2"/>
        </w:numPr>
        <w:spacing w:after="80" w:line="360"/>
      </w:pPr>
      <w:r>
        <w:rPr>
          <w:rFonts w:ascii="Arial" w:cs="Arial" w:eastAsia="Arial" w:hAnsi="Arial"/>
          <w:sz w:val="24"/>
          <w:szCs w:val="24"/>
        </w:rPr>
        <w:t xml:space="preserve">PhosphoSitePlus: Comprehensive phosphorylation site and kinase substrate databases</w:t>
      </w:r>
    </w:p>
    <w:p>
      <w:pPr>
        <w:pStyle w:val="ListParagraph"/>
        <w:numPr>
          <w:ilvl w:val="0"/>
          <w:numId w:val="2"/>
        </w:numPr>
        <w:spacing w:after="80" w:line="360"/>
      </w:pPr>
      <w:r>
        <w:rPr>
          <w:rFonts w:ascii="Arial" w:cs="Arial" w:eastAsia="Arial" w:hAnsi="Arial"/>
          <w:sz w:val="24"/>
          <w:szCs w:val="24"/>
        </w:rPr>
        <w:t xml:space="preserve">SIGNOR: Signal transduction pathway maps for mTORC1/C2 compartmentalization and selectivity</w:t>
      </w:r>
    </w:p>
    <w:p>
      <w:pPr>
        <w:pStyle w:val="ListParagraph"/>
        <w:numPr>
          <w:ilvl w:val="0"/>
          <w:numId w:val="2"/>
        </w:numPr>
        <w:spacing w:after="80" w:line="360"/>
      </w:pPr>
      <w:r>
        <w:rPr>
          <w:rFonts w:ascii="Arial" w:cs="Arial" w:eastAsia="Arial" w:hAnsi="Arial"/>
          <w:sz w:val="24"/>
          <w:szCs w:val="24"/>
        </w:rPr>
        <w:t xml:space="preserve">Reactome: Detailed pathway topologies, feedback loops, and tissue-specific mTOR regulation</w:t>
      </w:r>
    </w:p>
    <w:p>
      <w:pPr>
        <w:pStyle w:val="ListParagraph"/>
        <w:numPr>
          <w:ilvl w:val="0"/>
          <w:numId w:val="2"/>
        </w:numPr>
        <w:spacing w:after="80" w:line="360"/>
      </w:pPr>
      <w:r>
        <w:rPr>
          <w:rFonts w:ascii="Arial" w:cs="Arial" w:eastAsia="Arial" w:hAnsi="Arial"/>
          <w:sz w:val="24"/>
          <w:szCs w:val="24"/>
        </w:rPr>
        <w:t xml:space="preserve">DrugBank: Comprehensive drug-target interactions, pharmacokinetics, and clinical outcomes for mTOR inhibitors</w:t>
      </w:r>
    </w:p>
    <w:p>
      <w:pPr>
        <w:pStyle w:val="ListParagraph"/>
        <w:numPr>
          <w:ilvl w:val="0"/>
          <w:numId w:val="2"/>
        </w:numPr>
        <w:spacing w:after="80" w:line="360"/>
      </w:pPr>
      <w:r>
        <w:rPr>
          <w:rFonts w:ascii="Arial" w:cs="Arial" w:eastAsia="Arial" w:hAnsi="Arial"/>
          <w:sz w:val="24"/>
          <w:szCs w:val="24"/>
        </w:rPr>
        <w:t xml:space="preserve">ChEMBL: Chemical structure, assay data, and activity information for kinase modulators</w:t>
      </w:r>
    </w:p>
    <w:p>
      <w:pPr>
        <w:pStyle w:val="ListParagraph"/>
        <w:numPr>
          <w:ilvl w:val="0"/>
          <w:numId w:val="2"/>
        </w:numPr>
        <w:spacing w:after="80" w:line="360"/>
      </w:pPr>
      <w:r>
        <w:rPr>
          <w:rFonts w:ascii="Arial" w:cs="Arial" w:eastAsia="Arial" w:hAnsi="Arial"/>
          <w:sz w:val="24"/>
          <w:szCs w:val="24"/>
        </w:rPr>
        <w:t xml:space="preserve">PubChem: Large-scale molecular bioassay database with toxicity and off-target screening data</w:t>
      </w:r>
    </w:p>
    <w:p>
      <w:pPr>
        <w:pStyle w:val="ListParagraph"/>
        <w:numPr>
          <w:ilvl w:val="0"/>
          <w:numId w:val="2"/>
        </w:numPr>
        <w:spacing w:after="80" w:line="360"/>
      </w:pPr>
      <w:r>
        <w:rPr>
          <w:rFonts w:ascii="Arial" w:cs="Arial" w:eastAsia="Arial" w:hAnsi="Arial"/>
          <w:sz w:val="24"/>
          <w:szCs w:val="24"/>
        </w:rPr>
        <w:t xml:space="preserve">Kinase Assay Database: Kinase selectivity profiling and off-target inhibition metrics</w:t>
      </w:r>
    </w:p>
    <w:p>
      <w:pPr>
        <w:pStyle w:val="ListParagraph"/>
        <w:numPr>
          <w:ilvl w:val="0"/>
          <w:numId w:val="2"/>
        </w:numPr>
        <w:spacing w:after="80" w:line="360"/>
      </w:pPr>
      <w:r>
        <w:rPr>
          <w:rFonts w:ascii="Arial" w:cs="Arial" w:eastAsia="Arial" w:hAnsi="Arial"/>
          <w:sz w:val="24"/>
          <w:szCs w:val="24"/>
        </w:rPr>
        <w:t xml:space="preserve">NCBI Gene2Diseases: Genetic and pharmacological disease association databases</w:t>
      </w:r>
    </w:p>
    <w:p>
      <w:pPr>
        <w:pStyle w:val="ListParagraph"/>
        <w:numPr>
          <w:ilvl w:val="0"/>
          <w:numId w:val="2"/>
        </w:numPr>
        <w:spacing w:after="80" w:line="360"/>
      </w:pPr>
      <w:r>
        <w:rPr>
          <w:rFonts w:ascii="Arial" w:cs="Arial" w:eastAsia="Arial" w:hAnsi="Arial"/>
          <w:sz w:val="24"/>
          <w:szCs w:val="24"/>
        </w:rPr>
        <w:t xml:space="preserve">UniProt PTM Browser: Post-translational modification and kinase substrate specificity annotation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2026-03-02T16:54:22.646Z</dcterms:created>
  <dcterms:modified xsi:type="dcterms:W3CDTF">2026-03-02T16:54:22.646Z</dcterms:modified>
</cp:coreProperties>
</file>

<file path=docProps/custom.xml><?xml version="1.0" encoding="utf-8"?>
<Properties xmlns="http://schemas.openxmlformats.org/officeDocument/2006/custom-properties" xmlns:vt="http://schemas.openxmlformats.org/officeDocument/2006/docPropsVTypes"/>
</file>