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line="360"/>
      </w:pPr>
      <w:r>
        <w:rPr>
          <w:rFonts w:ascii="Arial" w:cs="Arial" w:eastAsia="Arial" w:hAnsi="Arial"/>
          <w:b/>
          <w:bCs/>
          <w:sz w:val="32"/>
          <w:szCs w:val="32"/>
        </w:rPr>
        <w:t xml:space="preserve">Sapphire Pipeline Workflow</w:t>
      </w:r>
    </w:p>
    <w:p>
      <w:pPr>
        <w:pStyle w:val="Heading2"/>
        <w:spacing w:after="200" w:before="200" w:line="360"/>
      </w:pPr>
      <w:r>
        <w:rPr>
          <w:rFonts w:ascii="Arial" w:cs="Arial" w:eastAsia="Arial" w:hAnsi="Arial"/>
          <w:b/>
          <w:bCs/>
          <w:sz w:val="28"/>
          <w:szCs w:val="28"/>
        </w:rPr>
        <w:t xml:space="preserve">Prompt: "Rank anti-seizure drugs by predicted long-term network stability in TSC2 KO neurons."</w:t>
      </w:r>
    </w:p>
    <w:p>
      <w:pPr>
        <w:spacing w:after="200" w:line="360"/>
      </w:pPr>
      <w:r>
        <w:rPr>
          <w:rFonts w:ascii="Arial" w:cs="Arial" w:eastAsia="Arial" w:hAnsi="Arial"/>
          <w:sz w:val="24"/>
          <w:szCs w:val="24"/>
        </w:rPr>
        <w:t xml:space="preserve">This document defines the complete Sapphire pipeline for predicting long-term anti-seizure drug efficacy in TSC2-deficient neurons. The pipeline leverages Quiver Bioscience's electrophysiology CRISPR atlas to systematically characterize TSC2 loss-of-function phenotypes, screen anti-seizure medications for acute and chronic efficacy, assess network-level stability, and rank compounds by predicted long-term effectiveness while managing resistance/tolerance emergence.</w:t>
      </w:r>
    </w:p>
    <w:p>
      <w:pPr>
        <w:pStyle w:val="Heading2"/>
        <w:spacing w:after="200" w:before="200" w:line="36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Tuberous sclerosis complex (TSC) is an autosomal dominant disorder caused by mutations in TSC1 or TSC2 genes, which encode components of the TSC complex—a critical negative regulator of mTORC1. TSC loss leads to uncontrolled mTORC1 activation, driving aberrant cell growth, tumorigenesis, and neurological features including refractory seizures, intellectual disability, and autism spectrum features. Seizures occur in up to 90% of TSC patients and represent the primary cause of morbidity and mortality. Current anti-seizure drugs (ASDs) show variable efficacy in TSC-associated seizures, and many patients develop treatment-refractory epilepsy despite polytherapy.</w:t>
      </w:r>
    </w:p>
    <w:p>
      <w:pPr>
        <w:spacing w:after="200" w:line="360"/>
      </w:pPr>
      <w:r>
        <w:rPr>
          <w:rFonts w:ascii="Arial" w:cs="Arial" w:eastAsia="Arial" w:hAnsi="Arial"/>
          <w:sz w:val="24"/>
          <w:szCs w:val="24"/>
        </w:rPr>
        <w:t xml:space="preserve">This pipeline addresses the critical clinical need to predict which ASDs will maintain long-term efficacy in TSC2-deficient neurons by integrating acute screening, chronic stability assessment, and network-level circuit analysis. By distinguishing compounds with sustained efficacy from those prone to tolerance/resistance, and by identifying patient biomarkers predicting responsiveness, this approach enables personalized anti-seizure therapy optimization for tuberous sclerosis.</w:t>
      </w:r>
    </w:p>
    <w:p>
      <w:pPr>
        <w:pStyle w:val="Heading2"/>
        <w:spacing w:after="200" w:before="200" w:line="360"/>
      </w:pPr>
      <w:r>
        <w:rPr>
          <w:rFonts w:ascii="Arial" w:cs="Arial" w:eastAsia="Arial" w:hAnsi="Arial"/>
          <w:b/>
          <w:bCs/>
          <w:sz w:val="28"/>
          <w:szCs w:val="28"/>
        </w:rPr>
        <w:t xml:space="preserve">Stage 1: TSC2 KO Neuronal Phenotyping and Characterization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Establish comprehensive baseline TSC2-loss electrophysiological and network phenotypes from the Quiver atlas to define seizure vulnerability and instability signatures.</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TSC2-perturbed electrophysiological features from Quiver EP atlas across ~500 features and multiple neuronal subtypes</w:t>
      </w:r>
    </w:p>
    <w:p>
      <w:pPr>
        <w:pStyle w:val="ListParagraph"/>
        <w:numPr>
          <w:ilvl w:val="0"/>
          <w:numId w:val="2"/>
        </w:numPr>
        <w:spacing w:after="80" w:line="360"/>
      </w:pPr>
      <w:r>
        <w:rPr>
          <w:rFonts w:ascii="Arial" w:cs="Arial" w:eastAsia="Arial" w:hAnsi="Arial"/>
          <w:sz w:val="24"/>
          <w:szCs w:val="24"/>
        </w:rPr>
        <w:t xml:space="preserve">TSC1/TSC2 complex protein interaction networks from structural and biochemical studies</w:t>
      </w:r>
    </w:p>
    <w:p>
      <w:pPr>
        <w:pStyle w:val="ListParagraph"/>
        <w:numPr>
          <w:ilvl w:val="0"/>
          <w:numId w:val="2"/>
        </w:numPr>
        <w:spacing w:after="80" w:line="360"/>
      </w:pPr>
      <w:r>
        <w:rPr>
          <w:rFonts w:ascii="Arial" w:cs="Arial" w:eastAsia="Arial" w:hAnsi="Arial"/>
          <w:sz w:val="24"/>
          <w:szCs w:val="24"/>
        </w:rPr>
        <w:t xml:space="preserve">mTORC1 hyperactivation signatures (S6K, 4E-BP1, PKC phosphorylation) in TSC2-deficient neurons</w:t>
      </w:r>
    </w:p>
    <w:p>
      <w:pPr>
        <w:pStyle w:val="ListParagraph"/>
        <w:numPr>
          <w:ilvl w:val="0"/>
          <w:numId w:val="2"/>
        </w:numPr>
        <w:spacing w:after="80" w:line="360"/>
      </w:pPr>
      <w:r>
        <w:rPr>
          <w:rFonts w:ascii="Arial" w:cs="Arial" w:eastAsia="Arial" w:hAnsi="Arial"/>
          <w:sz w:val="24"/>
          <w:szCs w:val="24"/>
        </w:rPr>
        <w:t xml:space="preserve">Spontaneous burst activity, synchronization patterns, and seizure-like network events in TSC2 KO models</w:t>
      </w:r>
    </w:p>
    <w:p>
      <w:pPr>
        <w:pStyle w:val="ListParagraph"/>
        <w:numPr>
          <w:ilvl w:val="0"/>
          <w:numId w:val="2"/>
        </w:numPr>
        <w:spacing w:after="80" w:line="360"/>
      </w:pPr>
      <w:r>
        <w:rPr>
          <w:rFonts w:ascii="Arial" w:cs="Arial" w:eastAsia="Arial" w:hAnsi="Arial"/>
          <w:sz w:val="24"/>
          <w:szCs w:val="24"/>
        </w:rPr>
        <w:t xml:space="preserve">Temporal stability metrics: baseline variance, drift, and instability indicators over 24-72 hours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Quiver Bioscience EP CRISPR Atlas: </w:t>
      </w:r>
      <w:r>
        <w:rPr>
          <w:rFonts w:ascii="Arial" w:cs="Arial" w:eastAsia="Arial" w:hAnsi="Arial"/>
          <w:sz w:val="24"/>
          <w:szCs w:val="24"/>
        </w:rPr>
        <w:t xml:space="preserve">Retrieve TSC1 and TSC2 perturbation phenotypes and co-perturbation networks</w:t>
      </w:r>
    </w:p>
    <w:p>
      <w:pPr>
        <w:pStyle w:val="ListParagraph"/>
        <w:numPr>
          <w:ilvl w:val="0"/>
          <w:numId w:val="2"/>
        </w:numPr>
        <w:spacing w:after="80" w:line="360"/>
      </w:pPr>
      <w:r>
        <w:rPr>
          <w:rFonts w:ascii="Arial" w:cs="Arial" w:eastAsia="Arial" w:hAnsi="Arial"/>
          <w:b/>
          <w:bCs/>
          <w:sz w:val="24"/>
          <w:szCs w:val="24"/>
        </w:rPr>
        <w:t xml:space="preserve">BioGRID &amp; String Databases: </w:t>
      </w:r>
      <w:r>
        <w:rPr>
          <w:rFonts w:ascii="Arial" w:cs="Arial" w:eastAsia="Arial" w:hAnsi="Arial"/>
          <w:sz w:val="24"/>
          <w:szCs w:val="24"/>
        </w:rPr>
        <w:t xml:space="preserve">Map TSC complex components and mTOR pathway architecture</w:t>
      </w:r>
    </w:p>
    <w:p>
      <w:pPr>
        <w:pStyle w:val="ListParagraph"/>
        <w:numPr>
          <w:ilvl w:val="0"/>
          <w:numId w:val="2"/>
        </w:numPr>
        <w:spacing w:after="80" w:line="360"/>
      </w:pPr>
      <w:r>
        <w:rPr>
          <w:rFonts w:ascii="Arial" w:cs="Arial" w:eastAsia="Arial" w:hAnsi="Arial"/>
          <w:b/>
          <w:bCs/>
          <w:sz w:val="24"/>
          <w:szCs w:val="24"/>
        </w:rPr>
        <w:t xml:space="preserve">KEGG TSC/mTOR Pathway: </w:t>
      </w:r>
      <w:r>
        <w:rPr>
          <w:rFonts w:ascii="Arial" w:cs="Arial" w:eastAsia="Arial" w:hAnsi="Arial"/>
          <w:sz w:val="24"/>
          <w:szCs w:val="24"/>
        </w:rPr>
        <w:t xml:space="preserve">Reference canonical pathway dysregulation in TSC-deficient models</w:t>
      </w:r>
    </w:p>
    <w:p>
      <w:pPr>
        <w:pStyle w:val="ListParagraph"/>
        <w:numPr>
          <w:ilvl w:val="0"/>
          <w:numId w:val="2"/>
        </w:numPr>
        <w:spacing w:after="80" w:line="360"/>
      </w:pPr>
      <w:r>
        <w:rPr>
          <w:rFonts w:ascii="Arial" w:cs="Arial" w:eastAsia="Arial" w:hAnsi="Arial"/>
          <w:b/>
          <w:bCs/>
          <w:sz w:val="24"/>
          <w:szCs w:val="24"/>
        </w:rPr>
        <w:t xml:space="preserve">Human Protein Atlas: </w:t>
      </w:r>
      <w:r>
        <w:rPr>
          <w:rFonts w:ascii="Arial" w:cs="Arial" w:eastAsia="Arial" w:hAnsi="Arial"/>
          <w:sz w:val="24"/>
          <w:szCs w:val="24"/>
        </w:rPr>
        <w:t xml:space="preserve">TSC1/TSC2 expression across neuronal and glial cell types</w:t>
      </w:r>
    </w:p>
    <w:p>
      <w:pPr>
        <w:pStyle w:val="ListParagraph"/>
        <w:numPr>
          <w:ilvl w:val="0"/>
          <w:numId w:val="2"/>
        </w:numPr>
        <w:spacing w:after="80" w:line="360"/>
      </w:pPr>
      <w:r>
        <w:rPr>
          <w:rFonts w:ascii="Arial" w:cs="Arial" w:eastAsia="Arial" w:hAnsi="Arial"/>
          <w:b/>
          <w:bCs/>
          <w:sz w:val="24"/>
          <w:szCs w:val="24"/>
        </w:rPr>
        <w:t xml:space="preserve">Seizure-Related Gene Database (SRGD): </w:t>
      </w:r>
      <w:r>
        <w:rPr>
          <w:rFonts w:ascii="Arial" w:cs="Arial" w:eastAsia="Arial" w:hAnsi="Arial"/>
          <w:sz w:val="24"/>
          <w:szCs w:val="24"/>
        </w:rPr>
        <w:t xml:space="preserve">Cross-reference TSC2 perturbations with known seizure genes and mechanisms</w:t>
      </w:r>
    </w:p>
    <w:p>
      <w:pPr>
        <w:pStyle w:val="ListParagraph"/>
        <w:numPr>
          <w:ilvl w:val="0"/>
          <w:numId w:val="2"/>
        </w:numPr>
        <w:spacing w:after="80" w:line="360"/>
      </w:pPr>
      <w:r>
        <w:rPr>
          <w:rFonts w:ascii="Arial" w:cs="Arial" w:eastAsia="Arial" w:hAnsi="Arial"/>
          <w:b/>
          <w:bCs/>
          <w:sz w:val="24"/>
          <w:szCs w:val="24"/>
        </w:rPr>
        <w:t xml:space="preserve">Network Stability Metrics Pipeline: </w:t>
      </w:r>
      <w:r>
        <w:rPr>
          <w:rFonts w:ascii="Arial" w:cs="Arial" w:eastAsia="Arial" w:hAnsi="Arial"/>
          <w:sz w:val="24"/>
          <w:szCs w:val="24"/>
        </w:rPr>
        <w:t xml:space="preserve">Quantify burst frequency, synchrony variance, intraburst interval regularity</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What are the top 50 most dysregulated EP features in TSC2 KO neurons compared to wildtype controls?</w:t>
      </w:r>
    </w:p>
    <w:p>
      <w:pPr>
        <w:pStyle w:val="ListParagraph"/>
        <w:numPr>
          <w:ilvl w:val="0"/>
          <w:numId w:val="2"/>
        </w:numPr>
        <w:spacing w:after="80" w:line="360"/>
      </w:pPr>
      <w:r>
        <w:rPr>
          <w:rFonts w:ascii="Arial" w:cs="Arial" w:eastAsia="Arial" w:hAnsi="Arial"/>
          <w:sz w:val="24"/>
          <w:szCs w:val="24"/>
        </w:rPr>
        <w:t xml:space="preserve">How do burst characteristics (frequency, amplitude, duration, inter-burst interval) differ in TSC2-deficient networks?</w:t>
      </w:r>
    </w:p>
    <w:p>
      <w:pPr>
        <w:pStyle w:val="ListParagraph"/>
        <w:numPr>
          <w:ilvl w:val="0"/>
          <w:numId w:val="2"/>
        </w:numPr>
        <w:spacing w:after="80" w:line="360"/>
      </w:pPr>
      <w:r>
        <w:rPr>
          <w:rFonts w:ascii="Arial" w:cs="Arial" w:eastAsia="Arial" w:hAnsi="Arial"/>
          <w:sz w:val="24"/>
          <w:szCs w:val="24"/>
        </w:rPr>
        <w:t xml:space="preserve">Which excitatory-inhibitory (E/I) balance metrics are most dysregulated (E/I ratio, GABAergic transmission, inhibitory tone)?</w:t>
      </w:r>
    </w:p>
    <w:p>
      <w:pPr>
        <w:pStyle w:val="ListParagraph"/>
        <w:numPr>
          <w:ilvl w:val="0"/>
          <w:numId w:val="2"/>
        </w:numPr>
        <w:spacing w:after="80" w:line="360"/>
      </w:pPr>
      <w:r>
        <w:rPr>
          <w:rFonts w:ascii="Arial" w:cs="Arial" w:eastAsia="Arial" w:hAnsi="Arial"/>
          <w:sz w:val="24"/>
          <w:szCs w:val="24"/>
        </w:rPr>
        <w:t xml:space="preserve">What is the seizure threshold and spontaneous seizure-like event frequency in TSC2 KO networks?</w:t>
      </w:r>
    </w:p>
    <w:p>
      <w:pPr>
        <w:pStyle w:val="ListParagraph"/>
        <w:numPr>
          <w:ilvl w:val="0"/>
          <w:numId w:val="2"/>
        </w:numPr>
        <w:spacing w:after="80" w:line="360"/>
      </w:pPr>
      <w:r>
        <w:rPr>
          <w:rFonts w:ascii="Arial" w:cs="Arial" w:eastAsia="Arial" w:hAnsi="Arial"/>
          <w:sz w:val="24"/>
          <w:szCs w:val="24"/>
        </w:rPr>
        <w:t xml:space="preserve">How does mTORC1 hyperactivation correlate with network instability phenotypes?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Quantified TSC2 KO phenotype: feature z-scores, burst metrics (frequency, duration, amplitude), synchronization index</w:t>
      </w:r>
    </w:p>
    <w:p>
      <w:pPr>
        <w:pStyle w:val="ListParagraph"/>
        <w:numPr>
          <w:ilvl w:val="0"/>
          <w:numId w:val="2"/>
        </w:numPr>
        <w:spacing w:after="80" w:line="360"/>
      </w:pPr>
      <w:r>
        <w:rPr>
          <w:rFonts w:ascii="Arial" w:cs="Arial" w:eastAsia="Arial" w:hAnsi="Arial"/>
          <w:sz w:val="24"/>
          <w:szCs w:val="24"/>
        </w:rPr>
        <w:t xml:space="preserve">Seizure susceptibility scoring across cell types and network configurations</w:t>
      </w:r>
    </w:p>
    <w:p>
      <w:pPr>
        <w:pStyle w:val="ListParagraph"/>
        <w:numPr>
          <w:ilvl w:val="0"/>
          <w:numId w:val="2"/>
        </w:numPr>
        <w:spacing w:after="80" w:line="360"/>
      </w:pPr>
      <w:r>
        <w:rPr>
          <w:rFonts w:ascii="Arial" w:cs="Arial" w:eastAsia="Arial" w:hAnsi="Arial"/>
          <w:sz w:val="24"/>
          <w:szCs w:val="24"/>
        </w:rPr>
        <w:t xml:space="preserve">Temporal stability baselines: burst variance, event predictability, network state entropy</w:t>
      </w:r>
    </w:p>
    <w:p>
      <w:pPr>
        <w:pStyle w:val="ListParagraph"/>
        <w:numPr>
          <w:ilvl w:val="0"/>
          <w:numId w:val="2"/>
        </w:numPr>
        <w:spacing w:after="80" w:line="360"/>
      </w:pPr>
      <w:r>
        <w:rPr>
          <w:rFonts w:ascii="Arial" w:cs="Arial" w:eastAsia="Arial" w:hAnsi="Arial"/>
          <w:sz w:val="24"/>
          <w:szCs w:val="24"/>
        </w:rPr>
        <w:t xml:space="preserve">mTORC1 pathway activation profile with correlation to network instability</w:t>
      </w:r>
    </w:p>
    <w:p>
      <w:pPr>
        <w:pStyle w:val="ListParagraph"/>
        <w:numPr>
          <w:ilvl w:val="0"/>
          <w:numId w:val="2"/>
        </w:numPr>
        <w:spacing w:after="80" w:line="360"/>
      </w:pPr>
      <w:r>
        <w:rPr>
          <w:rFonts w:ascii="Arial" w:cs="Arial" w:eastAsia="Arial" w:hAnsi="Arial"/>
          <w:sz w:val="24"/>
          <w:szCs w:val="24"/>
        </w:rPr>
        <w:t xml:space="preserve">E/I balance dysregulation metrics (GABA/glutamate ratios, inhibitory conductance, network stability)</w:t>
      </w:r>
    </w:p>
    <w:p>
      <w:pPr>
        <w:pStyle w:val="ListParagraph"/>
        <w:numPr>
          <w:ilvl w:val="0"/>
          <w:numId w:val="2"/>
        </w:numPr>
        <w:spacing w:after="80" w:line="360"/>
      </w:pPr>
      <w:r>
        <w:rPr>
          <w:rFonts w:ascii="Arial" w:cs="Arial" w:eastAsia="Arial" w:hAnsi="Arial"/>
          <w:sz w:val="24"/>
          <w:szCs w:val="24"/>
        </w:rPr>
        <w:t xml:space="preserve">Compound-by-feature interaction matrix predicting response directionality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Heatmaps of feature dysregulation, burst characteristic tables (CSV), stability index matrices, temporal kinetics plots.</w:t>
      </w:r>
    </w:p>
    <w:p>
      <w:pPr>
        <w:pStyle w:val="Heading2"/>
        <w:spacing w:after="200" w:before="200" w:line="360"/>
      </w:pPr>
      <w:r>
        <w:rPr>
          <w:rFonts w:ascii="Arial" w:cs="Arial" w:eastAsia="Arial" w:hAnsi="Arial"/>
          <w:b/>
          <w:bCs/>
          <w:sz w:val="28"/>
          <w:szCs w:val="28"/>
        </w:rPr>
        <w:t xml:space="preserve">Stage 2: Anti-Seizure Drug Library Screening Against TSC2 Phenotypes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Systematically screen approved anti-seizure medications and experimental compounds from Quiver library against TSC2 KO neuronal phenotypes to identify acute efficacy profiles.</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Anti-seizure drug (ASD) perturbation data from Quiver compound library (~60-100 approved and experimental ASDs)</w:t>
      </w:r>
    </w:p>
    <w:p>
      <w:pPr>
        <w:pStyle w:val="ListParagraph"/>
        <w:numPr>
          <w:ilvl w:val="0"/>
          <w:numId w:val="2"/>
        </w:numPr>
        <w:spacing w:after="80" w:line="360"/>
      </w:pPr>
      <w:r>
        <w:rPr>
          <w:rFonts w:ascii="Arial" w:cs="Arial" w:eastAsia="Arial" w:hAnsi="Arial"/>
          <w:sz w:val="24"/>
          <w:szCs w:val="24"/>
        </w:rPr>
        <w:t xml:space="preserve">Acute dose-response profiles for each ASD against TSC2 KO EP features (optimal acutely achieved at 24-48 hours)</w:t>
      </w:r>
    </w:p>
    <w:p>
      <w:pPr>
        <w:pStyle w:val="ListParagraph"/>
        <w:numPr>
          <w:ilvl w:val="0"/>
          <w:numId w:val="2"/>
        </w:numPr>
        <w:spacing w:after="80" w:line="360"/>
      </w:pPr>
      <w:r>
        <w:rPr>
          <w:rFonts w:ascii="Arial" w:cs="Arial" w:eastAsia="Arial" w:hAnsi="Arial"/>
          <w:sz w:val="24"/>
          <w:szCs w:val="24"/>
        </w:rPr>
        <w:t xml:space="preserve">Mechanistic classification of ASDs (GABA potentiators, Na+ channel blockers, Ca2+ channel blockers, Others)</w:t>
      </w:r>
    </w:p>
    <w:p>
      <w:pPr>
        <w:pStyle w:val="ListParagraph"/>
        <w:numPr>
          <w:ilvl w:val="0"/>
          <w:numId w:val="2"/>
        </w:numPr>
        <w:spacing w:after="80" w:line="360"/>
      </w:pPr>
      <w:r>
        <w:rPr>
          <w:rFonts w:ascii="Arial" w:cs="Arial" w:eastAsia="Arial" w:hAnsi="Arial"/>
          <w:sz w:val="24"/>
          <w:szCs w:val="24"/>
        </w:rPr>
        <w:t xml:space="preserve">TSC2 KO baseline phenotypes from Stage 1</w:t>
      </w:r>
    </w:p>
    <w:p>
      <w:pPr>
        <w:pStyle w:val="ListParagraph"/>
        <w:numPr>
          <w:ilvl w:val="0"/>
          <w:numId w:val="2"/>
        </w:numPr>
        <w:spacing w:after="80" w:line="360"/>
      </w:pPr>
      <w:r>
        <w:rPr>
          <w:rFonts w:ascii="Arial" w:cs="Arial" w:eastAsia="Arial" w:hAnsi="Arial"/>
          <w:sz w:val="24"/>
          <w:szCs w:val="24"/>
        </w:rPr>
        <w:t xml:space="preserve">Known clinical efficacy and adverse events for each ASD from clinical literature</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Quiver Compound Perturbation Library: </w:t>
      </w:r>
      <w:r>
        <w:rPr>
          <w:rFonts w:ascii="Arial" w:cs="Arial" w:eastAsia="Arial" w:hAnsi="Arial"/>
          <w:sz w:val="24"/>
          <w:szCs w:val="24"/>
        </w:rPr>
        <w:t xml:space="preserve">Screen all available anti-seizure medications against TSC2 KO neurons</w:t>
      </w:r>
    </w:p>
    <w:p>
      <w:pPr>
        <w:pStyle w:val="ListParagraph"/>
        <w:numPr>
          <w:ilvl w:val="0"/>
          <w:numId w:val="2"/>
        </w:numPr>
        <w:spacing w:after="80" w:line="360"/>
      </w:pPr>
      <w:r>
        <w:rPr>
          <w:rFonts w:ascii="Arial" w:cs="Arial" w:eastAsia="Arial" w:hAnsi="Arial"/>
          <w:b/>
          <w:bCs/>
          <w:sz w:val="24"/>
          <w:szCs w:val="24"/>
        </w:rPr>
        <w:t xml:space="preserve">DrugBank Anti-Seizure Drug Collection: </w:t>
      </w:r>
      <w:r>
        <w:rPr>
          <w:rFonts w:ascii="Arial" w:cs="Arial" w:eastAsia="Arial" w:hAnsi="Arial"/>
          <w:sz w:val="24"/>
          <w:szCs w:val="24"/>
        </w:rPr>
        <w:t xml:space="preserve">Retrieve mechanism of action, pharmacokinetics, and clinical efficacy data</w:t>
      </w:r>
    </w:p>
    <w:p>
      <w:pPr>
        <w:pStyle w:val="ListParagraph"/>
        <w:numPr>
          <w:ilvl w:val="0"/>
          <w:numId w:val="2"/>
        </w:numPr>
        <w:spacing w:after="80" w:line="360"/>
      </w:pPr>
      <w:r>
        <w:rPr>
          <w:rFonts w:ascii="Arial" w:cs="Arial" w:eastAsia="Arial" w:hAnsi="Arial"/>
          <w:b/>
          <w:bCs/>
          <w:sz w:val="24"/>
          <w:szCs w:val="24"/>
        </w:rPr>
        <w:t xml:space="preserve">Epilepsy and Seizure Disorder Database (EpilepsyDB): </w:t>
      </w:r>
      <w:r>
        <w:rPr>
          <w:rFonts w:ascii="Arial" w:cs="Arial" w:eastAsia="Arial" w:hAnsi="Arial"/>
          <w:sz w:val="24"/>
          <w:szCs w:val="24"/>
        </w:rPr>
        <w:t xml:space="preserve">Cross-reference ASDs with TSC-associated seizure phenotypes</w:t>
      </w:r>
    </w:p>
    <w:p>
      <w:pPr>
        <w:pStyle w:val="ListParagraph"/>
        <w:numPr>
          <w:ilvl w:val="0"/>
          <w:numId w:val="2"/>
        </w:numPr>
        <w:spacing w:after="80" w:line="360"/>
      </w:pPr>
      <w:r>
        <w:rPr>
          <w:rFonts w:ascii="Arial" w:cs="Arial" w:eastAsia="Arial" w:hAnsi="Arial"/>
          <w:b/>
          <w:bCs/>
          <w:sz w:val="24"/>
          <w:szCs w:val="24"/>
        </w:rPr>
        <w:t xml:space="preserve">Therapeutic Target Database (TTD): </w:t>
      </w:r>
      <w:r>
        <w:rPr>
          <w:rFonts w:ascii="Arial" w:cs="Arial" w:eastAsia="Arial" w:hAnsi="Arial"/>
          <w:sz w:val="24"/>
          <w:szCs w:val="24"/>
        </w:rPr>
        <w:t xml:space="preserve">Identify ASD targets and off-target kinase interactions</w:t>
      </w:r>
    </w:p>
    <w:p>
      <w:pPr>
        <w:pStyle w:val="ListParagraph"/>
        <w:numPr>
          <w:ilvl w:val="0"/>
          <w:numId w:val="2"/>
        </w:numPr>
        <w:spacing w:after="80" w:line="360"/>
      </w:pPr>
      <w:r>
        <w:rPr>
          <w:rFonts w:ascii="Arial" w:cs="Arial" w:eastAsia="Arial" w:hAnsi="Arial"/>
          <w:b/>
          <w:bCs/>
          <w:sz w:val="24"/>
          <w:szCs w:val="24"/>
        </w:rPr>
        <w:t xml:space="preserve">PubMed/Google Scholar: </w:t>
      </w:r>
      <w:r>
        <w:rPr>
          <w:rFonts w:ascii="Arial" w:cs="Arial" w:eastAsia="Arial" w:hAnsi="Arial"/>
          <w:sz w:val="24"/>
          <w:szCs w:val="24"/>
        </w:rPr>
        <w:t xml:space="preserve">Literature validation of ASDs in tuberous sclerosis and TSC models</w:t>
      </w:r>
    </w:p>
    <w:p>
      <w:pPr>
        <w:pStyle w:val="ListParagraph"/>
        <w:numPr>
          <w:ilvl w:val="0"/>
          <w:numId w:val="2"/>
        </w:numPr>
        <w:spacing w:after="80" w:line="360"/>
      </w:pPr>
      <w:r>
        <w:rPr>
          <w:rFonts w:ascii="Arial" w:cs="Arial" w:eastAsia="Arial" w:hAnsi="Arial"/>
          <w:b/>
          <w:bCs/>
          <w:sz w:val="24"/>
          <w:szCs w:val="24"/>
        </w:rPr>
        <w:t xml:space="preserve">ChEMBL &amp; PubChem: </w:t>
      </w:r>
      <w:r>
        <w:rPr>
          <w:rFonts w:ascii="Arial" w:cs="Arial" w:eastAsia="Arial" w:hAnsi="Arial"/>
          <w:sz w:val="24"/>
          <w:szCs w:val="24"/>
        </w:rPr>
        <w:t xml:space="preserve">Query ASD binding assays, potency data, and selectivity profiles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Which anti-seizure drug classes show greatest acute efficacy in suppressing TSC2 KO burst activity?</w:t>
      </w:r>
    </w:p>
    <w:p>
      <w:pPr>
        <w:pStyle w:val="ListParagraph"/>
        <w:numPr>
          <w:ilvl w:val="0"/>
          <w:numId w:val="2"/>
        </w:numPr>
        <w:spacing w:after="80" w:line="360"/>
      </w:pPr>
      <w:r>
        <w:rPr>
          <w:rFonts w:ascii="Arial" w:cs="Arial" w:eastAsia="Arial" w:hAnsi="Arial"/>
          <w:sz w:val="24"/>
          <w:szCs w:val="24"/>
        </w:rPr>
        <w:t xml:space="preserve">How do GABA potentiators compare to Na+/Ca2+ channel blockers in normalizing network stability?</w:t>
      </w:r>
    </w:p>
    <w:p>
      <w:pPr>
        <w:pStyle w:val="ListParagraph"/>
        <w:numPr>
          <w:ilvl w:val="0"/>
          <w:numId w:val="2"/>
        </w:numPr>
        <w:spacing w:after="80" w:line="360"/>
      </w:pPr>
      <w:r>
        <w:rPr>
          <w:rFonts w:ascii="Arial" w:cs="Arial" w:eastAsia="Arial" w:hAnsi="Arial"/>
          <w:sz w:val="24"/>
          <w:szCs w:val="24"/>
        </w:rPr>
        <w:t xml:space="preserve">Which individual ASDs show &gt;50% rescue of dysregulated EP features?</w:t>
      </w:r>
    </w:p>
    <w:p>
      <w:pPr>
        <w:pStyle w:val="ListParagraph"/>
        <w:numPr>
          <w:ilvl w:val="0"/>
          <w:numId w:val="2"/>
        </w:numPr>
        <w:spacing w:after="80" w:line="360"/>
      </w:pPr>
      <w:r>
        <w:rPr>
          <w:rFonts w:ascii="Arial" w:cs="Arial" w:eastAsia="Arial" w:hAnsi="Arial"/>
          <w:sz w:val="24"/>
          <w:szCs w:val="24"/>
        </w:rPr>
        <w:t xml:space="preserve">Do certain ASDs preferentially rescue inhibitory neuron function vs. excitatory tone?</w:t>
      </w:r>
    </w:p>
    <w:p>
      <w:pPr>
        <w:pStyle w:val="ListParagraph"/>
        <w:numPr>
          <w:ilvl w:val="0"/>
          <w:numId w:val="2"/>
        </w:numPr>
        <w:spacing w:after="80" w:line="360"/>
      </w:pPr>
      <w:r>
        <w:rPr>
          <w:rFonts w:ascii="Arial" w:cs="Arial" w:eastAsia="Arial" w:hAnsi="Arial"/>
          <w:sz w:val="24"/>
          <w:szCs w:val="24"/>
        </w:rPr>
        <w:t xml:space="preserve">What is the dose-response relationship for top ASDs in TSC2 KO networks?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Ranked ASDs by acute efficacy score (percent dysregulated features improved, magnitude of improvement)</w:t>
      </w:r>
    </w:p>
    <w:p>
      <w:pPr>
        <w:pStyle w:val="ListParagraph"/>
        <w:numPr>
          <w:ilvl w:val="0"/>
          <w:numId w:val="2"/>
        </w:numPr>
        <w:spacing w:after="80" w:line="360"/>
      </w:pPr>
      <w:r>
        <w:rPr>
          <w:rFonts w:ascii="Arial" w:cs="Arial" w:eastAsia="Arial" w:hAnsi="Arial"/>
          <w:sz w:val="24"/>
          <w:szCs w:val="24"/>
        </w:rPr>
        <w:t xml:space="preserve">Dose-response curves for top 20-30 ASDs across 10-15 key TSC2 KO phenotypes</w:t>
      </w:r>
    </w:p>
    <w:p>
      <w:pPr>
        <w:pStyle w:val="ListParagraph"/>
        <w:numPr>
          <w:ilvl w:val="0"/>
          <w:numId w:val="2"/>
        </w:numPr>
        <w:spacing w:after="80" w:line="360"/>
      </w:pPr>
      <w:r>
        <w:rPr>
          <w:rFonts w:ascii="Arial" w:cs="Arial" w:eastAsia="Arial" w:hAnsi="Arial"/>
          <w:sz w:val="24"/>
          <w:szCs w:val="24"/>
        </w:rPr>
        <w:t xml:space="preserve">Mechanism-based efficacy rankings (GABA potentiators, Na+ blockers, Ca2+ blockers separately)</w:t>
      </w:r>
    </w:p>
    <w:p>
      <w:pPr>
        <w:pStyle w:val="ListParagraph"/>
        <w:numPr>
          <w:ilvl w:val="0"/>
          <w:numId w:val="2"/>
        </w:numPr>
        <w:spacing w:after="80" w:line="360"/>
      </w:pPr>
      <w:r>
        <w:rPr>
          <w:rFonts w:ascii="Arial" w:cs="Arial" w:eastAsia="Arial" w:hAnsi="Arial"/>
          <w:sz w:val="24"/>
          <w:szCs w:val="24"/>
        </w:rPr>
        <w:t xml:space="preserve">Feature-specific rescue maps (which ASDs rescue burst frequency vs. spike timing vs. synchrony)</w:t>
      </w:r>
    </w:p>
    <w:p>
      <w:pPr>
        <w:pStyle w:val="ListParagraph"/>
        <w:numPr>
          <w:ilvl w:val="0"/>
          <w:numId w:val="2"/>
        </w:numPr>
        <w:spacing w:after="80" w:line="360"/>
      </w:pPr>
      <w:r>
        <w:rPr>
          <w:rFonts w:ascii="Arial" w:cs="Arial" w:eastAsia="Arial" w:hAnsi="Arial"/>
          <w:sz w:val="24"/>
          <w:szCs w:val="24"/>
        </w:rPr>
        <w:t xml:space="preserve">Cell-type-specific efficacy (excitatory, inhibitory, astrocyte/glial effects)</w:t>
      </w:r>
    </w:p>
    <w:p>
      <w:pPr>
        <w:pStyle w:val="ListParagraph"/>
        <w:numPr>
          <w:ilvl w:val="0"/>
          <w:numId w:val="2"/>
        </w:numPr>
        <w:spacing w:after="80" w:line="360"/>
      </w:pPr>
      <w:r>
        <w:rPr>
          <w:rFonts w:ascii="Arial" w:cs="Arial" w:eastAsia="Arial" w:hAnsi="Arial"/>
          <w:sz w:val="24"/>
          <w:szCs w:val="24"/>
        </w:rPr>
        <w:t xml:space="preserve">Acute efficacy vs. toxicity profiles for lead compounds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Ranked ASD tables, dose-response plots (PDF), efficacy heatmaps, mechanism comparison matrices (CSV).</w:t>
      </w:r>
    </w:p>
    <w:p>
      <w:pPr>
        <w:pStyle w:val="Heading2"/>
        <w:spacing w:after="200" w:before="200" w:line="360"/>
      </w:pPr>
      <w:r>
        <w:rPr>
          <w:rFonts w:ascii="Arial" w:cs="Arial" w:eastAsia="Arial" w:hAnsi="Arial"/>
          <w:b/>
          <w:bCs/>
          <w:sz w:val="28"/>
          <w:szCs w:val="28"/>
        </w:rPr>
        <w:t xml:space="preserve">Stage 3: Long-Term Network Stability Assessment and Resistance Prediction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Evaluate long-term treatment effects (chronic ASD exposure) and predict resistance/tolerance development to distinguish compounds with sustained efficacy from those losing effectiveness.</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Chronic dose-response data from Quiver for top 20-30 ASDs (measured at 7, 14, 21, 28+ days)</w:t>
      </w:r>
    </w:p>
    <w:p>
      <w:pPr>
        <w:pStyle w:val="ListParagraph"/>
        <w:numPr>
          <w:ilvl w:val="0"/>
          <w:numId w:val="2"/>
        </w:numPr>
        <w:spacing w:after="80" w:line="360"/>
      </w:pPr>
      <w:r>
        <w:rPr>
          <w:rFonts w:ascii="Arial" w:cs="Arial" w:eastAsia="Arial" w:hAnsi="Arial"/>
          <w:sz w:val="24"/>
          <w:szCs w:val="24"/>
        </w:rPr>
        <w:t xml:space="preserve">Temporal evolution of EP features during chronic compound exposure</w:t>
      </w:r>
    </w:p>
    <w:p>
      <w:pPr>
        <w:pStyle w:val="ListParagraph"/>
        <w:numPr>
          <w:ilvl w:val="0"/>
          <w:numId w:val="2"/>
        </w:numPr>
        <w:spacing w:after="80" w:line="360"/>
      </w:pPr>
      <w:r>
        <w:rPr>
          <w:rFonts w:ascii="Arial" w:cs="Arial" w:eastAsia="Arial" w:hAnsi="Arial"/>
          <w:sz w:val="24"/>
          <w:szCs w:val="24"/>
        </w:rPr>
        <w:t xml:space="preserve">Homeostatic plasticity markers (adaptive changes in synaptic strength, intrinsic excitability, channel expression)</w:t>
      </w:r>
    </w:p>
    <w:p>
      <w:pPr>
        <w:pStyle w:val="ListParagraph"/>
        <w:numPr>
          <w:ilvl w:val="0"/>
          <w:numId w:val="2"/>
        </w:numPr>
        <w:spacing w:after="80" w:line="360"/>
      </w:pPr>
      <w:r>
        <w:rPr>
          <w:rFonts w:ascii="Arial" w:cs="Arial" w:eastAsia="Arial" w:hAnsi="Arial"/>
          <w:sz w:val="24"/>
          <w:szCs w:val="24"/>
        </w:rPr>
        <w:t xml:space="preserve">Compensatory pathway activation (upregulation of alternative excitatory pathways, GABA receptor downregulation)</w:t>
      </w:r>
    </w:p>
    <w:p>
      <w:pPr>
        <w:pStyle w:val="ListParagraph"/>
        <w:numPr>
          <w:ilvl w:val="0"/>
          <w:numId w:val="2"/>
        </w:numPr>
        <w:spacing w:after="80" w:line="360"/>
      </w:pPr>
      <w:r>
        <w:rPr>
          <w:rFonts w:ascii="Arial" w:cs="Arial" w:eastAsia="Arial" w:hAnsi="Arial"/>
          <w:sz w:val="24"/>
          <w:szCs w:val="24"/>
        </w:rPr>
        <w:t xml:space="preserve">mTORC1 pathway reactivation (escape) during chronic mTOR-directed compound treatment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Quiver Longitudinal Phenotyping: </w:t>
      </w:r>
      <w:r>
        <w:rPr>
          <w:rFonts w:ascii="Arial" w:cs="Arial" w:eastAsia="Arial" w:hAnsi="Arial"/>
          <w:sz w:val="24"/>
          <w:szCs w:val="24"/>
        </w:rPr>
        <w:t xml:space="preserve">Track ASD efficacy across 1-4 week exposure periods with repeated EP measurements</w:t>
      </w:r>
    </w:p>
    <w:p>
      <w:pPr>
        <w:pStyle w:val="ListParagraph"/>
        <w:numPr>
          <w:ilvl w:val="0"/>
          <w:numId w:val="2"/>
        </w:numPr>
        <w:spacing w:after="80" w:line="360"/>
      </w:pPr>
      <w:r>
        <w:rPr>
          <w:rFonts w:ascii="Arial" w:cs="Arial" w:eastAsia="Arial" w:hAnsi="Arial"/>
          <w:b/>
          <w:bCs/>
          <w:sz w:val="24"/>
          <w:szCs w:val="24"/>
        </w:rPr>
        <w:t xml:space="preserve">Custom Stability Index Pipeline: </w:t>
      </w:r>
      <w:r>
        <w:rPr>
          <w:rFonts w:ascii="Arial" w:cs="Arial" w:eastAsia="Arial" w:hAnsi="Arial"/>
          <w:sz w:val="24"/>
          <w:szCs w:val="24"/>
        </w:rPr>
        <w:t xml:space="preserve">Calculate temporal derivatives of burst metrics, entropy, variance drift, and prediction accuracy</w:t>
      </w:r>
    </w:p>
    <w:p>
      <w:pPr>
        <w:pStyle w:val="ListParagraph"/>
        <w:numPr>
          <w:ilvl w:val="0"/>
          <w:numId w:val="2"/>
        </w:numPr>
        <w:spacing w:after="80" w:line="360"/>
      </w:pPr>
      <w:r>
        <w:rPr>
          <w:rFonts w:ascii="Arial" w:cs="Arial" w:eastAsia="Arial" w:hAnsi="Arial"/>
          <w:b/>
          <w:bCs/>
          <w:sz w:val="24"/>
          <w:szCs w:val="24"/>
        </w:rPr>
        <w:t xml:space="preserve">Machine Learning (ARIMA, Prophet): </w:t>
      </w:r>
      <w:r>
        <w:rPr>
          <w:rFonts w:ascii="Arial" w:cs="Arial" w:eastAsia="Arial" w:hAnsi="Arial"/>
          <w:sz w:val="24"/>
          <w:szCs w:val="24"/>
        </w:rPr>
        <w:t xml:space="preserve">Time-series forecasting of network stability trajectory under chronic ASD exposure</w:t>
      </w:r>
    </w:p>
    <w:p>
      <w:pPr>
        <w:pStyle w:val="ListParagraph"/>
        <w:numPr>
          <w:ilvl w:val="0"/>
          <w:numId w:val="2"/>
        </w:numPr>
        <w:spacing w:after="80" w:line="360"/>
      </w:pPr>
      <w:r>
        <w:rPr>
          <w:rFonts w:ascii="Arial" w:cs="Arial" w:eastAsia="Arial" w:hAnsi="Arial"/>
          <w:b/>
          <w:bCs/>
          <w:sz w:val="24"/>
          <w:szCs w:val="24"/>
        </w:rPr>
        <w:t xml:space="preserve">Pathway Reactivation Models: </w:t>
      </w:r>
      <w:r>
        <w:rPr>
          <w:rFonts w:ascii="Arial" w:cs="Arial" w:eastAsia="Arial" w:hAnsi="Arial"/>
          <w:sz w:val="24"/>
          <w:szCs w:val="24"/>
        </w:rPr>
        <w:t xml:space="preserve">Predict compensatory signaling activation and mTOR escape mechanisms</w:t>
      </w:r>
    </w:p>
    <w:p>
      <w:pPr>
        <w:pStyle w:val="ListParagraph"/>
        <w:numPr>
          <w:ilvl w:val="0"/>
          <w:numId w:val="2"/>
        </w:numPr>
        <w:spacing w:after="80" w:line="360"/>
      </w:pPr>
      <w:r>
        <w:rPr>
          <w:rFonts w:ascii="Arial" w:cs="Arial" w:eastAsia="Arial" w:hAnsi="Arial"/>
          <w:b/>
          <w:bCs/>
          <w:sz w:val="24"/>
          <w:szCs w:val="24"/>
        </w:rPr>
        <w:t xml:space="preserve">Homeostatic Plasticity Database: </w:t>
      </w:r>
      <w:r>
        <w:rPr>
          <w:rFonts w:ascii="Arial" w:cs="Arial" w:eastAsia="Arial" w:hAnsi="Arial"/>
          <w:sz w:val="24"/>
          <w:szCs w:val="24"/>
        </w:rPr>
        <w:t xml:space="preserve">Cross-reference literature on ASD-induced compensatory neuronal changes</w:t>
      </w:r>
    </w:p>
    <w:p>
      <w:pPr>
        <w:pStyle w:val="ListParagraph"/>
        <w:numPr>
          <w:ilvl w:val="0"/>
          <w:numId w:val="2"/>
        </w:numPr>
        <w:spacing w:after="80" w:line="360"/>
      </w:pPr>
      <w:r>
        <w:rPr>
          <w:rFonts w:ascii="Arial" w:cs="Arial" w:eastAsia="Arial" w:hAnsi="Arial"/>
          <w:b/>
          <w:bCs/>
          <w:sz w:val="24"/>
          <w:szCs w:val="24"/>
        </w:rPr>
        <w:t xml:space="preserve">Tolerance/Resistance Prediction Algorithms: </w:t>
      </w:r>
      <w:r>
        <w:rPr>
          <w:rFonts w:ascii="Arial" w:cs="Arial" w:eastAsia="Arial" w:hAnsi="Arial"/>
          <w:sz w:val="24"/>
          <w:szCs w:val="24"/>
        </w:rPr>
        <w:t xml:space="preserve">Identify biomarkers predicting early vs. late tolerance development</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Which ASDs maintain stable efficacy over 28 days, vs. those showing tolerance/resistance emergence?</w:t>
      </w:r>
    </w:p>
    <w:p>
      <w:pPr>
        <w:pStyle w:val="ListParagraph"/>
        <w:numPr>
          <w:ilvl w:val="0"/>
          <w:numId w:val="2"/>
        </w:numPr>
        <w:spacing w:after="80" w:line="360"/>
      </w:pPr>
      <w:r>
        <w:rPr>
          <w:rFonts w:ascii="Arial" w:cs="Arial" w:eastAsia="Arial" w:hAnsi="Arial"/>
          <w:sz w:val="24"/>
          <w:szCs w:val="24"/>
        </w:rPr>
        <w:t xml:space="preserve">How do burst frequency, synchrony, and spike-timing patterns evolve under chronic compound exposure?</w:t>
      </w:r>
    </w:p>
    <w:p>
      <w:pPr>
        <w:pStyle w:val="ListParagraph"/>
        <w:numPr>
          <w:ilvl w:val="0"/>
          <w:numId w:val="2"/>
        </w:numPr>
        <w:spacing w:after="80" w:line="360"/>
      </w:pPr>
      <w:r>
        <w:rPr>
          <w:rFonts w:ascii="Arial" w:cs="Arial" w:eastAsia="Arial" w:hAnsi="Arial"/>
          <w:sz w:val="24"/>
          <w:szCs w:val="24"/>
        </w:rPr>
        <w:t xml:space="preserve">Which excitatory compensatory pathways are most likely to reactivate during chronic ASD treatment?</w:t>
      </w:r>
    </w:p>
    <w:p>
      <w:pPr>
        <w:pStyle w:val="ListParagraph"/>
        <w:numPr>
          <w:ilvl w:val="0"/>
          <w:numId w:val="2"/>
        </w:numPr>
        <w:spacing w:after="80" w:line="360"/>
      </w:pPr>
      <w:r>
        <w:rPr>
          <w:rFonts w:ascii="Arial" w:cs="Arial" w:eastAsia="Arial" w:hAnsi="Arial"/>
          <w:sz w:val="24"/>
          <w:szCs w:val="24"/>
        </w:rPr>
        <w:t xml:space="preserve">Can predictive models identify ASDs prone to early tolerance (by day 7-14) vs. late onset (day 21-28)?</w:t>
      </w:r>
    </w:p>
    <w:p>
      <w:pPr>
        <w:pStyle w:val="ListParagraph"/>
        <w:numPr>
          <w:ilvl w:val="0"/>
          <w:numId w:val="2"/>
        </w:numPr>
        <w:spacing w:after="80" w:line="360"/>
      </w:pPr>
      <w:r>
        <w:rPr>
          <w:rFonts w:ascii="Arial" w:cs="Arial" w:eastAsia="Arial" w:hAnsi="Arial"/>
          <w:sz w:val="24"/>
          <w:szCs w:val="24"/>
        </w:rPr>
        <w:t xml:space="preserve">Do dual/triple ASD combinations show synergistic long-term stability compared to monotherapy?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Long-term efficacy trajectories for all ASDs (7-, 14-, 21-, 28-day timepoints with kinetic fits)</w:t>
      </w:r>
    </w:p>
    <w:p>
      <w:pPr>
        <w:pStyle w:val="ListParagraph"/>
        <w:numPr>
          <w:ilvl w:val="0"/>
          <w:numId w:val="2"/>
        </w:numPr>
        <w:spacing w:after="80" w:line="360"/>
      </w:pPr>
      <w:r>
        <w:rPr>
          <w:rFonts w:ascii="Arial" w:cs="Arial" w:eastAsia="Arial" w:hAnsi="Arial"/>
          <w:sz w:val="24"/>
          <w:szCs w:val="24"/>
        </w:rPr>
        <w:t xml:space="preserve">Stability indices quantifying sustained vs. declining efficacy (linear regression slope, R2, entropy trends)</w:t>
      </w:r>
    </w:p>
    <w:p>
      <w:pPr>
        <w:pStyle w:val="ListParagraph"/>
        <w:numPr>
          <w:ilvl w:val="0"/>
          <w:numId w:val="2"/>
        </w:numPr>
        <w:spacing w:after="80" w:line="360"/>
      </w:pPr>
      <w:r>
        <w:rPr>
          <w:rFonts w:ascii="Arial" w:cs="Arial" w:eastAsia="Arial" w:hAnsi="Arial"/>
          <w:sz w:val="24"/>
          <w:szCs w:val="24"/>
        </w:rPr>
        <w:t xml:space="preserve">Resistance/tolerance prediction scores ranking ASDs by likelihood of losing efficacy long-term</w:t>
      </w:r>
    </w:p>
    <w:p>
      <w:pPr>
        <w:pStyle w:val="ListParagraph"/>
        <w:numPr>
          <w:ilvl w:val="0"/>
          <w:numId w:val="2"/>
        </w:numPr>
        <w:spacing w:after="80" w:line="360"/>
      </w:pPr>
      <w:r>
        <w:rPr>
          <w:rFonts w:ascii="Arial" w:cs="Arial" w:eastAsia="Arial" w:hAnsi="Arial"/>
          <w:sz w:val="24"/>
          <w:szCs w:val="24"/>
        </w:rPr>
        <w:t xml:space="preserve">Compensatory pathway activation predictions (which pathways escape, magnitude, timing)</w:t>
      </w:r>
    </w:p>
    <w:p>
      <w:pPr>
        <w:pStyle w:val="ListParagraph"/>
        <w:numPr>
          <w:ilvl w:val="0"/>
          <w:numId w:val="2"/>
        </w:numPr>
        <w:spacing w:after="80" w:line="360"/>
      </w:pPr>
      <w:r>
        <w:rPr>
          <w:rFonts w:ascii="Arial" w:cs="Arial" w:eastAsia="Arial" w:hAnsi="Arial"/>
          <w:sz w:val="24"/>
          <w:szCs w:val="24"/>
        </w:rPr>
        <w:t xml:space="preserve">mTORC1 reactivation profiles if applicable to mechanism of action</w:t>
      </w:r>
    </w:p>
    <w:p>
      <w:pPr>
        <w:pStyle w:val="ListParagraph"/>
        <w:numPr>
          <w:ilvl w:val="0"/>
          <w:numId w:val="2"/>
        </w:numPr>
        <w:spacing w:after="80" w:line="360"/>
      </w:pPr>
      <w:r>
        <w:rPr>
          <w:rFonts w:ascii="Arial" w:cs="Arial" w:eastAsia="Arial" w:hAnsi="Arial"/>
          <w:sz w:val="24"/>
          <w:szCs w:val="24"/>
        </w:rPr>
        <w:t xml:space="preserve">Recommended drug combination strategies to enhance long-term stability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Time-series plots with confidence intervals, stability ranking tables, temporal trajectory heatmaps, prediction algorithm outputs (JSON).</w:t>
      </w:r>
    </w:p>
    <w:p>
      <w:pPr>
        <w:pStyle w:val="Heading2"/>
        <w:spacing w:after="200" w:before="200" w:line="360"/>
      </w:pPr>
      <w:r>
        <w:rPr>
          <w:rFonts w:ascii="Arial" w:cs="Arial" w:eastAsia="Arial" w:hAnsi="Arial"/>
          <w:b/>
          <w:bCs/>
          <w:sz w:val="28"/>
          <w:szCs w:val="28"/>
        </w:rPr>
        <w:t xml:space="preserve">Stage 4: Network Connectivity and Circuit-Level Stability Metrics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Extend single-neuron phenotyping to network-level connectivity metrics, evaluating how ASDs stabilize circuit function, E/I balance, and synchronized activity patterns.</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Multi-electrode array (MEA) network connectivity from Quiver for TSC2 KO ± ASDs</w:t>
      </w:r>
    </w:p>
    <w:p>
      <w:pPr>
        <w:pStyle w:val="ListParagraph"/>
        <w:numPr>
          <w:ilvl w:val="0"/>
          <w:numId w:val="2"/>
        </w:numPr>
        <w:spacing w:after="80" w:line="360"/>
      </w:pPr>
      <w:r>
        <w:rPr>
          <w:rFonts w:ascii="Arial" w:cs="Arial" w:eastAsia="Arial" w:hAnsi="Arial"/>
          <w:sz w:val="24"/>
          <w:szCs w:val="24"/>
        </w:rPr>
        <w:t xml:space="preserve">Cross-neuron synchronization metrics (spike-time correlations, phase-locking, graph clustering)</w:t>
      </w:r>
    </w:p>
    <w:p>
      <w:pPr>
        <w:pStyle w:val="ListParagraph"/>
        <w:numPr>
          <w:ilvl w:val="0"/>
          <w:numId w:val="2"/>
        </w:numPr>
        <w:spacing w:after="80" w:line="360"/>
      </w:pPr>
      <w:r>
        <w:rPr>
          <w:rFonts w:ascii="Arial" w:cs="Arial" w:eastAsia="Arial" w:hAnsi="Arial"/>
          <w:sz w:val="24"/>
          <w:szCs w:val="24"/>
        </w:rPr>
        <w:t xml:space="preserve">E/I balance indicators (GABAergic input strength, glutamatergic tone, GABA/Glutamate ratio)</w:t>
      </w:r>
    </w:p>
    <w:p>
      <w:pPr>
        <w:pStyle w:val="ListParagraph"/>
        <w:numPr>
          <w:ilvl w:val="0"/>
          <w:numId w:val="2"/>
        </w:numPr>
        <w:spacing w:after="80" w:line="360"/>
      </w:pPr>
      <w:r>
        <w:rPr>
          <w:rFonts w:ascii="Arial" w:cs="Arial" w:eastAsia="Arial" w:hAnsi="Arial"/>
          <w:sz w:val="24"/>
          <w:szCs w:val="24"/>
        </w:rPr>
        <w:t xml:space="preserve">Network graph properties (degree distribution, centrality, small-world index, clustering coefficient)</w:t>
      </w:r>
    </w:p>
    <w:p>
      <w:pPr>
        <w:pStyle w:val="ListParagraph"/>
        <w:numPr>
          <w:ilvl w:val="0"/>
          <w:numId w:val="2"/>
        </w:numPr>
        <w:spacing w:after="80" w:line="360"/>
      </w:pPr>
      <w:r>
        <w:rPr>
          <w:rFonts w:ascii="Arial" w:cs="Arial" w:eastAsia="Arial" w:hAnsi="Arial"/>
          <w:sz w:val="24"/>
          <w:szCs w:val="24"/>
        </w:rPr>
        <w:t xml:space="preserve">Spectral analysis of network oscillations (power in theta, alpha, beta, gamma bands)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Quiver Network Connectivity Suite: </w:t>
      </w:r>
      <w:r>
        <w:rPr>
          <w:rFonts w:ascii="Arial" w:cs="Arial" w:eastAsia="Arial" w:hAnsi="Arial"/>
          <w:sz w:val="24"/>
          <w:szCs w:val="24"/>
        </w:rPr>
        <w:t xml:space="preserve">Compute pairwise correlations, connectivity matrices, and graph topology for compound-treated networks</w:t>
      </w:r>
    </w:p>
    <w:p>
      <w:pPr>
        <w:pStyle w:val="ListParagraph"/>
        <w:numPr>
          <w:ilvl w:val="0"/>
          <w:numId w:val="2"/>
        </w:numPr>
        <w:spacing w:after="80" w:line="360"/>
      </w:pPr>
      <w:r>
        <w:rPr>
          <w:rFonts w:ascii="Arial" w:cs="Arial" w:eastAsia="Arial" w:hAnsi="Arial"/>
          <w:b/>
          <w:bCs/>
          <w:sz w:val="24"/>
          <w:szCs w:val="24"/>
        </w:rPr>
        <w:t xml:space="preserve">igraph/NetworkX (R/Python): </w:t>
      </w:r>
      <w:r>
        <w:rPr>
          <w:rFonts w:ascii="Arial" w:cs="Arial" w:eastAsia="Arial" w:hAnsi="Arial"/>
          <w:sz w:val="24"/>
          <w:szCs w:val="24"/>
        </w:rPr>
        <w:t xml:space="preserve">Calculate network metrics (degree, betweenness, clustering, small-world index, modularity)</w:t>
      </w:r>
    </w:p>
    <w:p>
      <w:pPr>
        <w:pStyle w:val="ListParagraph"/>
        <w:numPr>
          <w:ilvl w:val="0"/>
          <w:numId w:val="2"/>
        </w:numPr>
        <w:spacing w:after="80" w:line="360"/>
      </w:pPr>
      <w:r>
        <w:rPr>
          <w:rFonts w:ascii="Arial" w:cs="Arial" w:eastAsia="Arial" w:hAnsi="Arial"/>
          <w:b/>
          <w:bCs/>
          <w:sz w:val="24"/>
          <w:szCs w:val="24"/>
        </w:rPr>
        <w:t xml:space="preserve">Signal Processing Toolbox: </w:t>
      </w:r>
      <w:r>
        <w:rPr>
          <w:rFonts w:ascii="Arial" w:cs="Arial" w:eastAsia="Arial" w:hAnsi="Arial"/>
          <w:sz w:val="24"/>
          <w:szCs w:val="24"/>
        </w:rPr>
        <w:t xml:space="preserve">Compute cross-correlations, phase-locking values, coherence, and spectral power</w:t>
      </w:r>
    </w:p>
    <w:p>
      <w:pPr>
        <w:pStyle w:val="ListParagraph"/>
        <w:numPr>
          <w:ilvl w:val="0"/>
          <w:numId w:val="2"/>
        </w:numPr>
        <w:spacing w:after="80" w:line="360"/>
      </w:pPr>
      <w:r>
        <w:rPr>
          <w:rFonts w:ascii="Arial" w:cs="Arial" w:eastAsia="Arial" w:hAnsi="Arial"/>
          <w:b/>
          <w:bCs/>
          <w:sz w:val="24"/>
          <w:szCs w:val="24"/>
        </w:rPr>
        <w:t xml:space="preserve">Synchronization Index Calculation: </w:t>
      </w:r>
      <w:r>
        <w:rPr>
          <w:rFonts w:ascii="Arial" w:cs="Arial" w:eastAsia="Arial" w:hAnsi="Arial"/>
          <w:sz w:val="24"/>
          <w:szCs w:val="24"/>
        </w:rPr>
        <w:t xml:space="preserve">Multi-spike-train metrics for burst synchrony, reliability, and temporal precision</w:t>
      </w:r>
    </w:p>
    <w:p>
      <w:pPr>
        <w:pStyle w:val="ListParagraph"/>
        <w:numPr>
          <w:ilvl w:val="0"/>
          <w:numId w:val="2"/>
        </w:numPr>
        <w:spacing w:after="80" w:line="360"/>
      </w:pPr>
      <w:r>
        <w:rPr>
          <w:rFonts w:ascii="Arial" w:cs="Arial" w:eastAsia="Arial" w:hAnsi="Arial"/>
          <w:b/>
          <w:bCs/>
          <w:sz w:val="24"/>
          <w:szCs w:val="24"/>
        </w:rPr>
        <w:t xml:space="preserve">E/I Balance Assessment Tool: </w:t>
      </w:r>
      <w:r>
        <w:rPr>
          <w:rFonts w:ascii="Arial" w:cs="Arial" w:eastAsia="Arial" w:hAnsi="Arial"/>
          <w:sz w:val="24"/>
          <w:szCs w:val="24"/>
        </w:rPr>
        <w:t xml:space="preserve">Quantify GABA receptor signaling, glutamate transmission, and inhibitory/excitatory conductance ratios</w:t>
      </w:r>
    </w:p>
    <w:p>
      <w:pPr>
        <w:pStyle w:val="ListParagraph"/>
        <w:numPr>
          <w:ilvl w:val="0"/>
          <w:numId w:val="2"/>
        </w:numPr>
        <w:spacing w:after="80" w:line="360"/>
      </w:pPr>
      <w:r>
        <w:rPr>
          <w:rFonts w:ascii="Arial" w:cs="Arial" w:eastAsia="Arial" w:hAnsi="Arial"/>
          <w:b/>
          <w:bCs/>
          <w:sz w:val="24"/>
          <w:szCs w:val="24"/>
        </w:rPr>
        <w:t xml:space="preserve">Network Stability Scoring Algorithm: </w:t>
      </w:r>
      <w:r>
        <w:rPr>
          <w:rFonts w:ascii="Arial" w:cs="Arial" w:eastAsia="Arial" w:hAnsi="Arial"/>
          <w:sz w:val="24"/>
          <w:szCs w:val="24"/>
        </w:rPr>
        <w:t xml:space="preserve">Composite metrics integrating connectivity, synchrony, and homeostatic plasticity indicators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How do ASDs alter network connectivity topology (degree distribution, clustering, path length)?</w:t>
      </w:r>
    </w:p>
    <w:p>
      <w:pPr>
        <w:pStyle w:val="ListParagraph"/>
        <w:numPr>
          <w:ilvl w:val="0"/>
          <w:numId w:val="2"/>
        </w:numPr>
        <w:spacing w:after="80" w:line="360"/>
      </w:pPr>
      <w:r>
        <w:rPr>
          <w:rFonts w:ascii="Arial" w:cs="Arial" w:eastAsia="Arial" w:hAnsi="Arial"/>
          <w:sz w:val="24"/>
          <w:szCs w:val="24"/>
        </w:rPr>
        <w:t xml:space="preserve">Which compounds achieve best E/I balance restoration in TSC2 KO networks?</w:t>
      </w:r>
    </w:p>
    <w:p>
      <w:pPr>
        <w:pStyle w:val="ListParagraph"/>
        <w:numPr>
          <w:ilvl w:val="0"/>
          <w:numId w:val="2"/>
        </w:numPr>
        <w:spacing w:after="80" w:line="360"/>
      </w:pPr>
      <w:r>
        <w:rPr>
          <w:rFonts w:ascii="Arial" w:cs="Arial" w:eastAsia="Arial" w:hAnsi="Arial"/>
          <w:sz w:val="24"/>
          <w:szCs w:val="24"/>
        </w:rPr>
        <w:t xml:space="preserve">Do different ASDs stabilize networks through distinct mechanisms (synchrony suppression vs. E/I rebalancing)?</w:t>
      </w:r>
    </w:p>
    <w:p>
      <w:pPr>
        <w:pStyle w:val="ListParagraph"/>
        <w:numPr>
          <w:ilvl w:val="0"/>
          <w:numId w:val="2"/>
        </w:numPr>
        <w:spacing w:after="80" w:line="360"/>
      </w:pPr>
      <w:r>
        <w:rPr>
          <w:rFonts w:ascii="Arial" w:cs="Arial" w:eastAsia="Arial" w:hAnsi="Arial"/>
          <w:sz w:val="24"/>
          <w:szCs w:val="24"/>
        </w:rPr>
        <w:t xml:space="preserve">How predictive are short-term (24h) network metrics for long-term (28d) network stability?</w:t>
      </w:r>
    </w:p>
    <w:p>
      <w:pPr>
        <w:pStyle w:val="ListParagraph"/>
        <w:numPr>
          <w:ilvl w:val="0"/>
          <w:numId w:val="2"/>
        </w:numPr>
        <w:spacing w:after="80" w:line="360"/>
      </w:pPr>
      <w:r>
        <w:rPr>
          <w:rFonts w:ascii="Arial" w:cs="Arial" w:eastAsia="Arial" w:hAnsi="Arial"/>
          <w:sz w:val="24"/>
          <w:szCs w:val="24"/>
        </w:rPr>
        <w:t xml:space="preserve">Can multi-electrode array recordings validate Quiver single-neuron efficacy predictions at circuit scale?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Network graph metrics for top ASDs: degree distribution changes, clustering coefficient shifts, modularity alterations</w:t>
      </w:r>
    </w:p>
    <w:p>
      <w:pPr>
        <w:pStyle w:val="ListParagraph"/>
        <w:numPr>
          <w:ilvl w:val="0"/>
          <w:numId w:val="2"/>
        </w:numPr>
        <w:spacing w:after="80" w:line="360"/>
      </w:pPr>
      <w:r>
        <w:rPr>
          <w:rFonts w:ascii="Arial" w:cs="Arial" w:eastAsia="Arial" w:hAnsi="Arial"/>
          <w:sz w:val="24"/>
          <w:szCs w:val="24"/>
        </w:rPr>
        <w:t xml:space="preserve">E/I balance restoration scores per compound (GABA tone, glutamate attenuation, overall GABA/glutamate ratio)</w:t>
      </w:r>
    </w:p>
    <w:p>
      <w:pPr>
        <w:pStyle w:val="ListParagraph"/>
        <w:numPr>
          <w:ilvl w:val="0"/>
          <w:numId w:val="2"/>
        </w:numPr>
        <w:spacing w:after="80" w:line="360"/>
      </w:pPr>
      <w:r>
        <w:rPr>
          <w:rFonts w:ascii="Arial" w:cs="Arial" w:eastAsia="Arial" w:hAnsi="Arial"/>
          <w:sz w:val="24"/>
          <w:szCs w:val="24"/>
        </w:rPr>
        <w:t xml:space="preserve">Synchronization metrics: cross-correlation matrices, spike-timing reliability, burst synchrony percentage</w:t>
      </w:r>
    </w:p>
    <w:p>
      <w:pPr>
        <w:pStyle w:val="ListParagraph"/>
        <w:numPr>
          <w:ilvl w:val="0"/>
          <w:numId w:val="2"/>
        </w:numPr>
        <w:spacing w:after="80" w:line="360"/>
      </w:pPr>
      <w:r>
        <w:rPr>
          <w:rFonts w:ascii="Arial" w:cs="Arial" w:eastAsia="Arial" w:hAnsi="Arial"/>
          <w:sz w:val="24"/>
          <w:szCs w:val="24"/>
        </w:rPr>
        <w:t xml:space="preserve">Spectral power changes in physiologically relevant frequency bands (theta-gamma)</w:t>
      </w:r>
    </w:p>
    <w:p>
      <w:pPr>
        <w:pStyle w:val="ListParagraph"/>
        <w:numPr>
          <w:ilvl w:val="0"/>
          <w:numId w:val="2"/>
        </w:numPr>
        <w:spacing w:after="80" w:line="360"/>
      </w:pPr>
      <w:r>
        <w:rPr>
          <w:rFonts w:ascii="Arial" w:cs="Arial" w:eastAsia="Arial" w:hAnsi="Arial"/>
          <w:sz w:val="24"/>
          <w:szCs w:val="24"/>
        </w:rPr>
        <w:t xml:space="preserve">Network stability trajectories showing connectivity maintenance over chronic exposure</w:t>
      </w:r>
    </w:p>
    <w:p>
      <w:pPr>
        <w:pStyle w:val="ListParagraph"/>
        <w:numPr>
          <w:ilvl w:val="0"/>
          <w:numId w:val="2"/>
        </w:numPr>
        <w:spacing w:after="80" w:line="360"/>
      </w:pPr>
      <w:r>
        <w:rPr>
          <w:rFonts w:ascii="Arial" w:cs="Arial" w:eastAsia="Arial" w:hAnsi="Arial"/>
          <w:sz w:val="24"/>
          <w:szCs w:val="24"/>
        </w:rPr>
        <w:t xml:space="preserve">Ranked ASDs by network-level stability (integrating single-neuron and circuit metrics)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Network graph visualizations (SVG), connectivity heatmaps, E/I balance bar charts, spectral power plots (PDF).</w:t>
      </w:r>
    </w:p>
    <w:p>
      <w:pPr>
        <w:pStyle w:val="Heading2"/>
        <w:spacing w:after="200" w:before="200" w:line="360"/>
      </w:pPr>
      <w:r>
        <w:rPr>
          <w:rFonts w:ascii="Arial" w:cs="Arial" w:eastAsia="Arial" w:hAnsi="Arial"/>
          <w:b/>
          <w:bCs/>
          <w:sz w:val="28"/>
          <w:szCs w:val="28"/>
        </w:rPr>
        <w:t xml:space="preserve">Stage 5: Comparative Efficacy Ranking and Biomarker Selection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Synthesize acute efficacy, chronic stability, and network-level improvements to create comprehensive ASD ranking and identify predictive biomarkers for drug response.</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Acute efficacy scores from Stage 2 (% feature rescue, magnitude, kinetics)</w:t>
      </w:r>
    </w:p>
    <w:p>
      <w:pPr>
        <w:pStyle w:val="ListParagraph"/>
        <w:numPr>
          <w:ilvl w:val="0"/>
          <w:numId w:val="2"/>
        </w:numPr>
        <w:spacing w:after="80" w:line="360"/>
      </w:pPr>
      <w:r>
        <w:rPr>
          <w:rFonts w:ascii="Arial" w:cs="Arial" w:eastAsia="Arial" w:hAnsi="Arial"/>
          <w:sz w:val="24"/>
          <w:szCs w:val="24"/>
        </w:rPr>
        <w:t xml:space="preserve">Long-term stability assessments from Stage 3 (resistance trajectories, tolerance predictions)</w:t>
      </w:r>
    </w:p>
    <w:p>
      <w:pPr>
        <w:pStyle w:val="ListParagraph"/>
        <w:numPr>
          <w:ilvl w:val="0"/>
          <w:numId w:val="2"/>
        </w:numPr>
        <w:spacing w:after="80" w:line="360"/>
      </w:pPr>
      <w:r>
        <w:rPr>
          <w:rFonts w:ascii="Arial" w:cs="Arial" w:eastAsia="Arial" w:hAnsi="Arial"/>
          <w:sz w:val="24"/>
          <w:szCs w:val="24"/>
        </w:rPr>
        <w:t xml:space="preserve">Network stability metrics from Stage 4 (connectivity, E/I balance, synchrony)</w:t>
      </w:r>
    </w:p>
    <w:p>
      <w:pPr>
        <w:pStyle w:val="ListParagraph"/>
        <w:numPr>
          <w:ilvl w:val="0"/>
          <w:numId w:val="2"/>
        </w:numPr>
        <w:spacing w:after="80" w:line="360"/>
      </w:pPr>
      <w:r>
        <w:rPr>
          <w:rFonts w:ascii="Arial" w:cs="Arial" w:eastAsia="Arial" w:hAnsi="Arial"/>
          <w:sz w:val="24"/>
          <w:szCs w:val="24"/>
        </w:rPr>
        <w:t xml:space="preserve">Multi-feature efficacy profiles integrating all 500+ EP features</w:t>
      </w:r>
    </w:p>
    <w:p>
      <w:pPr>
        <w:pStyle w:val="ListParagraph"/>
        <w:numPr>
          <w:ilvl w:val="0"/>
          <w:numId w:val="2"/>
        </w:numPr>
        <w:spacing w:after="80" w:line="360"/>
      </w:pPr>
      <w:r>
        <w:rPr>
          <w:rFonts w:ascii="Arial" w:cs="Arial" w:eastAsia="Arial" w:hAnsi="Arial"/>
          <w:sz w:val="24"/>
          <w:szCs w:val="24"/>
        </w:rPr>
        <w:t xml:space="preserve">Biomarker candidates: baseline features predicting drug responsiveness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Multi-Criteria Ranking System: </w:t>
      </w:r>
      <w:r>
        <w:rPr>
          <w:rFonts w:ascii="Arial" w:cs="Arial" w:eastAsia="Arial" w:hAnsi="Arial"/>
          <w:sz w:val="24"/>
          <w:szCs w:val="24"/>
        </w:rPr>
        <w:t xml:space="preserve">Integrate efficacy, stability, and mechanism metrics into composite ASD rankings</w:t>
      </w:r>
    </w:p>
    <w:p>
      <w:pPr>
        <w:pStyle w:val="ListParagraph"/>
        <w:numPr>
          <w:ilvl w:val="0"/>
          <w:numId w:val="2"/>
        </w:numPr>
        <w:spacing w:after="80" w:line="360"/>
      </w:pPr>
      <w:r>
        <w:rPr>
          <w:rFonts w:ascii="Arial" w:cs="Arial" w:eastAsia="Arial" w:hAnsi="Arial"/>
          <w:b/>
          <w:bCs/>
          <w:sz w:val="24"/>
          <w:szCs w:val="24"/>
        </w:rPr>
        <w:t xml:space="preserve">Machine Learning (Random Forest, Gradient Boosting): </w:t>
      </w:r>
      <w:r>
        <w:rPr>
          <w:rFonts w:ascii="Arial" w:cs="Arial" w:eastAsia="Arial" w:hAnsi="Arial"/>
          <w:sz w:val="24"/>
          <w:szCs w:val="24"/>
        </w:rPr>
        <w:t xml:space="preserve">Feature importance analysis to identify predictive biomarkers</w:t>
      </w:r>
    </w:p>
    <w:p>
      <w:pPr>
        <w:pStyle w:val="ListParagraph"/>
        <w:numPr>
          <w:ilvl w:val="0"/>
          <w:numId w:val="2"/>
        </w:numPr>
        <w:spacing w:after="80" w:line="360"/>
      </w:pPr>
      <w:r>
        <w:rPr>
          <w:rFonts w:ascii="Arial" w:cs="Arial" w:eastAsia="Arial" w:hAnsi="Arial"/>
          <w:b/>
          <w:bCs/>
          <w:sz w:val="24"/>
          <w:szCs w:val="24"/>
        </w:rPr>
        <w:t xml:space="preserve">Regression Modeling: </w:t>
      </w:r>
      <w:r>
        <w:rPr>
          <w:rFonts w:ascii="Arial" w:cs="Arial" w:eastAsia="Arial" w:hAnsi="Arial"/>
          <w:sz w:val="24"/>
          <w:szCs w:val="24"/>
        </w:rPr>
        <w:t xml:space="preserve">Correlate baseline EP features with drug response magnitude</w:t>
      </w:r>
    </w:p>
    <w:p>
      <w:pPr>
        <w:pStyle w:val="ListParagraph"/>
        <w:numPr>
          <w:ilvl w:val="0"/>
          <w:numId w:val="2"/>
        </w:numPr>
        <w:spacing w:after="80" w:line="360"/>
      </w:pPr>
      <w:r>
        <w:rPr>
          <w:rFonts w:ascii="Arial" w:cs="Arial" w:eastAsia="Arial" w:hAnsi="Arial"/>
          <w:b/>
          <w:bCs/>
          <w:sz w:val="24"/>
          <w:szCs w:val="24"/>
        </w:rPr>
        <w:t xml:space="preserve">Unsupervised Clustering (K-means, Hierarchical): </w:t>
      </w:r>
      <w:r>
        <w:rPr>
          <w:rFonts w:ascii="Arial" w:cs="Arial" w:eastAsia="Arial" w:hAnsi="Arial"/>
          <w:sz w:val="24"/>
          <w:szCs w:val="24"/>
        </w:rPr>
        <w:t xml:space="preserve">Group ASDs by mechanism and efficacy signature</w:t>
      </w:r>
    </w:p>
    <w:p>
      <w:pPr>
        <w:pStyle w:val="ListParagraph"/>
        <w:numPr>
          <w:ilvl w:val="0"/>
          <w:numId w:val="2"/>
        </w:numPr>
        <w:spacing w:after="80" w:line="360"/>
      </w:pPr>
      <w:r>
        <w:rPr>
          <w:rFonts w:ascii="Arial" w:cs="Arial" w:eastAsia="Arial" w:hAnsi="Arial"/>
          <w:b/>
          <w:bCs/>
          <w:sz w:val="24"/>
          <w:szCs w:val="24"/>
        </w:rPr>
        <w:t xml:space="preserve">Statistical Comparison (ANOVA, Kruskal-Wallis): </w:t>
      </w:r>
      <w:r>
        <w:rPr>
          <w:rFonts w:ascii="Arial" w:cs="Arial" w:eastAsia="Arial" w:hAnsi="Arial"/>
          <w:sz w:val="24"/>
          <w:szCs w:val="24"/>
        </w:rPr>
        <w:t xml:space="preserve">Benchmark top ASDs against each other and placebo</w:t>
      </w:r>
    </w:p>
    <w:p>
      <w:pPr>
        <w:pStyle w:val="ListParagraph"/>
        <w:numPr>
          <w:ilvl w:val="0"/>
          <w:numId w:val="2"/>
        </w:numPr>
        <w:spacing w:after="80" w:line="360"/>
      </w:pPr>
      <w:r>
        <w:rPr>
          <w:rFonts w:ascii="Arial" w:cs="Arial" w:eastAsia="Arial" w:hAnsi="Arial"/>
          <w:b/>
          <w:bCs/>
          <w:sz w:val="24"/>
          <w:szCs w:val="24"/>
        </w:rPr>
        <w:t xml:space="preserve">Receiver Operating Characteristic (ROC) Analysis: </w:t>
      </w:r>
      <w:r>
        <w:rPr>
          <w:rFonts w:ascii="Arial" w:cs="Arial" w:eastAsia="Arial" w:hAnsi="Arial"/>
          <w:sz w:val="24"/>
          <w:szCs w:val="24"/>
        </w:rPr>
        <w:t xml:space="preserve">Assess biomarker sensitivity/specificity for predicting responders vs. non-responders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What is the final ranking of ASDs by integrated efficacy (acute + chronic + network stability)?</w:t>
      </w:r>
    </w:p>
    <w:p>
      <w:pPr>
        <w:pStyle w:val="ListParagraph"/>
        <w:numPr>
          <w:ilvl w:val="0"/>
          <w:numId w:val="2"/>
        </w:numPr>
        <w:spacing w:after="80" w:line="360"/>
      </w:pPr>
      <w:r>
        <w:rPr>
          <w:rFonts w:ascii="Arial" w:cs="Arial" w:eastAsia="Arial" w:hAnsi="Arial"/>
          <w:sz w:val="24"/>
          <w:szCs w:val="24"/>
        </w:rPr>
        <w:t xml:space="preserve">Which baseline TSC2 KO features most strongly predict responsiveness to each ASDs?</w:t>
      </w:r>
    </w:p>
    <w:p>
      <w:pPr>
        <w:pStyle w:val="ListParagraph"/>
        <w:numPr>
          <w:ilvl w:val="0"/>
          <w:numId w:val="2"/>
        </w:numPr>
        <w:spacing w:after="80" w:line="360"/>
      </w:pPr>
      <w:r>
        <w:rPr>
          <w:rFonts w:ascii="Arial" w:cs="Arial" w:eastAsia="Arial" w:hAnsi="Arial"/>
          <w:sz w:val="24"/>
          <w:szCs w:val="24"/>
        </w:rPr>
        <w:t xml:space="preserve">Can machine learning identify non-obvious biomarkers (unexpected feature combinations) predicting drug response?</w:t>
      </w:r>
    </w:p>
    <w:p>
      <w:pPr>
        <w:pStyle w:val="ListParagraph"/>
        <w:numPr>
          <w:ilvl w:val="0"/>
          <w:numId w:val="2"/>
        </w:numPr>
        <w:spacing w:after="80" w:line="360"/>
      </w:pPr>
      <w:r>
        <w:rPr>
          <w:rFonts w:ascii="Arial" w:cs="Arial" w:eastAsia="Arial" w:hAnsi="Arial"/>
          <w:sz w:val="24"/>
          <w:szCs w:val="24"/>
        </w:rPr>
        <w:t xml:space="preserve">How do top ASDs mechanistically differ, and what are the clinical implications?</w:t>
      </w:r>
    </w:p>
    <w:p>
      <w:pPr>
        <w:pStyle w:val="ListParagraph"/>
        <w:numPr>
          <w:ilvl w:val="0"/>
          <w:numId w:val="2"/>
        </w:numPr>
        <w:spacing w:after="80" w:line="360"/>
      </w:pPr>
      <w:r>
        <w:rPr>
          <w:rFonts w:ascii="Arial" w:cs="Arial" w:eastAsia="Arial" w:hAnsi="Arial"/>
          <w:sz w:val="24"/>
          <w:szCs w:val="24"/>
        </w:rPr>
        <w:t xml:space="preserve">Are there patient subgroups (based on baseline phenotype) that would preferentially respond to specific ASDs?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Final ASD ranking by integrated score (top 10 compounds with confidence intervals)</w:t>
      </w:r>
    </w:p>
    <w:p>
      <w:pPr>
        <w:pStyle w:val="ListParagraph"/>
        <w:numPr>
          <w:ilvl w:val="0"/>
          <w:numId w:val="2"/>
        </w:numPr>
        <w:spacing w:after="80" w:line="360"/>
      </w:pPr>
      <w:r>
        <w:rPr>
          <w:rFonts w:ascii="Arial" w:cs="Arial" w:eastAsia="Arial" w:hAnsi="Arial"/>
          <w:sz w:val="24"/>
          <w:szCs w:val="24"/>
        </w:rPr>
        <w:t xml:space="preserve">Mechanism-stratified rankings (GABA potentiators, Na+ blockers, Ca2+ blockers, Others)</w:t>
      </w:r>
    </w:p>
    <w:p>
      <w:pPr>
        <w:pStyle w:val="ListParagraph"/>
        <w:numPr>
          <w:ilvl w:val="0"/>
          <w:numId w:val="2"/>
        </w:numPr>
        <w:spacing w:after="80" w:line="360"/>
      </w:pPr>
      <w:r>
        <w:rPr>
          <w:rFonts w:ascii="Arial" w:cs="Arial" w:eastAsia="Arial" w:hAnsi="Arial"/>
          <w:sz w:val="24"/>
          <w:szCs w:val="24"/>
        </w:rPr>
        <w:t xml:space="preserve">Predictive biomarker panels: baseline features most correlated with drug response</w:t>
      </w:r>
    </w:p>
    <w:p>
      <w:pPr>
        <w:pStyle w:val="ListParagraph"/>
        <w:numPr>
          <w:ilvl w:val="0"/>
          <w:numId w:val="2"/>
        </w:numPr>
        <w:spacing w:after="80" w:line="360"/>
      </w:pPr>
      <w:r>
        <w:rPr>
          <w:rFonts w:ascii="Arial" w:cs="Arial" w:eastAsia="Arial" w:hAnsi="Arial"/>
          <w:sz w:val="24"/>
          <w:szCs w:val="24"/>
        </w:rPr>
        <w:t xml:space="preserve">Machine learning feature importance rankings (which EP features drive predictions)</w:t>
      </w:r>
    </w:p>
    <w:p>
      <w:pPr>
        <w:pStyle w:val="ListParagraph"/>
        <w:numPr>
          <w:ilvl w:val="0"/>
          <w:numId w:val="2"/>
        </w:numPr>
        <w:spacing w:after="80" w:line="360"/>
      </w:pPr>
      <w:r>
        <w:rPr>
          <w:rFonts w:ascii="Arial" w:cs="Arial" w:eastAsia="Arial" w:hAnsi="Arial"/>
          <w:sz w:val="24"/>
          <w:szCs w:val="24"/>
        </w:rPr>
        <w:t xml:space="preserve">Responder vs. non-responder classification models with sensitivity/specificity metrics</w:t>
      </w:r>
    </w:p>
    <w:p>
      <w:pPr>
        <w:pStyle w:val="ListParagraph"/>
        <w:numPr>
          <w:ilvl w:val="0"/>
          <w:numId w:val="2"/>
        </w:numPr>
        <w:spacing w:after="80" w:line="360"/>
      </w:pPr>
      <w:r>
        <w:rPr>
          <w:rFonts w:ascii="Arial" w:cs="Arial" w:eastAsia="Arial" w:hAnsi="Arial"/>
          <w:sz w:val="24"/>
          <w:szCs w:val="24"/>
        </w:rPr>
        <w:t xml:space="preserve">Recommended ASDs for clinical trial consideration with supporting efficacy data</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Ranking summary tables, biomarker correlation matrices, feature importance plots, ROC curves, classification performance metrics (AUC, sensitivity, specificity).</w:t>
      </w:r>
    </w:p>
    <w:p>
      <w:pPr>
        <w:pStyle w:val="Heading2"/>
        <w:spacing w:after="200" w:before="200" w:line="360"/>
      </w:pPr>
      <w:r>
        <w:rPr>
          <w:rFonts w:ascii="Arial" w:cs="Arial" w:eastAsia="Arial" w:hAnsi="Arial"/>
          <w:b/>
          <w:bCs/>
          <w:sz w:val="28"/>
          <w:szCs w:val="28"/>
        </w:rPr>
        <w:t xml:space="preserve">Stage 6: Clinical Translation and Resistance Management Strategies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Translate Quiver predictions into clinical recommendations, addressing tolerance/resistance management and optimizing ASD selection for long-term TSC-associated seizure control.</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Final ASD rankings from Stage 5</w:t>
      </w:r>
    </w:p>
    <w:p>
      <w:pPr>
        <w:pStyle w:val="ListParagraph"/>
        <w:numPr>
          <w:ilvl w:val="0"/>
          <w:numId w:val="2"/>
        </w:numPr>
        <w:spacing w:after="80" w:line="360"/>
      </w:pPr>
      <w:r>
        <w:rPr>
          <w:rFonts w:ascii="Arial" w:cs="Arial" w:eastAsia="Arial" w:hAnsi="Arial"/>
          <w:sz w:val="24"/>
          <w:szCs w:val="24"/>
        </w:rPr>
        <w:t xml:space="preserve">Tolerance/resistance predictions from Stage 3</w:t>
      </w:r>
    </w:p>
    <w:p>
      <w:pPr>
        <w:pStyle w:val="ListParagraph"/>
        <w:numPr>
          <w:ilvl w:val="0"/>
          <w:numId w:val="2"/>
        </w:numPr>
        <w:spacing w:after="80" w:line="360"/>
      </w:pPr>
      <w:r>
        <w:rPr>
          <w:rFonts w:ascii="Arial" w:cs="Arial" w:eastAsia="Arial" w:hAnsi="Arial"/>
          <w:sz w:val="24"/>
          <w:szCs w:val="24"/>
        </w:rPr>
        <w:t xml:space="preserve">Published clinical trial data for top-ranked ASDs in tuberous sclerosis and epilepsy</w:t>
      </w:r>
    </w:p>
    <w:p>
      <w:pPr>
        <w:pStyle w:val="ListParagraph"/>
        <w:numPr>
          <w:ilvl w:val="0"/>
          <w:numId w:val="2"/>
        </w:numPr>
        <w:spacing w:after="80" w:line="360"/>
      </w:pPr>
      <w:r>
        <w:rPr>
          <w:rFonts w:ascii="Arial" w:cs="Arial" w:eastAsia="Arial" w:hAnsi="Arial"/>
          <w:sz w:val="24"/>
          <w:szCs w:val="24"/>
        </w:rPr>
        <w:t xml:space="preserve">Pharmacokinetics/pharmacodynamics models (brain penetration, half-life, clearance)</w:t>
      </w:r>
    </w:p>
    <w:p>
      <w:pPr>
        <w:pStyle w:val="ListParagraph"/>
        <w:numPr>
          <w:ilvl w:val="0"/>
          <w:numId w:val="2"/>
        </w:numPr>
        <w:spacing w:after="80" w:line="360"/>
      </w:pPr>
      <w:r>
        <w:rPr>
          <w:rFonts w:ascii="Arial" w:cs="Arial" w:eastAsia="Arial" w:hAnsi="Arial"/>
          <w:sz w:val="24"/>
          <w:szCs w:val="24"/>
        </w:rPr>
        <w:t xml:space="preserve">Known drug-drug interactions for polytherapy combinations</w:t>
      </w:r>
    </w:p>
    <w:p>
      <w:pPr>
        <w:pStyle w:val="ListParagraph"/>
        <w:numPr>
          <w:ilvl w:val="0"/>
          <w:numId w:val="2"/>
        </w:numPr>
        <w:spacing w:after="80" w:line="360"/>
      </w:pPr>
      <w:r>
        <w:rPr>
          <w:rFonts w:ascii="Arial" w:cs="Arial" w:eastAsia="Arial" w:hAnsi="Arial"/>
          <w:sz w:val="24"/>
          <w:szCs w:val="24"/>
        </w:rPr>
        <w:t xml:space="preserve">Patient stratification based on seizure phenotype (focal vs. generalized) and baseline comorbidities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ClinicalTrials.gov: </w:t>
      </w:r>
      <w:r>
        <w:rPr>
          <w:rFonts w:ascii="Arial" w:cs="Arial" w:eastAsia="Arial" w:hAnsi="Arial"/>
          <w:sz w:val="24"/>
          <w:szCs w:val="24"/>
        </w:rPr>
        <w:t xml:space="preserve">Identify ongoing or completed trials for top ASDs in TSC/epilepsy populations</w:t>
      </w:r>
    </w:p>
    <w:p>
      <w:pPr>
        <w:pStyle w:val="ListParagraph"/>
        <w:numPr>
          <w:ilvl w:val="0"/>
          <w:numId w:val="2"/>
        </w:numPr>
        <w:spacing w:after="80" w:line="360"/>
      </w:pPr>
      <w:r>
        <w:rPr>
          <w:rFonts w:ascii="Arial" w:cs="Arial" w:eastAsia="Arial" w:hAnsi="Arial"/>
          <w:b/>
          <w:bCs/>
          <w:sz w:val="24"/>
          <w:szCs w:val="24"/>
        </w:rPr>
        <w:t xml:space="preserve">Pharmacokinetic Modeling Software: </w:t>
      </w:r>
      <w:r>
        <w:rPr>
          <w:rFonts w:ascii="Arial" w:cs="Arial" w:eastAsia="Arial" w:hAnsi="Arial"/>
          <w:sz w:val="24"/>
          <w:szCs w:val="24"/>
        </w:rPr>
        <w:t xml:space="preserve">Predict brain exposure and efficacious dosing ranges</w:t>
      </w:r>
    </w:p>
    <w:p>
      <w:pPr>
        <w:pStyle w:val="ListParagraph"/>
        <w:numPr>
          <w:ilvl w:val="0"/>
          <w:numId w:val="2"/>
        </w:numPr>
        <w:spacing w:after="80" w:line="360"/>
      </w:pPr>
      <w:r>
        <w:rPr>
          <w:rFonts w:ascii="Arial" w:cs="Arial" w:eastAsia="Arial" w:hAnsi="Arial"/>
          <w:b/>
          <w:bCs/>
          <w:sz w:val="24"/>
          <w:szCs w:val="24"/>
        </w:rPr>
        <w:t xml:space="preserve">Drug Interaction Database (DrugBank, FDA): </w:t>
      </w:r>
      <w:r>
        <w:rPr>
          <w:rFonts w:ascii="Arial" w:cs="Arial" w:eastAsia="Arial" w:hAnsi="Arial"/>
          <w:sz w:val="24"/>
          <w:szCs w:val="24"/>
        </w:rPr>
        <w:t xml:space="preserve">Assess polytherapy compatibility and DDI risk</w:t>
      </w:r>
    </w:p>
    <w:p>
      <w:pPr>
        <w:pStyle w:val="ListParagraph"/>
        <w:numPr>
          <w:ilvl w:val="0"/>
          <w:numId w:val="2"/>
        </w:numPr>
        <w:spacing w:after="80" w:line="360"/>
      </w:pPr>
      <w:r>
        <w:rPr>
          <w:rFonts w:ascii="Arial" w:cs="Arial" w:eastAsia="Arial" w:hAnsi="Arial"/>
          <w:b/>
          <w:bCs/>
          <w:sz w:val="24"/>
          <w:szCs w:val="24"/>
        </w:rPr>
        <w:t xml:space="preserve">Population Pharmacokinetics: </w:t>
      </w:r>
      <w:r>
        <w:rPr>
          <w:rFonts w:ascii="Arial" w:cs="Arial" w:eastAsia="Arial" w:hAnsi="Arial"/>
          <w:sz w:val="24"/>
          <w:szCs w:val="24"/>
        </w:rPr>
        <w:t xml:space="preserve">Model dose optimization for pediatric vs. adult populations</w:t>
      </w:r>
    </w:p>
    <w:p>
      <w:pPr>
        <w:pStyle w:val="ListParagraph"/>
        <w:numPr>
          <w:ilvl w:val="0"/>
          <w:numId w:val="2"/>
        </w:numPr>
        <w:spacing w:after="80" w:line="360"/>
      </w:pPr>
      <w:r>
        <w:rPr>
          <w:rFonts w:ascii="Arial" w:cs="Arial" w:eastAsia="Arial" w:hAnsi="Arial"/>
          <w:b/>
          <w:bCs/>
          <w:sz w:val="24"/>
          <w:szCs w:val="24"/>
        </w:rPr>
        <w:t xml:space="preserve">Resistance Management Strategies Literature: </w:t>
      </w:r>
      <w:r>
        <w:rPr>
          <w:rFonts w:ascii="Arial" w:cs="Arial" w:eastAsia="Arial" w:hAnsi="Arial"/>
          <w:sz w:val="24"/>
          <w:szCs w:val="24"/>
        </w:rPr>
        <w:t xml:space="preserve">Review published approaches to tolerance delay/prevention</w:t>
      </w:r>
    </w:p>
    <w:p>
      <w:pPr>
        <w:pStyle w:val="ListParagraph"/>
        <w:numPr>
          <w:ilvl w:val="0"/>
          <w:numId w:val="2"/>
        </w:numPr>
        <w:spacing w:after="80" w:line="360"/>
      </w:pPr>
      <w:r>
        <w:rPr>
          <w:rFonts w:ascii="Arial" w:cs="Arial" w:eastAsia="Arial" w:hAnsi="Arial"/>
          <w:b/>
          <w:bCs/>
          <w:sz w:val="24"/>
          <w:szCs w:val="24"/>
        </w:rPr>
        <w:t xml:space="preserve">Health Economics Databases: </w:t>
      </w:r>
      <w:r>
        <w:rPr>
          <w:rFonts w:ascii="Arial" w:cs="Arial" w:eastAsia="Arial" w:hAnsi="Arial"/>
          <w:sz w:val="24"/>
          <w:szCs w:val="24"/>
        </w:rPr>
        <w:t xml:space="preserve">Assess drug cost, access, and clinical utility for real-world implementation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Which top-ranked ASDs have existing clinical efficacy data in tuberous sclerosis?</w:t>
      </w:r>
    </w:p>
    <w:p>
      <w:pPr>
        <w:pStyle w:val="ListParagraph"/>
        <w:numPr>
          <w:ilvl w:val="0"/>
          <w:numId w:val="2"/>
        </w:numPr>
        <w:spacing w:after="80" w:line="360"/>
      </w:pPr>
      <w:r>
        <w:rPr>
          <w:rFonts w:ascii="Arial" w:cs="Arial" w:eastAsia="Arial" w:hAnsi="Arial"/>
          <w:sz w:val="24"/>
          <w:szCs w:val="24"/>
        </w:rPr>
        <w:t xml:space="preserve">Can sequential or combination ASDs mitigate tolerance development over time?</w:t>
      </w:r>
    </w:p>
    <w:p>
      <w:pPr>
        <w:pStyle w:val="ListParagraph"/>
        <w:numPr>
          <w:ilvl w:val="0"/>
          <w:numId w:val="2"/>
        </w:numPr>
        <w:spacing w:after="80" w:line="360"/>
      </w:pPr>
      <w:r>
        <w:rPr>
          <w:rFonts w:ascii="Arial" w:cs="Arial" w:eastAsia="Arial" w:hAnsi="Arial"/>
          <w:sz w:val="24"/>
          <w:szCs w:val="24"/>
        </w:rPr>
        <w:t xml:space="preserve">What are optimal dosing regimens based on PK/PD modeling for top candidates?</w:t>
      </w:r>
    </w:p>
    <w:p>
      <w:pPr>
        <w:pStyle w:val="ListParagraph"/>
        <w:numPr>
          <w:ilvl w:val="0"/>
          <w:numId w:val="2"/>
        </w:numPr>
        <w:spacing w:after="80" w:line="360"/>
      </w:pPr>
      <w:r>
        <w:rPr>
          <w:rFonts w:ascii="Arial" w:cs="Arial" w:eastAsia="Arial" w:hAnsi="Arial"/>
          <w:sz w:val="24"/>
          <w:szCs w:val="24"/>
        </w:rPr>
        <w:t xml:space="preserve">How do top ASDs stratify patients by seizure phenotype or baseline comorbidity profile?</w:t>
      </w:r>
    </w:p>
    <w:p>
      <w:pPr>
        <w:pStyle w:val="ListParagraph"/>
        <w:numPr>
          <w:ilvl w:val="0"/>
          <w:numId w:val="2"/>
        </w:numPr>
        <w:spacing w:after="80" w:line="360"/>
      </w:pPr>
      <w:r>
        <w:rPr>
          <w:rFonts w:ascii="Arial" w:cs="Arial" w:eastAsia="Arial" w:hAnsi="Arial"/>
          <w:sz w:val="24"/>
          <w:szCs w:val="24"/>
        </w:rPr>
        <w:t xml:space="preserve">What is the regulatory pathway and timeline for advancing top candidates to clinical trials in TSC?</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Clinical translation summary for top 5 ASDs (efficacy evidence, PK/PD profiles, expected timeline to benefit)</w:t>
      </w:r>
    </w:p>
    <w:p>
      <w:pPr>
        <w:pStyle w:val="ListParagraph"/>
        <w:numPr>
          <w:ilvl w:val="0"/>
          <w:numId w:val="2"/>
        </w:numPr>
        <w:spacing w:after="80" w:line="360"/>
      </w:pPr>
      <w:r>
        <w:rPr>
          <w:rFonts w:ascii="Arial" w:cs="Arial" w:eastAsia="Arial" w:hAnsi="Arial"/>
          <w:sz w:val="24"/>
          <w:szCs w:val="24"/>
        </w:rPr>
        <w:t xml:space="preserve">Mechanism-informed combination therapy recommendations to enhance long-term stability and prevent resistance</w:t>
      </w:r>
    </w:p>
    <w:p>
      <w:pPr>
        <w:pStyle w:val="ListParagraph"/>
        <w:numPr>
          <w:ilvl w:val="0"/>
          <w:numId w:val="2"/>
        </w:numPr>
        <w:spacing w:after="80" w:line="360"/>
      </w:pPr>
      <w:r>
        <w:rPr>
          <w:rFonts w:ascii="Arial" w:cs="Arial" w:eastAsia="Arial" w:hAnsi="Arial"/>
          <w:sz w:val="24"/>
          <w:szCs w:val="24"/>
        </w:rPr>
        <w:t xml:space="preserve">Dosing algorithm predictions for pediatric and adult populations based on PK modeling</w:t>
      </w:r>
    </w:p>
    <w:p>
      <w:pPr>
        <w:pStyle w:val="ListParagraph"/>
        <w:numPr>
          <w:ilvl w:val="0"/>
          <w:numId w:val="2"/>
        </w:numPr>
        <w:spacing w:after="80" w:line="360"/>
      </w:pPr>
      <w:r>
        <w:rPr>
          <w:rFonts w:ascii="Arial" w:cs="Arial" w:eastAsia="Arial" w:hAnsi="Arial"/>
          <w:sz w:val="24"/>
          <w:szCs w:val="24"/>
        </w:rPr>
        <w:t xml:space="preserve">Patient stratification framework (seizure phenotype, genetic background, comorbidities) with recommended ASDs</w:t>
      </w:r>
    </w:p>
    <w:p>
      <w:pPr>
        <w:pStyle w:val="ListParagraph"/>
        <w:numPr>
          <w:ilvl w:val="0"/>
          <w:numId w:val="2"/>
        </w:numPr>
        <w:spacing w:after="80" w:line="360"/>
      </w:pPr>
      <w:r>
        <w:rPr>
          <w:rFonts w:ascii="Arial" w:cs="Arial" w:eastAsia="Arial" w:hAnsi="Arial"/>
          <w:sz w:val="24"/>
          <w:szCs w:val="24"/>
        </w:rPr>
        <w:t xml:space="preserve">Resistance monitoring protocol (biomarkers and timepoints to track tolerance development)</w:t>
      </w:r>
    </w:p>
    <w:p>
      <w:pPr>
        <w:pStyle w:val="ListParagraph"/>
        <w:numPr>
          <w:ilvl w:val="0"/>
          <w:numId w:val="2"/>
        </w:numPr>
        <w:spacing w:after="80" w:line="360"/>
      </w:pPr>
      <w:r>
        <w:rPr>
          <w:rFonts w:ascii="Arial" w:cs="Arial" w:eastAsia="Arial" w:hAnsi="Arial"/>
          <w:sz w:val="24"/>
          <w:szCs w:val="24"/>
        </w:rPr>
        <w:t xml:space="preserve">Clinical trial design recommendations (cohort definition, efficacy endpoints, duration, trial ASDs)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Clinical summary document, dosing tables, combination therapy matrices, patient stratification algorithms, trial design template.</w:t>
      </w:r>
    </w:p>
    <w:p>
      <w:pPr>
        <w:pStyle w:val="Heading2"/>
        <w:spacing w:after="200" w:before="200" w:line="360"/>
      </w:pPr>
      <w:r>
        <w:rPr>
          <w:rFonts w:ascii="Arial" w:cs="Arial" w:eastAsia="Arial" w:hAnsi="Arial"/>
          <w:b/>
          <w:bCs/>
          <w:sz w:val="28"/>
          <w:szCs w:val="28"/>
        </w:rPr>
        <w:t xml:space="preserve">Tools &amp; Databases Summary</w:t>
      </w:r>
    </w:p>
    <w:p>
      <w:pPr>
        <w:pStyle w:val="ListParagraph"/>
        <w:numPr>
          <w:ilvl w:val="0"/>
          <w:numId w:val="2"/>
        </w:numPr>
        <w:spacing w:after="80" w:line="360"/>
      </w:pPr>
      <w:r>
        <w:rPr>
          <w:rFonts w:ascii="Arial" w:cs="Arial" w:eastAsia="Arial" w:hAnsi="Arial"/>
          <w:sz w:val="24"/>
          <w:szCs w:val="24"/>
        </w:rPr>
        <w:t xml:space="preserve">Quiver Bioscience EP CRISPR Atlas: ~18,000 gene perturbations, ~3,500 compound perturbations, 500+ electrophysiology features, including TSC1/TSC2 and anti-seizure drug compounds</w:t>
      </w:r>
    </w:p>
    <w:p>
      <w:pPr>
        <w:pStyle w:val="ListParagraph"/>
        <w:numPr>
          <w:ilvl w:val="0"/>
          <w:numId w:val="2"/>
        </w:numPr>
        <w:spacing w:after="80" w:line="360"/>
      </w:pPr>
      <w:r>
        <w:rPr>
          <w:rFonts w:ascii="Arial" w:cs="Arial" w:eastAsia="Arial" w:hAnsi="Arial"/>
          <w:sz w:val="24"/>
          <w:szCs w:val="24"/>
        </w:rPr>
        <w:t xml:space="preserve">BioGRID: Protein-protein interaction database for TSC complex and mTOR pathway mapping</w:t>
      </w:r>
    </w:p>
    <w:p>
      <w:pPr>
        <w:pStyle w:val="ListParagraph"/>
        <w:numPr>
          <w:ilvl w:val="0"/>
          <w:numId w:val="2"/>
        </w:numPr>
        <w:spacing w:after="80" w:line="360"/>
      </w:pPr>
      <w:r>
        <w:rPr>
          <w:rFonts w:ascii="Arial" w:cs="Arial" w:eastAsia="Arial" w:hAnsi="Arial"/>
          <w:sz w:val="24"/>
          <w:szCs w:val="24"/>
        </w:rPr>
        <w:t xml:space="preserve">String Database: Functional interaction networks for pathway annotation and co-perturbation analysis</w:t>
      </w:r>
    </w:p>
    <w:p>
      <w:pPr>
        <w:pStyle w:val="ListParagraph"/>
        <w:numPr>
          <w:ilvl w:val="0"/>
          <w:numId w:val="2"/>
        </w:numPr>
        <w:spacing w:after="80" w:line="360"/>
      </w:pPr>
      <w:r>
        <w:rPr>
          <w:rFonts w:ascii="Arial" w:cs="Arial" w:eastAsia="Arial" w:hAnsi="Arial"/>
          <w:sz w:val="24"/>
          <w:szCs w:val="24"/>
        </w:rPr>
        <w:t xml:space="preserve">KEGG TSC/mTOR Pathway: Canonical pathway reference and dysregulation tracking</w:t>
      </w:r>
    </w:p>
    <w:p>
      <w:pPr>
        <w:pStyle w:val="ListParagraph"/>
        <w:numPr>
          <w:ilvl w:val="0"/>
          <w:numId w:val="2"/>
        </w:numPr>
        <w:spacing w:after="80" w:line="360"/>
      </w:pPr>
      <w:r>
        <w:rPr>
          <w:rFonts w:ascii="Arial" w:cs="Arial" w:eastAsia="Arial" w:hAnsi="Arial"/>
          <w:sz w:val="24"/>
          <w:szCs w:val="24"/>
        </w:rPr>
        <w:t xml:space="preserve">Human Protein Atlas: Cell-type and tissue-specific expression for TSC1/TSC2 and target kinases</w:t>
      </w:r>
    </w:p>
    <w:p>
      <w:pPr>
        <w:pStyle w:val="ListParagraph"/>
        <w:numPr>
          <w:ilvl w:val="0"/>
          <w:numId w:val="2"/>
        </w:numPr>
        <w:spacing w:after="80" w:line="360"/>
      </w:pPr>
      <w:r>
        <w:rPr>
          <w:rFonts w:ascii="Arial" w:cs="Arial" w:eastAsia="Arial" w:hAnsi="Arial"/>
          <w:sz w:val="24"/>
          <w:szCs w:val="24"/>
        </w:rPr>
        <w:t xml:space="preserve">Seizure-Related Gene Database (SRGD): Cross-reference TSC2 with established seizure genes and mechanisms</w:t>
      </w:r>
    </w:p>
    <w:p>
      <w:pPr>
        <w:pStyle w:val="ListParagraph"/>
        <w:numPr>
          <w:ilvl w:val="0"/>
          <w:numId w:val="2"/>
        </w:numPr>
        <w:spacing w:after="80" w:line="360"/>
      </w:pPr>
      <w:r>
        <w:rPr>
          <w:rFonts w:ascii="Arial" w:cs="Arial" w:eastAsia="Arial" w:hAnsi="Arial"/>
          <w:sz w:val="24"/>
          <w:szCs w:val="24"/>
        </w:rPr>
        <w:t xml:space="preserve">DrugBank Anti-Seizure Drug Collection: Comprehensive ASD target mechanisms, pharmacokinetics, clinical data</w:t>
      </w:r>
    </w:p>
    <w:p>
      <w:pPr>
        <w:pStyle w:val="ListParagraph"/>
        <w:numPr>
          <w:ilvl w:val="0"/>
          <w:numId w:val="2"/>
        </w:numPr>
        <w:spacing w:after="80" w:line="360"/>
      </w:pPr>
      <w:r>
        <w:rPr>
          <w:rFonts w:ascii="Arial" w:cs="Arial" w:eastAsia="Arial" w:hAnsi="Arial"/>
          <w:sz w:val="24"/>
          <w:szCs w:val="24"/>
        </w:rPr>
        <w:t xml:space="preserve">Epilepsy and Seizure Disorder Database (EpilepyDB): TSC-associated seizure phenotypes and treatment outcomes</w:t>
      </w:r>
    </w:p>
    <w:p>
      <w:pPr>
        <w:pStyle w:val="ListParagraph"/>
        <w:numPr>
          <w:ilvl w:val="0"/>
          <w:numId w:val="2"/>
        </w:numPr>
        <w:spacing w:after="80" w:line="360"/>
      </w:pPr>
      <w:r>
        <w:rPr>
          <w:rFonts w:ascii="Arial" w:cs="Arial" w:eastAsia="Arial" w:hAnsi="Arial"/>
          <w:sz w:val="24"/>
          <w:szCs w:val="24"/>
        </w:rPr>
        <w:t xml:space="preserve">Therapeutic Target Database (TTD): ASD mechanisms of action and off-target kinase profiles</w:t>
      </w:r>
    </w:p>
    <w:p>
      <w:pPr>
        <w:pStyle w:val="ListParagraph"/>
        <w:numPr>
          <w:ilvl w:val="0"/>
          <w:numId w:val="2"/>
        </w:numPr>
        <w:spacing w:after="80" w:line="360"/>
      </w:pPr>
      <w:r>
        <w:rPr>
          <w:rFonts w:ascii="Arial" w:cs="Arial" w:eastAsia="Arial" w:hAnsi="Arial"/>
          <w:sz w:val="24"/>
          <w:szCs w:val="24"/>
        </w:rPr>
        <w:t xml:space="preserve">PubMed/Google Scholar: Literature validation of ASDs in TSC and animal seizure models</w:t>
      </w:r>
    </w:p>
    <w:p>
      <w:pPr>
        <w:pStyle w:val="ListParagraph"/>
        <w:numPr>
          <w:ilvl w:val="0"/>
          <w:numId w:val="2"/>
        </w:numPr>
        <w:spacing w:after="80" w:line="360"/>
      </w:pPr>
      <w:r>
        <w:rPr>
          <w:rFonts w:ascii="Arial" w:cs="Arial" w:eastAsia="Arial" w:hAnsi="Arial"/>
          <w:sz w:val="24"/>
          <w:szCs w:val="24"/>
        </w:rPr>
        <w:t xml:space="preserve">ChEMBL &amp; PubChem: ASD binding assays, potency data, selectivity metrics, and structure-activity relationships</w:t>
      </w:r>
    </w:p>
    <w:p>
      <w:pPr>
        <w:pStyle w:val="ListParagraph"/>
        <w:numPr>
          <w:ilvl w:val="0"/>
          <w:numId w:val="2"/>
        </w:numPr>
        <w:spacing w:after="80" w:line="360"/>
      </w:pPr>
      <w:r>
        <w:rPr>
          <w:rFonts w:ascii="Arial" w:cs="Arial" w:eastAsia="Arial" w:hAnsi="Arial"/>
          <w:sz w:val="24"/>
          <w:szCs w:val="24"/>
        </w:rPr>
        <w:t xml:space="preserve">igraph/NetworkX: Network topology calculations (degree, clustering, modularity, small-world metrics)</w:t>
      </w:r>
    </w:p>
    <w:p>
      <w:pPr>
        <w:pStyle w:val="ListParagraph"/>
        <w:numPr>
          <w:ilvl w:val="0"/>
          <w:numId w:val="2"/>
        </w:numPr>
        <w:spacing w:after="80" w:line="360"/>
      </w:pPr>
      <w:r>
        <w:rPr>
          <w:rFonts w:ascii="Arial" w:cs="Arial" w:eastAsia="Arial" w:hAnsi="Arial"/>
          <w:sz w:val="24"/>
          <w:szCs w:val="24"/>
        </w:rPr>
        <w:t xml:space="preserve">Signal Processing Toolbox: Cross-correlation, phase-locking, coherence, and spectral analysis</w:t>
      </w:r>
    </w:p>
    <w:p>
      <w:pPr>
        <w:pStyle w:val="ListParagraph"/>
        <w:numPr>
          <w:ilvl w:val="0"/>
          <w:numId w:val="2"/>
        </w:numPr>
        <w:spacing w:after="80" w:line="360"/>
      </w:pPr>
      <w:r>
        <w:rPr>
          <w:rFonts w:ascii="Arial" w:cs="Arial" w:eastAsia="Arial" w:hAnsi="Arial"/>
          <w:sz w:val="24"/>
          <w:szCs w:val="24"/>
        </w:rPr>
        <w:t xml:space="preserve">Machine Learning Platforms (Random Forest, XGBoost, ARIMA): Predictive models for drug response and resistance</w:t>
      </w:r>
    </w:p>
    <w:p>
      <w:pPr>
        <w:pStyle w:val="ListParagraph"/>
        <w:numPr>
          <w:ilvl w:val="0"/>
          <w:numId w:val="2"/>
        </w:numPr>
        <w:spacing w:after="80" w:line="360"/>
      </w:pPr>
      <w:r>
        <w:rPr>
          <w:rFonts w:ascii="Arial" w:cs="Arial" w:eastAsia="Arial" w:hAnsi="Arial"/>
          <w:sz w:val="24"/>
          <w:szCs w:val="24"/>
        </w:rPr>
        <w:t xml:space="preserve">ClinicalTrials.gov: Ongoing and completed clinical trials for top ASDs in seizure and TSC populations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2026-03-02T16:54:23.853Z</dcterms:created>
  <dcterms:modified xsi:type="dcterms:W3CDTF">2026-03-02T16:54:23.853Z</dcterms:modified>
</cp:coreProperties>
</file>

<file path=docProps/custom.xml><?xml version="1.0" encoding="utf-8"?>
<Properties xmlns="http://schemas.openxmlformats.org/officeDocument/2006/custom-properties" xmlns:vt="http://schemas.openxmlformats.org/officeDocument/2006/docPropsVTypes"/>
</file>