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pPr>
      <w:r>
        <w:rPr>
          <w:rFonts w:ascii="Arial" w:cs="Arial" w:eastAsia="Arial" w:hAnsi="Arial"/>
          <w:b/>
          <w:bCs/>
          <w:sz w:val="32"/>
          <w:szCs w:val="32"/>
        </w:rPr>
        <w:t xml:space="preserve">Sapphire Pipeline Workflow</w:t>
      </w:r>
    </w:p>
    <w:p>
      <w:pPr>
        <w:pStyle w:val="Heading2"/>
        <w:spacing w:after="200" w:before="200" w:line="360"/>
      </w:pPr>
      <w:r>
        <w:rPr>
          <w:rFonts w:ascii="Arial" w:cs="Arial" w:eastAsia="Arial" w:hAnsi="Arial"/>
          <w:b/>
          <w:bCs/>
          <w:sz w:val="28"/>
          <w:szCs w:val="28"/>
        </w:rPr>
        <w:t xml:space="preserve">Prompt: "For Dravet syndrome (SCN1A LOF), identify drugs antipodal to inhibitory neuron dysfunction."</w:t>
      </w:r>
    </w:p>
    <w:p>
      <w:pPr>
        <w:spacing w:after="200" w:line="360"/>
      </w:pPr>
      <w:r>
        <w:rPr>
          <w:rFonts w:ascii="Arial" w:cs="Arial" w:eastAsia="Arial" w:hAnsi="Arial"/>
          <w:sz w:val="24"/>
          <w:szCs w:val="24"/>
        </w:rPr>
        <w:t xml:space="preserve">This document defines the complete Sapphire pipeline for identifying drugs antipodal (opposite direction) to inhibitory neuron dysfunction in Dravet syndrome. The pipeline leverages Quiver Bioscience's electrophysiology CRISPR atlas to comprehensively characterize SCN1A loss-of-function effects on GABAergic interneurons, systematically screen compounds that enhance inhibitory function, validate antipodal mechanisms, assess circuit-level E/I rebalancing, and nominate lead candidates for clinical development.</w:t>
      </w:r>
    </w:p>
    <w:p>
      <w:pPr>
        <w:pStyle w:val="Heading2"/>
        <w:spacing w:after="200" w:before="200" w:line="36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Dravet syndrome is a severe developmental and epileptic encephalopathy (DEE) caused by loss-of-function mutations in SCN1A, which encodes the Nav1.1 voltage-gated sodium channel. Nav1.1 is preferentially expressed in GABAergic inhibitory interneurons, particularly parvalbumin-positive fast-spiking basket and chandelier cells critical for network gamma oscillations and seizure control. SCN1A loss-of-function mutations selectively impair inhibitory neuron excitability and GABAergic transmission, shifting the excitatory-inhibitory (E/I) balance toward hyperexcitability and severe drug-refractory seizures. Current Dravet therapies (stiripentol, cannabidiol, fenfluramine) provide only partial seizure control in many patients.</w:t>
      </w:r>
    </w:p>
    <w:p>
      <w:pPr>
        <w:spacing w:after="200" w:line="360"/>
      </w:pPr>
      <w:r>
        <w:rPr>
          <w:rFonts w:ascii="Arial" w:cs="Arial" w:eastAsia="Arial" w:hAnsi="Arial"/>
          <w:sz w:val="24"/>
          <w:szCs w:val="24"/>
        </w:rPr>
        <w:t xml:space="preserve">This pipeline discovers drugs that are antipodal to inhibitory neuron dysfunction by directly or indirectly enhancing GABAergic inhibitory neuron function, restoring firing capacity, and rebalancing circuit-level E/I dynamics. By systematically screening for compounds that reverse SCN1A loss-of-function phenotypes at the cellular and circuit levels, and by validating true antipodal mechanisms, this approach identifies candidates with rational mechanistic basis for superior efficacy in Dravet syndrome.</w:t>
      </w:r>
    </w:p>
    <w:p>
      <w:pPr>
        <w:pStyle w:val="Heading2"/>
        <w:spacing w:after="200" w:before="200" w:line="360"/>
      </w:pPr>
      <w:r>
        <w:rPr>
          <w:rFonts w:ascii="Arial" w:cs="Arial" w:eastAsia="Arial" w:hAnsi="Arial"/>
          <w:b/>
          <w:bCs/>
          <w:sz w:val="28"/>
          <w:szCs w:val="28"/>
        </w:rPr>
        <w:t xml:space="preserve">Stage 1: SCN1A LOF Characterization and Inhibitory Neuron Dysfunction Phenotyping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Establish baseline SCN1A loss-of-function effects on inhibitory neuron electrophysiology and identify the cell-type-specific inhibitory neuron dysfunction signatures that define Dravet syndrome.</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SCN1A-perturbed electrophysiological features from Quiver EP atlas across inhibitory and excitatory neurons</w:t>
      </w:r>
    </w:p>
    <w:p>
      <w:pPr>
        <w:pStyle w:val="ListParagraph"/>
        <w:numPr>
          <w:ilvl w:val="0"/>
          <w:numId w:val="2"/>
        </w:numPr>
        <w:spacing w:after="80" w:line="360"/>
      </w:pPr>
      <w:r>
        <w:rPr>
          <w:rFonts w:ascii="Arial" w:cs="Arial" w:eastAsia="Arial" w:hAnsi="Arial"/>
          <w:sz w:val="24"/>
          <w:szCs w:val="24"/>
        </w:rPr>
        <w:t xml:space="preserve">GABAergic interneuron-specific EP profiles: action potential threshold, sodium current density, interneuron-subtype responses</w:t>
      </w:r>
    </w:p>
    <w:p>
      <w:pPr>
        <w:pStyle w:val="ListParagraph"/>
        <w:numPr>
          <w:ilvl w:val="0"/>
          <w:numId w:val="2"/>
        </w:numPr>
        <w:spacing w:after="80" w:line="360"/>
      </w:pPr>
      <w:r>
        <w:rPr>
          <w:rFonts w:ascii="Arial" w:cs="Arial" w:eastAsia="Arial" w:hAnsi="Arial"/>
          <w:sz w:val="24"/>
          <w:szCs w:val="24"/>
        </w:rPr>
        <w:t xml:space="preserve">Sodium channel Nav1.1 protein interactions, expression patterns, and tissue-specific roles</w:t>
      </w:r>
    </w:p>
    <w:p>
      <w:pPr>
        <w:pStyle w:val="ListParagraph"/>
        <w:numPr>
          <w:ilvl w:val="0"/>
          <w:numId w:val="2"/>
        </w:numPr>
        <w:spacing w:after="80" w:line="360"/>
      </w:pPr>
      <w:r>
        <w:rPr>
          <w:rFonts w:ascii="Arial" w:cs="Arial" w:eastAsia="Arial" w:hAnsi="Arial"/>
          <w:sz w:val="24"/>
          <w:szCs w:val="24"/>
        </w:rPr>
        <w:t xml:space="preserve">Excitatory-inhibitory (E/I) balance dysregulation from SCN1A loss: GABA transmission, glutamate sensitivity, network hyperexcitability</w:t>
      </w:r>
    </w:p>
    <w:p>
      <w:pPr>
        <w:pStyle w:val="ListParagraph"/>
        <w:numPr>
          <w:ilvl w:val="0"/>
          <w:numId w:val="2"/>
        </w:numPr>
        <w:spacing w:after="80" w:line="360"/>
      </w:pPr>
      <w:r>
        <w:rPr>
          <w:rFonts w:ascii="Arial" w:cs="Arial" w:eastAsia="Arial" w:hAnsi="Arial"/>
          <w:sz w:val="24"/>
          <w:szCs w:val="24"/>
        </w:rPr>
        <w:t xml:space="preserve">Seizure severity and seizure trigger profiles associated with SCN1A mutations in published Dravet patient cohorts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Bioscience EP CRISPR Atlas: </w:t>
      </w:r>
      <w:r>
        <w:rPr>
          <w:rFonts w:ascii="Arial" w:cs="Arial" w:eastAsia="Arial" w:hAnsi="Arial"/>
          <w:sz w:val="24"/>
          <w:szCs w:val="24"/>
        </w:rPr>
        <w:t xml:space="preserve">Retrieve SCN1A perturbation phenotypes across all neuronal subtypes with particular focus on GABAergic interneurons</w:t>
      </w:r>
    </w:p>
    <w:p>
      <w:pPr>
        <w:pStyle w:val="ListParagraph"/>
        <w:numPr>
          <w:ilvl w:val="0"/>
          <w:numId w:val="2"/>
        </w:numPr>
        <w:spacing w:after="80" w:line="360"/>
      </w:pPr>
      <w:r>
        <w:rPr>
          <w:rFonts w:ascii="Arial" w:cs="Arial" w:eastAsia="Arial" w:hAnsi="Arial"/>
          <w:b/>
          <w:bCs/>
          <w:sz w:val="24"/>
          <w:szCs w:val="24"/>
        </w:rPr>
        <w:t xml:space="preserve">Ion Channel Database (Channelpedia): </w:t>
      </w:r>
      <w:r>
        <w:rPr>
          <w:rFonts w:ascii="Arial" w:cs="Arial" w:eastAsia="Arial" w:hAnsi="Arial"/>
          <w:sz w:val="24"/>
          <w:szCs w:val="24"/>
        </w:rPr>
        <w:t xml:space="preserve">Nav1.1 structural features, gating kinetics, and inactivation properties</w:t>
      </w:r>
    </w:p>
    <w:p>
      <w:pPr>
        <w:pStyle w:val="ListParagraph"/>
        <w:numPr>
          <w:ilvl w:val="0"/>
          <w:numId w:val="2"/>
        </w:numPr>
        <w:spacing w:after="80" w:line="360"/>
      </w:pPr>
      <w:r>
        <w:rPr>
          <w:rFonts w:ascii="Arial" w:cs="Arial" w:eastAsia="Arial" w:hAnsi="Arial"/>
          <w:b/>
          <w:bCs/>
          <w:sz w:val="24"/>
          <w:szCs w:val="24"/>
        </w:rPr>
        <w:t xml:space="preserve">UniProt &amp; PDBe: </w:t>
      </w:r>
      <w:r>
        <w:rPr>
          <w:rFonts w:ascii="Arial" w:cs="Arial" w:eastAsia="Arial" w:hAnsi="Arial"/>
          <w:sz w:val="24"/>
          <w:szCs w:val="24"/>
        </w:rPr>
        <w:t xml:space="preserve">Nav1.1 protein interactions, interacting partners (FHF proteins, betasubunits, PDZ proteins)</w:t>
      </w:r>
    </w:p>
    <w:p>
      <w:pPr>
        <w:pStyle w:val="ListParagraph"/>
        <w:numPr>
          <w:ilvl w:val="0"/>
          <w:numId w:val="2"/>
        </w:numPr>
        <w:spacing w:after="80" w:line="360"/>
      </w:pPr>
      <w:r>
        <w:rPr>
          <w:rFonts w:ascii="Arial" w:cs="Arial" w:eastAsia="Arial" w:hAnsi="Arial"/>
          <w:b/>
          <w:bCs/>
          <w:sz w:val="24"/>
          <w:szCs w:val="24"/>
        </w:rPr>
        <w:t xml:space="preserve">Human Protein Atlas: </w:t>
      </w:r>
      <w:r>
        <w:rPr>
          <w:rFonts w:ascii="Arial" w:cs="Arial" w:eastAsia="Arial" w:hAnsi="Arial"/>
          <w:sz w:val="24"/>
          <w:szCs w:val="24"/>
        </w:rPr>
        <w:t xml:space="preserve">SCN1A expression across neuronal and non-neuronal cell types in brain</w:t>
      </w:r>
    </w:p>
    <w:p>
      <w:pPr>
        <w:pStyle w:val="ListParagraph"/>
        <w:numPr>
          <w:ilvl w:val="0"/>
          <w:numId w:val="2"/>
        </w:numPr>
        <w:spacing w:after="80" w:line="360"/>
      </w:pPr>
      <w:r>
        <w:rPr>
          <w:rFonts w:ascii="Arial" w:cs="Arial" w:eastAsia="Arial" w:hAnsi="Arial"/>
          <w:b/>
          <w:bCs/>
          <w:sz w:val="24"/>
          <w:szCs w:val="24"/>
        </w:rPr>
        <w:t xml:space="preserve">Allen Brain Atlas: </w:t>
      </w:r>
      <w:r>
        <w:rPr>
          <w:rFonts w:ascii="Arial" w:cs="Arial" w:eastAsia="Arial" w:hAnsi="Arial"/>
          <w:sz w:val="24"/>
          <w:szCs w:val="24"/>
        </w:rPr>
        <w:t xml:space="preserve">Interneuron subtype distribution and Nav1.1 expression in specific inhibitory circuits</w:t>
      </w:r>
    </w:p>
    <w:p>
      <w:pPr>
        <w:pStyle w:val="ListParagraph"/>
        <w:numPr>
          <w:ilvl w:val="0"/>
          <w:numId w:val="2"/>
        </w:numPr>
        <w:spacing w:after="80" w:line="360"/>
      </w:pPr>
      <w:r>
        <w:rPr>
          <w:rFonts w:ascii="Arial" w:cs="Arial" w:eastAsia="Arial" w:hAnsi="Arial"/>
          <w:b/>
          <w:bCs/>
          <w:sz w:val="24"/>
          <w:szCs w:val="24"/>
        </w:rPr>
        <w:t xml:space="preserve">ClinVar &amp; OMIM: </w:t>
      </w:r>
      <w:r>
        <w:rPr>
          <w:rFonts w:ascii="Arial" w:cs="Arial" w:eastAsia="Arial" w:hAnsi="Arial"/>
          <w:sz w:val="24"/>
          <w:szCs w:val="24"/>
        </w:rPr>
        <w:t xml:space="preserve">SCN1A mutation catalog with genotype-phenotype correlations and seizure severity predictions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What are the most significant EP feature changes in SCN1A KO neurons, particularly in GABAergic interneurons?</w:t>
      </w:r>
    </w:p>
    <w:p>
      <w:pPr>
        <w:pStyle w:val="ListParagraph"/>
        <w:numPr>
          <w:ilvl w:val="0"/>
          <w:numId w:val="2"/>
        </w:numPr>
        <w:spacing w:after="80" w:line="360"/>
      </w:pPr>
      <w:r>
        <w:rPr>
          <w:rFonts w:ascii="Arial" w:cs="Arial" w:eastAsia="Arial" w:hAnsi="Arial"/>
          <w:sz w:val="24"/>
          <w:szCs w:val="24"/>
        </w:rPr>
        <w:t xml:space="preserve">How does SCN1A loss specifically impair inhibitory neuron firing, synaptic transmission, and excitability?</w:t>
      </w:r>
    </w:p>
    <w:p>
      <w:pPr>
        <w:pStyle w:val="ListParagraph"/>
        <w:numPr>
          <w:ilvl w:val="0"/>
          <w:numId w:val="2"/>
        </w:numPr>
        <w:spacing w:after="80" w:line="360"/>
      </w:pPr>
      <w:r>
        <w:rPr>
          <w:rFonts w:ascii="Arial" w:cs="Arial" w:eastAsia="Arial" w:hAnsi="Arial"/>
          <w:sz w:val="24"/>
          <w:szCs w:val="24"/>
        </w:rPr>
        <w:t xml:space="preserve">Which interneuron subtypes are most vulnerable to SCN1A loss (parvalbumin-positive fast-spiking, VIP-positive, SST-positive)?</w:t>
      </w:r>
    </w:p>
    <w:p>
      <w:pPr>
        <w:pStyle w:val="ListParagraph"/>
        <w:numPr>
          <w:ilvl w:val="0"/>
          <w:numId w:val="2"/>
        </w:numPr>
        <w:spacing w:after="80" w:line="360"/>
      </w:pPr>
      <w:r>
        <w:rPr>
          <w:rFonts w:ascii="Arial" w:cs="Arial" w:eastAsia="Arial" w:hAnsi="Arial"/>
          <w:sz w:val="24"/>
          <w:szCs w:val="24"/>
        </w:rPr>
        <w:t xml:space="preserve">How does SCN1A loss shift the E/I balance toward hyperexcitability at circuit level?</w:t>
      </w:r>
    </w:p>
    <w:p>
      <w:pPr>
        <w:pStyle w:val="ListParagraph"/>
        <w:numPr>
          <w:ilvl w:val="0"/>
          <w:numId w:val="2"/>
        </w:numPr>
        <w:spacing w:after="80" w:line="360"/>
      </w:pPr>
      <w:r>
        <w:rPr>
          <w:rFonts w:ascii="Arial" w:cs="Arial" w:eastAsia="Arial" w:hAnsi="Arial"/>
          <w:sz w:val="24"/>
          <w:szCs w:val="24"/>
        </w:rPr>
        <w:t xml:space="preserve">What is the relationship between severity of inhibitory neuron dysfunction and seizure susceptibility?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Quantified SCN1A LOF phenotypes: inhibitory neuron-specific feature z-scores, action potential properties, sodium current deficits</w:t>
      </w:r>
    </w:p>
    <w:p>
      <w:pPr>
        <w:pStyle w:val="ListParagraph"/>
        <w:numPr>
          <w:ilvl w:val="0"/>
          <w:numId w:val="2"/>
        </w:numPr>
        <w:spacing w:after="80" w:line="360"/>
      </w:pPr>
      <w:r>
        <w:rPr>
          <w:rFonts w:ascii="Arial" w:cs="Arial" w:eastAsia="Arial" w:hAnsi="Arial"/>
          <w:sz w:val="24"/>
          <w:szCs w:val="24"/>
        </w:rPr>
        <w:t xml:space="preserve">Interneuron subtype stratification: parvalbumin+, VIP+, SST+ specific dysfunction signatures</w:t>
      </w:r>
    </w:p>
    <w:p>
      <w:pPr>
        <w:pStyle w:val="ListParagraph"/>
        <w:numPr>
          <w:ilvl w:val="0"/>
          <w:numId w:val="2"/>
        </w:numPr>
        <w:spacing w:after="80" w:line="360"/>
      </w:pPr>
      <w:r>
        <w:rPr>
          <w:rFonts w:ascii="Arial" w:cs="Arial" w:eastAsia="Arial" w:hAnsi="Arial"/>
          <w:sz w:val="24"/>
          <w:szCs w:val="24"/>
        </w:rPr>
        <w:t xml:space="preserve">E/I balance dysregulation metrics: GABA transmission strength, glutamate sensitivity, network excitability indices</w:t>
      </w:r>
    </w:p>
    <w:p>
      <w:pPr>
        <w:pStyle w:val="ListParagraph"/>
        <w:numPr>
          <w:ilvl w:val="0"/>
          <w:numId w:val="2"/>
        </w:numPr>
        <w:spacing w:after="80" w:line="360"/>
      </w:pPr>
      <w:r>
        <w:rPr>
          <w:rFonts w:ascii="Arial" w:cs="Arial" w:eastAsia="Arial" w:hAnsi="Arial"/>
          <w:sz w:val="24"/>
          <w:szCs w:val="24"/>
        </w:rPr>
        <w:t xml:space="preserve">Seizure susceptibility metrics derived from inhibitory neuron dysfunction severity</w:t>
      </w:r>
    </w:p>
    <w:p>
      <w:pPr>
        <w:pStyle w:val="ListParagraph"/>
        <w:numPr>
          <w:ilvl w:val="0"/>
          <w:numId w:val="2"/>
        </w:numPr>
        <w:spacing w:after="80" w:line="360"/>
      </w:pPr>
      <w:r>
        <w:rPr>
          <w:rFonts w:ascii="Arial" w:cs="Arial" w:eastAsia="Arial" w:hAnsi="Arial"/>
          <w:sz w:val="24"/>
          <w:szCs w:val="24"/>
        </w:rPr>
        <w:t xml:space="preserve">Cell-type-specific vulnerability mapping (which neuronal populations most affected by SCN1A loss)</w:t>
      </w:r>
    </w:p>
    <w:p>
      <w:pPr>
        <w:pStyle w:val="ListParagraph"/>
        <w:numPr>
          <w:ilvl w:val="0"/>
          <w:numId w:val="2"/>
        </w:numPr>
        <w:spacing w:after="80" w:line="360"/>
      </w:pPr>
      <w:r>
        <w:rPr>
          <w:rFonts w:ascii="Arial" w:cs="Arial" w:eastAsia="Arial" w:hAnsi="Arial"/>
          <w:sz w:val="24"/>
          <w:szCs w:val="24"/>
        </w:rPr>
        <w:t xml:space="preserve">Dysfunction severity scoring for individual interneuron populations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Feature z-score heatmaps, interneuron subtype comparison tables, E/I balance metrics, seizure severity correlations (CSV).</w:t>
      </w:r>
    </w:p>
    <w:p>
      <w:pPr>
        <w:pStyle w:val="Heading2"/>
        <w:spacing w:after="200" w:before="200" w:line="360"/>
      </w:pPr>
      <w:r>
        <w:rPr>
          <w:rFonts w:ascii="Arial" w:cs="Arial" w:eastAsia="Arial" w:hAnsi="Arial"/>
          <w:b/>
          <w:bCs/>
          <w:sz w:val="28"/>
          <w:szCs w:val="28"/>
        </w:rPr>
        <w:t xml:space="preserve">Stage 2: Antipodal Drug Identification: Screening for Inhibitory Neuron Function Enhancement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compounds that reverse SCN1A LOF dysfunction phenotypes by directly or indirectly enhancing GABAergic inhibitory neuron function (antipodal to inhibitory neuron dysfunction).</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Quiver compound perturbation library (~3,500 compounds) screened against SCN1A KO neurons and interneuron subtypes</w:t>
      </w:r>
    </w:p>
    <w:p>
      <w:pPr>
        <w:pStyle w:val="ListParagraph"/>
        <w:numPr>
          <w:ilvl w:val="0"/>
          <w:numId w:val="2"/>
        </w:numPr>
        <w:spacing w:after="80" w:line="360"/>
      </w:pPr>
      <w:r>
        <w:rPr>
          <w:rFonts w:ascii="Arial" w:cs="Arial" w:eastAsia="Arial" w:hAnsi="Arial"/>
          <w:sz w:val="24"/>
          <w:szCs w:val="24"/>
        </w:rPr>
        <w:t xml:space="preserve">Expected directionality: compounds that enhance GABAergic transmission, increase inhibitory firing, or restore E/I balance</w:t>
      </w:r>
    </w:p>
    <w:p>
      <w:pPr>
        <w:pStyle w:val="ListParagraph"/>
        <w:numPr>
          <w:ilvl w:val="0"/>
          <w:numId w:val="2"/>
        </w:numPr>
        <w:spacing w:after="80" w:line="360"/>
      </w:pPr>
      <w:r>
        <w:rPr>
          <w:rFonts w:ascii="Arial" w:cs="Arial" w:eastAsia="Arial" w:hAnsi="Arial"/>
          <w:sz w:val="24"/>
          <w:szCs w:val="24"/>
        </w:rPr>
        <w:t xml:space="preserve">Mechanism classes: GABA enhancers, potassium channel activators, sodium channel activators, epigenetic modulators, mTOR inhibitors, etc.</w:t>
      </w:r>
    </w:p>
    <w:p>
      <w:pPr>
        <w:pStyle w:val="ListParagraph"/>
        <w:numPr>
          <w:ilvl w:val="0"/>
          <w:numId w:val="2"/>
        </w:numPr>
        <w:spacing w:after="80" w:line="360"/>
      </w:pPr>
      <w:r>
        <w:rPr>
          <w:rFonts w:ascii="Arial" w:cs="Arial" w:eastAsia="Arial" w:hAnsi="Arial"/>
          <w:sz w:val="24"/>
          <w:szCs w:val="24"/>
        </w:rPr>
        <w:t xml:space="preserve">SCN1A KO baseline dysfunction phenotypes from Stage 1</w:t>
      </w:r>
    </w:p>
    <w:p>
      <w:pPr>
        <w:pStyle w:val="ListParagraph"/>
        <w:numPr>
          <w:ilvl w:val="0"/>
          <w:numId w:val="2"/>
        </w:numPr>
        <w:spacing w:after="80" w:line="360"/>
      </w:pPr>
      <w:r>
        <w:rPr>
          <w:rFonts w:ascii="Arial" w:cs="Arial" w:eastAsia="Arial" w:hAnsi="Arial"/>
          <w:sz w:val="24"/>
          <w:szCs w:val="24"/>
        </w:rPr>
        <w:t xml:space="preserve">Published compounds showing efficacy in Dravet syndrome models (stiripentol, cannabidiol, fenfluramine analogs, GABA enhancers)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Compound Perturbation Library: </w:t>
      </w:r>
      <w:r>
        <w:rPr>
          <w:rFonts w:ascii="Arial" w:cs="Arial" w:eastAsia="Arial" w:hAnsi="Arial"/>
          <w:sz w:val="24"/>
          <w:szCs w:val="24"/>
        </w:rPr>
        <w:t xml:space="preserve">Screen all ~3,500 compounds against SCN1A KO neurons with emphasis on GABAergic interneuron rescue</w:t>
      </w:r>
    </w:p>
    <w:p>
      <w:pPr>
        <w:pStyle w:val="ListParagraph"/>
        <w:numPr>
          <w:ilvl w:val="0"/>
          <w:numId w:val="2"/>
        </w:numPr>
        <w:spacing w:after="80" w:line="360"/>
      </w:pPr>
      <w:r>
        <w:rPr>
          <w:rFonts w:ascii="Arial" w:cs="Arial" w:eastAsia="Arial" w:hAnsi="Arial"/>
          <w:b/>
          <w:bCs/>
          <w:sz w:val="24"/>
          <w:szCs w:val="24"/>
        </w:rPr>
        <w:t xml:space="preserve">Dravet Syndrome Knowledgebase (DSK): </w:t>
      </w:r>
      <w:r>
        <w:rPr>
          <w:rFonts w:ascii="Arial" w:cs="Arial" w:eastAsia="Arial" w:hAnsi="Arial"/>
          <w:sz w:val="24"/>
          <w:szCs w:val="24"/>
        </w:rPr>
        <w:t xml:space="preserve">Curated database of compounds showing pre-clinical or clinical efficacy in Dravet</w:t>
      </w:r>
    </w:p>
    <w:p>
      <w:pPr>
        <w:pStyle w:val="ListParagraph"/>
        <w:numPr>
          <w:ilvl w:val="0"/>
          <w:numId w:val="2"/>
        </w:numPr>
        <w:spacing w:after="80" w:line="360"/>
      </w:pPr>
      <w:r>
        <w:rPr>
          <w:rFonts w:ascii="Arial" w:cs="Arial" w:eastAsia="Arial" w:hAnsi="Arial"/>
          <w:b/>
          <w:bCs/>
          <w:sz w:val="24"/>
          <w:szCs w:val="24"/>
        </w:rPr>
        <w:t xml:space="preserve">GABA Receptor Database (GRD): </w:t>
      </w:r>
      <w:r>
        <w:rPr>
          <w:rFonts w:ascii="Arial" w:cs="Arial" w:eastAsia="Arial" w:hAnsi="Arial"/>
          <w:sz w:val="24"/>
          <w:szCs w:val="24"/>
        </w:rPr>
        <w:t xml:space="preserve">GABA potentiators, allosteric modulators, and GABA synthesis/reuptake modulators</w:t>
      </w:r>
    </w:p>
    <w:p>
      <w:pPr>
        <w:pStyle w:val="ListParagraph"/>
        <w:numPr>
          <w:ilvl w:val="0"/>
          <w:numId w:val="2"/>
        </w:numPr>
        <w:spacing w:after="80" w:line="360"/>
      </w:pPr>
      <w:r>
        <w:rPr>
          <w:rFonts w:ascii="Arial" w:cs="Arial" w:eastAsia="Arial" w:hAnsi="Arial"/>
          <w:b/>
          <w:bCs/>
          <w:sz w:val="24"/>
          <w:szCs w:val="24"/>
        </w:rPr>
        <w:t xml:space="preserve">Ion Channel Pharmacology Database: </w:t>
      </w:r>
      <w:r>
        <w:rPr>
          <w:rFonts w:ascii="Arial" w:cs="Arial" w:eastAsia="Arial" w:hAnsi="Arial"/>
          <w:sz w:val="24"/>
          <w:szCs w:val="24"/>
        </w:rPr>
        <w:t xml:space="preserve">Sodium channel, potassium channel, and calcium channel modulators relevant to interneuron excitability</w:t>
      </w:r>
    </w:p>
    <w:p>
      <w:pPr>
        <w:pStyle w:val="ListParagraph"/>
        <w:numPr>
          <w:ilvl w:val="0"/>
          <w:numId w:val="2"/>
        </w:numPr>
        <w:spacing w:after="80" w:line="360"/>
      </w:pPr>
      <w:r>
        <w:rPr>
          <w:rFonts w:ascii="Arial" w:cs="Arial" w:eastAsia="Arial" w:hAnsi="Arial"/>
          <w:b/>
          <w:bCs/>
          <w:sz w:val="24"/>
          <w:szCs w:val="24"/>
        </w:rPr>
        <w:t xml:space="preserve">DrugBank: </w:t>
      </w:r>
      <w:r>
        <w:rPr>
          <w:rFonts w:ascii="Arial" w:cs="Arial" w:eastAsia="Arial" w:hAnsi="Arial"/>
          <w:sz w:val="24"/>
          <w:szCs w:val="24"/>
        </w:rPr>
        <w:t xml:space="preserve">Target mechanisms, drug classes, and clinical development status for lead compounds</w:t>
      </w:r>
    </w:p>
    <w:p>
      <w:pPr>
        <w:pStyle w:val="ListParagraph"/>
        <w:numPr>
          <w:ilvl w:val="0"/>
          <w:numId w:val="2"/>
        </w:numPr>
        <w:spacing w:after="80" w:line="360"/>
      </w:pPr>
      <w:r>
        <w:rPr>
          <w:rFonts w:ascii="Arial" w:cs="Arial" w:eastAsia="Arial" w:hAnsi="Arial"/>
          <w:b/>
          <w:bCs/>
          <w:sz w:val="24"/>
          <w:szCs w:val="24"/>
        </w:rPr>
        <w:t xml:space="preserve">ChEMBL &amp; PubChem: </w:t>
      </w:r>
      <w:r>
        <w:rPr>
          <w:rFonts w:ascii="Arial" w:cs="Arial" w:eastAsia="Arial" w:hAnsi="Arial"/>
          <w:sz w:val="24"/>
          <w:szCs w:val="24"/>
        </w:rPr>
        <w:t xml:space="preserve">Compound structures, assay data, activity predictions against inhibitory neuron targets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Which compounds specifically enhance GABAergic transmission or inhibitory neuron firing in SCN1A KO neurons?</w:t>
      </w:r>
    </w:p>
    <w:p>
      <w:pPr>
        <w:pStyle w:val="ListParagraph"/>
        <w:numPr>
          <w:ilvl w:val="0"/>
          <w:numId w:val="2"/>
        </w:numPr>
        <w:spacing w:after="80" w:line="360"/>
      </w:pPr>
      <w:r>
        <w:rPr>
          <w:rFonts w:ascii="Arial" w:cs="Arial" w:eastAsia="Arial" w:hAnsi="Arial"/>
          <w:sz w:val="24"/>
          <w:szCs w:val="24"/>
        </w:rPr>
        <w:t xml:space="preserve">Do compounds that increase potassium conductance (enhance inhibitory neuron hyperpolarization potential) show efficacy?</w:t>
      </w:r>
    </w:p>
    <w:p>
      <w:pPr>
        <w:pStyle w:val="ListParagraph"/>
        <w:numPr>
          <w:ilvl w:val="0"/>
          <w:numId w:val="2"/>
        </w:numPr>
        <w:spacing w:after="80" w:line="360"/>
      </w:pPr>
      <w:r>
        <w:rPr>
          <w:rFonts w:ascii="Arial" w:cs="Arial" w:eastAsia="Arial" w:hAnsi="Arial"/>
          <w:sz w:val="24"/>
          <w:szCs w:val="24"/>
        </w:rPr>
        <w:t xml:space="preserve">Which mechanism classes show highest efficacy: GABA enhancers vs. sodium channel activators vs. epigenetic modulators?</w:t>
      </w:r>
    </w:p>
    <w:p>
      <w:pPr>
        <w:pStyle w:val="ListParagraph"/>
        <w:numPr>
          <w:ilvl w:val="0"/>
          <w:numId w:val="2"/>
        </w:numPr>
        <w:spacing w:after="80" w:line="360"/>
      </w:pPr>
      <w:r>
        <w:rPr>
          <w:rFonts w:ascii="Arial" w:cs="Arial" w:eastAsia="Arial" w:hAnsi="Arial"/>
          <w:sz w:val="24"/>
          <w:szCs w:val="24"/>
        </w:rPr>
        <w:t xml:space="preserve">Can compounds rescue parvalbumin-positive (fast-spiking) interneuron dysfunction more effectively than other subtypes?</w:t>
      </w:r>
    </w:p>
    <w:p>
      <w:pPr>
        <w:pStyle w:val="ListParagraph"/>
        <w:numPr>
          <w:ilvl w:val="0"/>
          <w:numId w:val="2"/>
        </w:numPr>
        <w:spacing w:after="80" w:line="360"/>
      </w:pPr>
      <w:r>
        <w:rPr>
          <w:rFonts w:ascii="Arial" w:cs="Arial" w:eastAsia="Arial" w:hAnsi="Arial"/>
          <w:sz w:val="24"/>
          <w:szCs w:val="24"/>
        </w:rPr>
        <w:t xml:space="preserve">Which compounds restore E/I balance and normalize network excitability without causing general sedation?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Ranked compounds by GABAergic/inhibitory enhancement efficacy (percent dysregulated inhibitory features rescued)</w:t>
      </w:r>
    </w:p>
    <w:p>
      <w:pPr>
        <w:pStyle w:val="ListParagraph"/>
        <w:numPr>
          <w:ilvl w:val="0"/>
          <w:numId w:val="2"/>
        </w:numPr>
        <w:spacing w:after="80" w:line="360"/>
      </w:pPr>
      <w:r>
        <w:rPr>
          <w:rFonts w:ascii="Arial" w:cs="Arial" w:eastAsia="Arial" w:hAnsi="Arial"/>
          <w:sz w:val="24"/>
          <w:szCs w:val="24"/>
        </w:rPr>
        <w:t xml:space="preserve">Mechanism-stratified efficacy (GABA enhancers, ion channel modulators, epigenetic modulators ranked separately)</w:t>
      </w:r>
    </w:p>
    <w:p>
      <w:pPr>
        <w:pStyle w:val="ListParagraph"/>
        <w:numPr>
          <w:ilvl w:val="0"/>
          <w:numId w:val="2"/>
        </w:numPr>
        <w:spacing w:after="80" w:line="360"/>
      </w:pPr>
      <w:r>
        <w:rPr>
          <w:rFonts w:ascii="Arial" w:cs="Arial" w:eastAsia="Arial" w:hAnsi="Arial"/>
          <w:sz w:val="24"/>
          <w:szCs w:val="24"/>
        </w:rPr>
        <w:t xml:space="preserve">Interneuron subtype-specific efficacy (which compounds best rescue parvalbumin+, VIP+, SST+ populations)</w:t>
      </w:r>
    </w:p>
    <w:p>
      <w:pPr>
        <w:pStyle w:val="ListParagraph"/>
        <w:numPr>
          <w:ilvl w:val="0"/>
          <w:numId w:val="2"/>
        </w:numPr>
        <w:spacing w:after="80" w:line="360"/>
      </w:pPr>
      <w:r>
        <w:rPr>
          <w:rFonts w:ascii="Arial" w:cs="Arial" w:eastAsia="Arial" w:hAnsi="Arial"/>
          <w:sz w:val="24"/>
          <w:szCs w:val="24"/>
        </w:rPr>
        <w:t xml:space="preserve">E/I balance restoration scores for top compounds</w:t>
      </w:r>
    </w:p>
    <w:p>
      <w:pPr>
        <w:pStyle w:val="ListParagraph"/>
        <w:numPr>
          <w:ilvl w:val="0"/>
          <w:numId w:val="2"/>
        </w:numPr>
        <w:spacing w:after="80" w:line="360"/>
      </w:pPr>
      <w:r>
        <w:rPr>
          <w:rFonts w:ascii="Arial" w:cs="Arial" w:eastAsia="Arial" w:hAnsi="Arial"/>
          <w:sz w:val="24"/>
          <w:szCs w:val="24"/>
        </w:rPr>
        <w:t xml:space="preserve">Dose-response curves for leads against inhibitory neuron dysfunction features</w:t>
      </w:r>
    </w:p>
    <w:p>
      <w:pPr>
        <w:pStyle w:val="ListParagraph"/>
        <w:numPr>
          <w:ilvl w:val="0"/>
          <w:numId w:val="2"/>
        </w:numPr>
        <w:spacing w:after="80" w:line="360"/>
      </w:pPr>
      <w:r>
        <w:rPr>
          <w:rFonts w:ascii="Arial" w:cs="Arial" w:eastAsia="Arial" w:hAnsi="Arial"/>
          <w:sz w:val="24"/>
          <w:szCs w:val="24"/>
        </w:rPr>
        <w:t xml:space="preserve">Predicted seizure suppression probability based on inhibitory neuron rescue magnitude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compound tables, mechanism-stratified heatmaps, dose-response plots (PDF), interneuron subtype efficacy matrices.</w:t>
      </w:r>
    </w:p>
    <w:p>
      <w:pPr>
        <w:pStyle w:val="Heading2"/>
        <w:spacing w:after="200" w:before="200" w:line="360"/>
      </w:pPr>
      <w:r>
        <w:rPr>
          <w:rFonts w:ascii="Arial" w:cs="Arial" w:eastAsia="Arial" w:hAnsi="Arial"/>
          <w:b/>
          <w:bCs/>
          <w:sz w:val="28"/>
          <w:szCs w:val="28"/>
        </w:rPr>
        <w:t xml:space="preserve">Stage 3: Antipodal Mechanism Validation: Directionality and Paradox Resolution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that identified compounds are truly antipodal (opposite direction) to inhibitory neuron dysfunction and confirm absence of paradoxical effects that could worsen Dravet phenotype.</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Top 20-30 compounds from Stage 2 with putative inhibitory neuron enhancing mechanisms</w:t>
      </w:r>
    </w:p>
    <w:p>
      <w:pPr>
        <w:pStyle w:val="ListParagraph"/>
        <w:numPr>
          <w:ilvl w:val="0"/>
          <w:numId w:val="2"/>
        </w:numPr>
        <w:spacing w:after="80" w:line="360"/>
      </w:pPr>
      <w:r>
        <w:rPr>
          <w:rFonts w:ascii="Arial" w:cs="Arial" w:eastAsia="Arial" w:hAnsi="Arial"/>
          <w:sz w:val="24"/>
          <w:szCs w:val="24"/>
        </w:rPr>
        <w:t xml:space="preserve">SCN1A KO dysfunction phenotypes (inhibitory neuron underactivity, reduced GABA transmission, hyperexcitability)</w:t>
      </w:r>
    </w:p>
    <w:p>
      <w:pPr>
        <w:pStyle w:val="ListParagraph"/>
        <w:numPr>
          <w:ilvl w:val="0"/>
          <w:numId w:val="2"/>
        </w:numPr>
        <w:spacing w:after="80" w:line="360"/>
      </w:pPr>
      <w:r>
        <w:rPr>
          <w:rFonts w:ascii="Arial" w:cs="Arial" w:eastAsia="Arial" w:hAnsi="Arial"/>
          <w:sz w:val="24"/>
          <w:szCs w:val="24"/>
        </w:rPr>
        <w:t xml:space="preserve">Expected antipodal changes: opposite direction in all metrics (increased inhibitory firing, enhanced GABA, reduced excitability)</w:t>
      </w:r>
    </w:p>
    <w:p>
      <w:pPr>
        <w:pStyle w:val="ListParagraph"/>
        <w:numPr>
          <w:ilvl w:val="0"/>
          <w:numId w:val="2"/>
        </w:numPr>
        <w:spacing w:after="80" w:line="360"/>
      </w:pPr>
      <w:r>
        <w:rPr>
          <w:rFonts w:ascii="Arial" w:cs="Arial" w:eastAsia="Arial" w:hAnsi="Arial"/>
          <w:sz w:val="24"/>
          <w:szCs w:val="24"/>
        </w:rPr>
        <w:t xml:space="preserve">Potential paradoxical effects: compounds that enhance excitability in some populations while suppressing in others</w:t>
      </w:r>
    </w:p>
    <w:p>
      <w:pPr>
        <w:pStyle w:val="ListParagraph"/>
        <w:numPr>
          <w:ilvl w:val="0"/>
          <w:numId w:val="2"/>
        </w:numPr>
        <w:spacing w:after="80" w:line="360"/>
      </w:pPr>
      <w:r>
        <w:rPr>
          <w:rFonts w:ascii="Arial" w:cs="Arial" w:eastAsia="Arial" w:hAnsi="Arial"/>
          <w:sz w:val="24"/>
          <w:szCs w:val="24"/>
        </w:rPr>
        <w:t xml:space="preserve">Published evidence of compound mechanisms in normal vs. SCN1A-deficient contexts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Feature Correlation Pipeline: </w:t>
      </w:r>
      <w:r>
        <w:rPr>
          <w:rFonts w:ascii="Arial" w:cs="Arial" w:eastAsia="Arial" w:hAnsi="Arial"/>
          <w:sz w:val="24"/>
          <w:szCs w:val="24"/>
        </w:rPr>
        <w:t xml:space="preserve">Calculate correlations between compound-induced changes and SCN1A dysfunction direction</w:t>
      </w:r>
    </w:p>
    <w:p>
      <w:pPr>
        <w:pStyle w:val="ListParagraph"/>
        <w:numPr>
          <w:ilvl w:val="0"/>
          <w:numId w:val="2"/>
        </w:numPr>
        <w:spacing w:after="80" w:line="360"/>
      </w:pPr>
      <w:r>
        <w:rPr>
          <w:rFonts w:ascii="Arial" w:cs="Arial" w:eastAsia="Arial" w:hAnsi="Arial"/>
          <w:b/>
          <w:bCs/>
          <w:sz w:val="24"/>
          <w:szCs w:val="24"/>
        </w:rPr>
        <w:t xml:space="preserve">Mechanism Annotation System: </w:t>
      </w:r>
      <w:r>
        <w:rPr>
          <w:rFonts w:ascii="Arial" w:cs="Arial" w:eastAsia="Arial" w:hAnsi="Arial"/>
          <w:sz w:val="24"/>
          <w:szCs w:val="24"/>
        </w:rPr>
        <w:t xml:space="preserve">Manual curation and automated classification of compound effects on inhibitory circuits</w:t>
      </w:r>
    </w:p>
    <w:p>
      <w:pPr>
        <w:pStyle w:val="ListParagraph"/>
        <w:numPr>
          <w:ilvl w:val="0"/>
          <w:numId w:val="2"/>
        </w:numPr>
        <w:spacing w:after="80" w:line="360"/>
      </w:pPr>
      <w:r>
        <w:rPr>
          <w:rFonts w:ascii="Arial" w:cs="Arial" w:eastAsia="Arial" w:hAnsi="Arial"/>
          <w:b/>
          <w:bCs/>
          <w:sz w:val="24"/>
          <w:szCs w:val="24"/>
        </w:rPr>
        <w:t xml:space="preserve">Signaling Pathway Analysis: </w:t>
      </w:r>
      <w:r>
        <w:rPr>
          <w:rFonts w:ascii="Arial" w:cs="Arial" w:eastAsia="Arial" w:hAnsi="Arial"/>
          <w:sz w:val="24"/>
          <w:szCs w:val="24"/>
        </w:rPr>
        <w:t xml:space="preserve">Map compound targets to inhibitory neuron function-relevant pathways</w:t>
      </w:r>
    </w:p>
    <w:p>
      <w:pPr>
        <w:pStyle w:val="ListParagraph"/>
        <w:numPr>
          <w:ilvl w:val="0"/>
          <w:numId w:val="2"/>
        </w:numPr>
        <w:spacing w:after="80" w:line="360"/>
      </w:pPr>
      <w:r>
        <w:rPr>
          <w:rFonts w:ascii="Arial" w:cs="Arial" w:eastAsia="Arial" w:hAnsi="Arial"/>
          <w:b/>
          <w:bCs/>
          <w:sz w:val="24"/>
          <w:szCs w:val="24"/>
        </w:rPr>
        <w:t xml:space="preserve">Machine Learning Classification: </w:t>
      </w:r>
      <w:r>
        <w:rPr>
          <w:rFonts w:ascii="Arial" w:cs="Arial" w:eastAsia="Arial" w:hAnsi="Arial"/>
          <w:sz w:val="24"/>
          <w:szCs w:val="24"/>
        </w:rPr>
        <w:t xml:space="preserve">Support vector machines or neural networks to classify compounds as truly antipodal vs. partially effective</w:t>
      </w:r>
    </w:p>
    <w:p>
      <w:pPr>
        <w:pStyle w:val="ListParagraph"/>
        <w:numPr>
          <w:ilvl w:val="0"/>
          <w:numId w:val="2"/>
        </w:numPr>
        <w:spacing w:after="80" w:line="360"/>
      </w:pPr>
      <w:r>
        <w:rPr>
          <w:rFonts w:ascii="Arial" w:cs="Arial" w:eastAsia="Arial" w:hAnsi="Arial"/>
          <w:b/>
          <w:bCs/>
          <w:sz w:val="24"/>
          <w:szCs w:val="24"/>
        </w:rPr>
        <w:t xml:space="preserve">Temporal Kinetics Analysis: </w:t>
      </w:r>
      <w:r>
        <w:rPr>
          <w:rFonts w:ascii="Arial" w:cs="Arial" w:eastAsia="Arial" w:hAnsi="Arial"/>
          <w:sz w:val="24"/>
          <w:szCs w:val="24"/>
        </w:rPr>
        <w:t xml:space="preserve">Track compound effect direction over time (acute vs. chronic)</w:t>
      </w:r>
    </w:p>
    <w:p>
      <w:pPr>
        <w:pStyle w:val="ListParagraph"/>
        <w:numPr>
          <w:ilvl w:val="0"/>
          <w:numId w:val="2"/>
        </w:numPr>
        <w:spacing w:after="80" w:line="360"/>
      </w:pPr>
      <w:r>
        <w:rPr>
          <w:rFonts w:ascii="Arial" w:cs="Arial" w:eastAsia="Arial" w:hAnsi="Arial"/>
          <w:b/>
          <w:bCs/>
          <w:sz w:val="24"/>
          <w:szCs w:val="24"/>
        </w:rPr>
        <w:t xml:space="preserve">Literature Evidence Database: </w:t>
      </w:r>
      <w:r>
        <w:rPr>
          <w:rFonts w:ascii="Arial" w:cs="Arial" w:eastAsia="Arial" w:hAnsi="Arial"/>
          <w:sz w:val="24"/>
          <w:szCs w:val="24"/>
        </w:rPr>
        <w:t xml:space="preserve">Cross-reference compound mechanisms with published Dravet and E/I imbalance studies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Which compounds show consistent antipodal effects across multiple inhibitory neuron dysfunction metrics?</w:t>
      </w:r>
    </w:p>
    <w:p>
      <w:pPr>
        <w:pStyle w:val="ListParagraph"/>
        <w:numPr>
          <w:ilvl w:val="0"/>
          <w:numId w:val="2"/>
        </w:numPr>
        <w:spacing w:after="80" w:line="360"/>
      </w:pPr>
      <w:r>
        <w:rPr>
          <w:rFonts w:ascii="Arial" w:cs="Arial" w:eastAsia="Arial" w:hAnsi="Arial"/>
          <w:sz w:val="24"/>
          <w:szCs w:val="24"/>
        </w:rPr>
        <w:t xml:space="preserve">Do any promising compounds exhibit paradoxical effects (helpful in some neurons, harmful in others)?</w:t>
      </w:r>
    </w:p>
    <w:p>
      <w:pPr>
        <w:pStyle w:val="ListParagraph"/>
        <w:numPr>
          <w:ilvl w:val="0"/>
          <w:numId w:val="2"/>
        </w:numPr>
        <w:spacing w:after="80" w:line="360"/>
      </w:pPr>
      <w:r>
        <w:rPr>
          <w:rFonts w:ascii="Arial" w:cs="Arial" w:eastAsia="Arial" w:hAnsi="Arial"/>
          <w:sz w:val="24"/>
          <w:szCs w:val="24"/>
        </w:rPr>
        <w:t xml:space="preserve">How mechanistically specific are compounds (target inhibitory neurons vs. non-specific excitability effects)?</w:t>
      </w:r>
    </w:p>
    <w:p>
      <w:pPr>
        <w:pStyle w:val="ListParagraph"/>
        <w:numPr>
          <w:ilvl w:val="0"/>
          <w:numId w:val="2"/>
        </w:numPr>
        <w:spacing w:after="80" w:line="360"/>
      </w:pPr>
      <w:r>
        <w:rPr>
          <w:rFonts w:ascii="Arial" w:cs="Arial" w:eastAsia="Arial" w:hAnsi="Arial"/>
          <w:sz w:val="24"/>
          <w:szCs w:val="24"/>
        </w:rPr>
        <w:t xml:space="preserve">Can mechanistic knowledge (target pathway, binding affinity) predict antipodal directionality better than empirical screening?</w:t>
      </w:r>
    </w:p>
    <w:p>
      <w:pPr>
        <w:pStyle w:val="ListParagraph"/>
        <w:numPr>
          <w:ilvl w:val="0"/>
          <w:numId w:val="2"/>
        </w:numPr>
        <w:spacing w:after="80" w:line="360"/>
      </w:pPr>
      <w:r>
        <w:rPr>
          <w:rFonts w:ascii="Arial" w:cs="Arial" w:eastAsia="Arial" w:hAnsi="Arial"/>
          <w:sz w:val="24"/>
          <w:szCs w:val="24"/>
        </w:rPr>
        <w:t xml:space="preserve">Which compounds avoid unintended effects on excitatory neuron populations while enhancing inhibitory function?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Antipodal validation scores for all compounds (correlation of changes with dysfunction direction)</w:t>
      </w:r>
    </w:p>
    <w:p>
      <w:pPr>
        <w:pStyle w:val="ListParagraph"/>
        <w:numPr>
          <w:ilvl w:val="0"/>
          <w:numId w:val="2"/>
        </w:numPr>
        <w:spacing w:after="80" w:line="360"/>
      </w:pPr>
      <w:r>
        <w:rPr>
          <w:rFonts w:ascii="Arial" w:cs="Arial" w:eastAsia="Arial" w:hAnsi="Arial"/>
          <w:sz w:val="24"/>
          <w:szCs w:val="24"/>
        </w:rPr>
        <w:t xml:space="preserve">Mechanistic classification: confirmed antipodal, partially antipodal, non-antipodal, paradoxical</w:t>
      </w:r>
    </w:p>
    <w:p>
      <w:pPr>
        <w:pStyle w:val="ListParagraph"/>
        <w:numPr>
          <w:ilvl w:val="0"/>
          <w:numId w:val="2"/>
        </w:numPr>
        <w:spacing w:after="80" w:line="360"/>
      </w:pPr>
      <w:r>
        <w:rPr>
          <w:rFonts w:ascii="Arial" w:cs="Arial" w:eastAsia="Arial" w:hAnsi="Arial"/>
          <w:sz w:val="24"/>
          <w:szCs w:val="24"/>
        </w:rPr>
        <w:t xml:space="preserve">Feature-by-feature antipodal direction heatmaps showing consistency across inhibitory markers</w:t>
      </w:r>
    </w:p>
    <w:p>
      <w:pPr>
        <w:pStyle w:val="ListParagraph"/>
        <w:numPr>
          <w:ilvl w:val="0"/>
          <w:numId w:val="2"/>
        </w:numPr>
        <w:spacing w:after="80" w:line="360"/>
      </w:pPr>
      <w:r>
        <w:rPr>
          <w:rFonts w:ascii="Arial" w:cs="Arial" w:eastAsia="Arial" w:hAnsi="Arial"/>
          <w:sz w:val="24"/>
          <w:szCs w:val="24"/>
        </w:rPr>
        <w:t xml:space="preserve">Paradox analysis: compounds with differential effects across neuronal populations</w:t>
      </w:r>
    </w:p>
    <w:p>
      <w:pPr>
        <w:pStyle w:val="ListParagraph"/>
        <w:numPr>
          <w:ilvl w:val="0"/>
          <w:numId w:val="2"/>
        </w:numPr>
        <w:spacing w:after="80" w:line="360"/>
      </w:pPr>
      <w:r>
        <w:rPr>
          <w:rFonts w:ascii="Arial" w:cs="Arial" w:eastAsia="Arial" w:hAnsi="Arial"/>
          <w:sz w:val="24"/>
          <w:szCs w:val="24"/>
        </w:rPr>
        <w:t xml:space="preserve">Mechanism annotation: detailed inhibitory circuit targets and pathway effects for each compound</w:t>
      </w:r>
    </w:p>
    <w:p>
      <w:pPr>
        <w:pStyle w:val="ListParagraph"/>
        <w:numPr>
          <w:ilvl w:val="0"/>
          <w:numId w:val="2"/>
        </w:numPr>
        <w:spacing w:after="80" w:line="360"/>
      </w:pPr>
      <w:r>
        <w:rPr>
          <w:rFonts w:ascii="Arial" w:cs="Arial" w:eastAsia="Arial" w:hAnsi="Arial"/>
          <w:sz w:val="24"/>
          <w:szCs w:val="24"/>
        </w:rPr>
        <w:t xml:space="preserve">Confidence rankings for antipodal efficacy based on mechanistic and empirical evidence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Antipodal validation heatmaps, feature direction comparisons, mechanism-outcome correlation plots, paradox analysis tables.</w:t>
      </w:r>
    </w:p>
    <w:p>
      <w:pPr>
        <w:pStyle w:val="Heading2"/>
        <w:spacing w:after="200" w:before="200" w:line="360"/>
      </w:pPr>
      <w:r>
        <w:rPr>
          <w:rFonts w:ascii="Arial" w:cs="Arial" w:eastAsia="Arial" w:hAnsi="Arial"/>
          <w:b/>
          <w:bCs/>
          <w:sz w:val="28"/>
          <w:szCs w:val="28"/>
        </w:rPr>
        <w:t xml:space="preserve">Stage 4: Network-Level E/I Rebalancing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whether top compounds not only enhance inhibitory neuron function but achieve circuit-level E/I rebalancing and normalize network excitability patterns characteristic of Dravet.</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Top 10-15 antipodal compounds from Stage 3 with confirmed inhibitory enhancement mechanisms</w:t>
      </w:r>
    </w:p>
    <w:p>
      <w:pPr>
        <w:pStyle w:val="ListParagraph"/>
        <w:numPr>
          <w:ilvl w:val="0"/>
          <w:numId w:val="2"/>
        </w:numPr>
        <w:spacing w:after="80" w:line="360"/>
      </w:pPr>
      <w:r>
        <w:rPr>
          <w:rFonts w:ascii="Arial" w:cs="Arial" w:eastAsia="Arial" w:hAnsi="Arial"/>
          <w:sz w:val="24"/>
          <w:szCs w:val="24"/>
        </w:rPr>
        <w:t xml:space="preserve">SCN1A KO network-level phenotypes: burst frequency, synchronization, E/I ratio, spontaneous seizure-like events</w:t>
      </w:r>
    </w:p>
    <w:p>
      <w:pPr>
        <w:pStyle w:val="ListParagraph"/>
        <w:numPr>
          <w:ilvl w:val="0"/>
          <w:numId w:val="2"/>
        </w:numPr>
        <w:spacing w:after="80" w:line="360"/>
      </w:pPr>
      <w:r>
        <w:rPr>
          <w:rFonts w:ascii="Arial" w:cs="Arial" w:eastAsia="Arial" w:hAnsi="Arial"/>
          <w:sz w:val="24"/>
          <w:szCs w:val="24"/>
        </w:rPr>
        <w:t xml:space="preserve">Multi-electrode array (MEA) recordings and graph theoretical metrics (connectivity, centrality, clustering)</w:t>
      </w:r>
    </w:p>
    <w:p>
      <w:pPr>
        <w:pStyle w:val="ListParagraph"/>
        <w:numPr>
          <w:ilvl w:val="0"/>
          <w:numId w:val="2"/>
        </w:numPr>
        <w:spacing w:after="80" w:line="360"/>
      </w:pPr>
      <w:r>
        <w:rPr>
          <w:rFonts w:ascii="Arial" w:cs="Arial" w:eastAsia="Arial" w:hAnsi="Arial"/>
          <w:sz w:val="24"/>
          <w:szCs w:val="24"/>
        </w:rPr>
        <w:t xml:space="preserve">Spectral analysis of network oscillations in physiologically relevant bands (theta, alpha, beta, gamma)</w:t>
      </w:r>
    </w:p>
    <w:p>
      <w:pPr>
        <w:pStyle w:val="ListParagraph"/>
        <w:numPr>
          <w:ilvl w:val="0"/>
          <w:numId w:val="2"/>
        </w:numPr>
        <w:spacing w:after="80" w:line="360"/>
      </w:pPr>
      <w:r>
        <w:rPr>
          <w:rFonts w:ascii="Arial" w:cs="Arial" w:eastAsia="Arial" w:hAnsi="Arial"/>
          <w:sz w:val="24"/>
          <w:szCs w:val="24"/>
        </w:rPr>
        <w:t xml:space="preserve">Predicted clinical seizure suppression based on network normalization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Network Connectivity Suite: </w:t>
      </w:r>
      <w:r>
        <w:rPr>
          <w:rFonts w:ascii="Arial" w:cs="Arial" w:eastAsia="Arial" w:hAnsi="Arial"/>
          <w:sz w:val="24"/>
          <w:szCs w:val="24"/>
        </w:rPr>
        <w:t xml:space="preserve">Calculate connectivity matrices, synchronization metrics, and graph topology for compound-treated SCN1A networks</w:t>
      </w:r>
    </w:p>
    <w:p>
      <w:pPr>
        <w:pStyle w:val="ListParagraph"/>
        <w:numPr>
          <w:ilvl w:val="0"/>
          <w:numId w:val="2"/>
        </w:numPr>
        <w:spacing w:after="80" w:line="360"/>
      </w:pPr>
      <w:r>
        <w:rPr>
          <w:rFonts w:ascii="Arial" w:cs="Arial" w:eastAsia="Arial" w:hAnsi="Arial"/>
          <w:b/>
          <w:bCs/>
          <w:sz w:val="24"/>
          <w:szCs w:val="24"/>
        </w:rPr>
        <w:t xml:space="preserve">igraph/NetworkX: </w:t>
      </w:r>
      <w:r>
        <w:rPr>
          <w:rFonts w:ascii="Arial" w:cs="Arial" w:eastAsia="Arial" w:hAnsi="Arial"/>
          <w:sz w:val="24"/>
          <w:szCs w:val="24"/>
        </w:rPr>
        <w:t xml:space="preserve">Network analysis (degree distribution, betweenness centrality, clustering coefficient, modularity)</w:t>
      </w:r>
    </w:p>
    <w:p>
      <w:pPr>
        <w:pStyle w:val="ListParagraph"/>
        <w:numPr>
          <w:ilvl w:val="0"/>
          <w:numId w:val="2"/>
        </w:numPr>
        <w:spacing w:after="80" w:line="360"/>
      </w:pPr>
      <w:r>
        <w:rPr>
          <w:rFonts w:ascii="Arial" w:cs="Arial" w:eastAsia="Arial" w:hAnsi="Arial"/>
          <w:b/>
          <w:bCs/>
          <w:sz w:val="24"/>
          <w:szCs w:val="24"/>
        </w:rPr>
        <w:t xml:space="preserve">Signal Processing Toolbox: </w:t>
      </w:r>
      <w:r>
        <w:rPr>
          <w:rFonts w:ascii="Arial" w:cs="Arial" w:eastAsia="Arial" w:hAnsi="Arial"/>
          <w:sz w:val="24"/>
          <w:szCs w:val="24"/>
        </w:rPr>
        <w:t xml:space="preserve">Spectral power analysis, cross-frequency coupling, and phase-locking value calculations</w:t>
      </w:r>
    </w:p>
    <w:p>
      <w:pPr>
        <w:pStyle w:val="ListParagraph"/>
        <w:numPr>
          <w:ilvl w:val="0"/>
          <w:numId w:val="2"/>
        </w:numPr>
        <w:spacing w:after="80" w:line="360"/>
      </w:pPr>
      <w:r>
        <w:rPr>
          <w:rFonts w:ascii="Arial" w:cs="Arial" w:eastAsia="Arial" w:hAnsi="Arial"/>
          <w:b/>
          <w:bCs/>
          <w:sz w:val="24"/>
          <w:szCs w:val="24"/>
        </w:rPr>
        <w:t xml:space="preserve">Burst Detection Pipeline: </w:t>
      </w:r>
      <w:r>
        <w:rPr>
          <w:rFonts w:ascii="Arial" w:cs="Arial" w:eastAsia="Arial" w:hAnsi="Arial"/>
          <w:sz w:val="24"/>
          <w:szCs w:val="24"/>
        </w:rPr>
        <w:t xml:space="preserve">Identify and characterize seizure-like bursts in SCN1A networks with/without compound treatment</w:t>
      </w:r>
    </w:p>
    <w:p>
      <w:pPr>
        <w:pStyle w:val="ListParagraph"/>
        <w:numPr>
          <w:ilvl w:val="0"/>
          <w:numId w:val="2"/>
        </w:numPr>
        <w:spacing w:after="80" w:line="360"/>
      </w:pPr>
      <w:r>
        <w:rPr>
          <w:rFonts w:ascii="Arial" w:cs="Arial" w:eastAsia="Arial" w:hAnsi="Arial"/>
          <w:b/>
          <w:bCs/>
          <w:sz w:val="24"/>
          <w:szCs w:val="24"/>
        </w:rPr>
        <w:t xml:space="preserve">E/I Ratio Calculator: </w:t>
      </w:r>
      <w:r>
        <w:rPr>
          <w:rFonts w:ascii="Arial" w:cs="Arial" w:eastAsia="Arial" w:hAnsi="Arial"/>
          <w:sz w:val="24"/>
          <w:szCs w:val="24"/>
        </w:rPr>
        <w:t xml:space="preserve">Quantify excitatory vs. inhibitory synaptic strength and conductance ratios</w:t>
      </w:r>
    </w:p>
    <w:p>
      <w:pPr>
        <w:pStyle w:val="ListParagraph"/>
        <w:numPr>
          <w:ilvl w:val="0"/>
          <w:numId w:val="2"/>
        </w:numPr>
        <w:spacing w:after="80" w:line="360"/>
      </w:pPr>
      <w:r>
        <w:rPr>
          <w:rFonts w:ascii="Arial" w:cs="Arial" w:eastAsia="Arial" w:hAnsi="Arial"/>
          <w:b/>
          <w:bCs/>
          <w:sz w:val="24"/>
          <w:szCs w:val="24"/>
        </w:rPr>
        <w:t xml:space="preserve">Network Normalization Scoring: </w:t>
      </w:r>
      <w:r>
        <w:rPr>
          <w:rFonts w:ascii="Arial" w:cs="Arial" w:eastAsia="Arial" w:hAnsi="Arial"/>
          <w:sz w:val="24"/>
          <w:szCs w:val="24"/>
        </w:rPr>
        <w:t xml:space="preserve">Composite metrics assessing how close compound-treated networks are to healthy wildtype controls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Which compounds achieve best E/I rebalancing at circuit level (normalized E/I ratio)?</w:t>
      </w:r>
    </w:p>
    <w:p>
      <w:pPr>
        <w:pStyle w:val="ListParagraph"/>
        <w:numPr>
          <w:ilvl w:val="0"/>
          <w:numId w:val="2"/>
        </w:numPr>
        <w:spacing w:after="80" w:line="360"/>
      </w:pPr>
      <w:r>
        <w:rPr>
          <w:rFonts w:ascii="Arial" w:cs="Arial" w:eastAsia="Arial" w:hAnsi="Arial"/>
          <w:sz w:val="24"/>
          <w:szCs w:val="24"/>
        </w:rPr>
        <w:t xml:space="preserve">Do compounds reduce spontaneous seizure-like burst frequency and increase network stability?</w:t>
      </w:r>
    </w:p>
    <w:p>
      <w:pPr>
        <w:pStyle w:val="ListParagraph"/>
        <w:numPr>
          <w:ilvl w:val="0"/>
          <w:numId w:val="2"/>
        </w:numPr>
        <w:spacing w:after="80" w:line="360"/>
      </w:pPr>
      <w:r>
        <w:rPr>
          <w:rFonts w:ascii="Arial" w:cs="Arial" w:eastAsia="Arial" w:hAnsi="Arial"/>
          <w:sz w:val="24"/>
          <w:szCs w:val="24"/>
        </w:rPr>
        <w:t xml:space="preserve">How do compounds alter network connectivity patterns and small-world properties?</w:t>
      </w:r>
    </w:p>
    <w:p>
      <w:pPr>
        <w:pStyle w:val="ListParagraph"/>
        <w:numPr>
          <w:ilvl w:val="0"/>
          <w:numId w:val="2"/>
        </w:numPr>
        <w:spacing w:after="80" w:line="360"/>
      </w:pPr>
      <w:r>
        <w:rPr>
          <w:rFonts w:ascii="Arial" w:cs="Arial" w:eastAsia="Arial" w:hAnsi="Arial"/>
          <w:sz w:val="24"/>
          <w:szCs w:val="24"/>
        </w:rPr>
        <w:t xml:space="preserve">Which spectral frequency bands (theta, alpha, gamma) are most normalized by lead compounds?</w:t>
      </w:r>
    </w:p>
    <w:p>
      <w:pPr>
        <w:pStyle w:val="ListParagraph"/>
        <w:numPr>
          <w:ilvl w:val="0"/>
          <w:numId w:val="2"/>
        </w:numPr>
        <w:spacing w:after="80" w:line="360"/>
      </w:pPr>
      <w:r>
        <w:rPr>
          <w:rFonts w:ascii="Arial" w:cs="Arial" w:eastAsia="Arial" w:hAnsi="Arial"/>
          <w:sz w:val="24"/>
          <w:szCs w:val="24"/>
        </w:rPr>
        <w:t xml:space="preserve">Can network-level metrics predict clinical seizure suppression efficacy better than single-neuron metrics?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E/I balance restoration at circuit level: quantified excitatory/inhibitory conductance ratios</w:t>
      </w:r>
    </w:p>
    <w:p>
      <w:pPr>
        <w:pStyle w:val="ListParagraph"/>
        <w:numPr>
          <w:ilvl w:val="0"/>
          <w:numId w:val="2"/>
        </w:numPr>
        <w:spacing w:after="80" w:line="360"/>
      </w:pPr>
      <w:r>
        <w:rPr>
          <w:rFonts w:ascii="Arial" w:cs="Arial" w:eastAsia="Arial" w:hAnsi="Arial"/>
          <w:sz w:val="24"/>
          <w:szCs w:val="24"/>
        </w:rPr>
        <w:t xml:space="preserve">Network burst suppression: percent reduction in seizure-like events, inter-burst interval normalization</w:t>
      </w:r>
    </w:p>
    <w:p>
      <w:pPr>
        <w:pStyle w:val="ListParagraph"/>
        <w:numPr>
          <w:ilvl w:val="0"/>
          <w:numId w:val="2"/>
        </w:numPr>
        <w:spacing w:after="80" w:line="360"/>
      </w:pPr>
      <w:r>
        <w:rPr>
          <w:rFonts w:ascii="Arial" w:cs="Arial" w:eastAsia="Arial" w:hAnsi="Arial"/>
          <w:sz w:val="24"/>
          <w:szCs w:val="24"/>
        </w:rPr>
        <w:t xml:space="preserve">Network connectivity metrics: changes in degree distribution, clustering, modularity, and small-world index</w:t>
      </w:r>
    </w:p>
    <w:p>
      <w:pPr>
        <w:pStyle w:val="ListParagraph"/>
        <w:numPr>
          <w:ilvl w:val="0"/>
          <w:numId w:val="2"/>
        </w:numPr>
        <w:spacing w:after="80" w:line="360"/>
      </w:pPr>
      <w:r>
        <w:rPr>
          <w:rFonts w:ascii="Arial" w:cs="Arial" w:eastAsia="Arial" w:hAnsi="Arial"/>
          <w:sz w:val="24"/>
          <w:szCs w:val="24"/>
        </w:rPr>
        <w:t xml:space="preserve">Spectral power normalization: frequency-specific changes in oscillatory activity</w:t>
      </w:r>
    </w:p>
    <w:p>
      <w:pPr>
        <w:pStyle w:val="ListParagraph"/>
        <w:numPr>
          <w:ilvl w:val="0"/>
          <w:numId w:val="2"/>
        </w:numPr>
        <w:spacing w:after="80" w:line="360"/>
      </w:pPr>
      <w:r>
        <w:rPr>
          <w:rFonts w:ascii="Arial" w:cs="Arial" w:eastAsia="Arial" w:hAnsi="Arial"/>
          <w:sz w:val="24"/>
          <w:szCs w:val="24"/>
        </w:rPr>
        <w:t xml:space="preserve">Network stability indices: variance reduction, predictability improvement, entropy changes</w:t>
      </w:r>
    </w:p>
    <w:p>
      <w:pPr>
        <w:pStyle w:val="ListParagraph"/>
        <w:numPr>
          <w:ilvl w:val="0"/>
          <w:numId w:val="2"/>
        </w:numPr>
        <w:spacing w:after="80" w:line="360"/>
      </w:pPr>
      <w:r>
        <w:rPr>
          <w:rFonts w:ascii="Arial" w:cs="Arial" w:eastAsia="Arial" w:hAnsi="Arial"/>
          <w:sz w:val="24"/>
          <w:szCs w:val="24"/>
        </w:rPr>
        <w:t xml:space="preserve">Predicted clinical seizure suppression probability based on network normalization extent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E/I balance bar charts, burst suppression plots, network graphs (SVG), spectral power heatmaps, network metric comparison tables.</w:t>
      </w:r>
    </w:p>
    <w:p>
      <w:pPr>
        <w:pStyle w:val="Heading2"/>
        <w:spacing w:after="200" w:before="200" w:line="360"/>
      </w:pPr>
      <w:r>
        <w:rPr>
          <w:rFonts w:ascii="Arial" w:cs="Arial" w:eastAsia="Arial" w:hAnsi="Arial"/>
          <w:b/>
          <w:bCs/>
          <w:sz w:val="28"/>
          <w:szCs w:val="28"/>
        </w:rPr>
        <w:t xml:space="preserve">Stage 5: Lead Candidate Selection and Mechanism-Phenotype Integration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antipodal validation, inhibitory neuron enhancement, and network-level E/I rebalancing to nominate lead candidates with highest predicted clinical efficacy for Dravet syndrome.</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Ranked compounds from Stage 4 (network-level efficacy assessment)</w:t>
      </w:r>
    </w:p>
    <w:p>
      <w:pPr>
        <w:pStyle w:val="ListParagraph"/>
        <w:numPr>
          <w:ilvl w:val="0"/>
          <w:numId w:val="2"/>
        </w:numPr>
        <w:spacing w:after="80" w:line="360"/>
      </w:pPr>
      <w:r>
        <w:rPr>
          <w:rFonts w:ascii="Arial" w:cs="Arial" w:eastAsia="Arial" w:hAnsi="Arial"/>
          <w:sz w:val="24"/>
          <w:szCs w:val="24"/>
        </w:rPr>
        <w:t xml:space="preserve">Antipodal validation scores from Stage 3</w:t>
      </w:r>
    </w:p>
    <w:p>
      <w:pPr>
        <w:pStyle w:val="ListParagraph"/>
        <w:numPr>
          <w:ilvl w:val="0"/>
          <w:numId w:val="2"/>
        </w:numPr>
        <w:spacing w:after="80" w:line="360"/>
      </w:pPr>
      <w:r>
        <w:rPr>
          <w:rFonts w:ascii="Arial" w:cs="Arial" w:eastAsia="Arial" w:hAnsi="Arial"/>
          <w:sz w:val="24"/>
          <w:szCs w:val="24"/>
        </w:rPr>
        <w:t xml:space="preserve">Inhibitory neuron enhancement metrics from Stage 2</w:t>
      </w:r>
    </w:p>
    <w:p>
      <w:pPr>
        <w:pStyle w:val="ListParagraph"/>
        <w:numPr>
          <w:ilvl w:val="0"/>
          <w:numId w:val="2"/>
        </w:numPr>
        <w:spacing w:after="80" w:line="360"/>
      </w:pPr>
      <w:r>
        <w:rPr>
          <w:rFonts w:ascii="Arial" w:cs="Arial" w:eastAsia="Arial" w:hAnsi="Arial"/>
          <w:sz w:val="24"/>
          <w:szCs w:val="24"/>
        </w:rPr>
        <w:t xml:space="preserve">Integrated efficacy scoring across all phenotypic levels (cell, circuit, behavioral prediction)</w:t>
      </w:r>
    </w:p>
    <w:p>
      <w:pPr>
        <w:pStyle w:val="ListParagraph"/>
        <w:numPr>
          <w:ilvl w:val="0"/>
          <w:numId w:val="2"/>
        </w:numPr>
        <w:spacing w:after="80" w:line="360"/>
      </w:pPr>
      <w:r>
        <w:rPr>
          <w:rFonts w:ascii="Arial" w:cs="Arial" w:eastAsia="Arial" w:hAnsi="Arial"/>
          <w:sz w:val="24"/>
          <w:szCs w:val="24"/>
        </w:rPr>
        <w:t xml:space="preserve">Safety and toxicity profiles from literature and pre-clinical data</w:t>
      </w:r>
    </w:p>
    <w:p>
      <w:pPr>
        <w:pStyle w:val="ListParagraph"/>
        <w:numPr>
          <w:ilvl w:val="0"/>
          <w:numId w:val="2"/>
        </w:numPr>
        <w:spacing w:after="80" w:line="360"/>
      </w:pPr>
      <w:r>
        <w:rPr>
          <w:rFonts w:ascii="Arial" w:cs="Arial" w:eastAsia="Arial" w:hAnsi="Arial"/>
          <w:sz w:val="24"/>
          <w:szCs w:val="24"/>
        </w:rPr>
        <w:t xml:space="preserve">Clinical relevance and developmental status of lead candidates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Multi-Criteria Ranking Engine: </w:t>
      </w:r>
      <w:r>
        <w:rPr>
          <w:rFonts w:ascii="Arial" w:cs="Arial" w:eastAsia="Arial" w:hAnsi="Arial"/>
          <w:sz w:val="24"/>
          <w:szCs w:val="24"/>
        </w:rPr>
        <w:t xml:space="preserve">Integrate inhibitory enhancement, antipodal validation, and network efficacy into composite scores</w:t>
      </w:r>
    </w:p>
    <w:p>
      <w:pPr>
        <w:pStyle w:val="ListParagraph"/>
        <w:numPr>
          <w:ilvl w:val="0"/>
          <w:numId w:val="2"/>
        </w:numPr>
        <w:spacing w:after="80" w:line="360"/>
      </w:pPr>
      <w:r>
        <w:rPr>
          <w:rFonts w:ascii="Arial" w:cs="Arial" w:eastAsia="Arial" w:hAnsi="Arial"/>
          <w:b/>
          <w:bCs/>
          <w:sz w:val="24"/>
          <w:szCs w:val="24"/>
        </w:rPr>
        <w:t xml:space="preserve">Machine Learning Integration: </w:t>
      </w:r>
      <w:r>
        <w:rPr>
          <w:rFonts w:ascii="Arial" w:cs="Arial" w:eastAsia="Arial" w:hAnsi="Arial"/>
          <w:sz w:val="24"/>
          <w:szCs w:val="24"/>
        </w:rPr>
        <w:t xml:space="preserve">Predict clinical seizure suppression probability from Quiver multi-level data</w:t>
      </w:r>
    </w:p>
    <w:p>
      <w:pPr>
        <w:pStyle w:val="ListParagraph"/>
        <w:numPr>
          <w:ilvl w:val="0"/>
          <w:numId w:val="2"/>
        </w:numPr>
        <w:spacing w:after="80" w:line="360"/>
      </w:pPr>
      <w:r>
        <w:rPr>
          <w:rFonts w:ascii="Arial" w:cs="Arial" w:eastAsia="Arial" w:hAnsi="Arial"/>
          <w:b/>
          <w:bCs/>
          <w:sz w:val="24"/>
          <w:szCs w:val="24"/>
        </w:rPr>
        <w:t xml:space="preserve">Mechanism-Phenotype Mapper: </w:t>
      </w:r>
      <w:r>
        <w:rPr>
          <w:rFonts w:ascii="Arial" w:cs="Arial" w:eastAsia="Arial" w:hAnsi="Arial"/>
          <w:sz w:val="24"/>
          <w:szCs w:val="24"/>
        </w:rPr>
        <w:t xml:space="preserve">Connect compound targets (molecular level) through cellular effects to network outcomes</w:t>
      </w:r>
    </w:p>
    <w:p>
      <w:pPr>
        <w:pStyle w:val="ListParagraph"/>
        <w:numPr>
          <w:ilvl w:val="0"/>
          <w:numId w:val="2"/>
        </w:numPr>
        <w:spacing w:after="80" w:line="360"/>
      </w:pPr>
      <w:r>
        <w:rPr>
          <w:rFonts w:ascii="Arial" w:cs="Arial" w:eastAsia="Arial" w:hAnsi="Arial"/>
          <w:b/>
          <w:bCs/>
          <w:sz w:val="24"/>
          <w:szCs w:val="24"/>
        </w:rPr>
        <w:t xml:space="preserve">Literature Validation Pipeline: </w:t>
      </w:r>
      <w:r>
        <w:rPr>
          <w:rFonts w:ascii="Arial" w:cs="Arial" w:eastAsia="Arial" w:hAnsi="Arial"/>
          <w:sz w:val="24"/>
          <w:szCs w:val="24"/>
        </w:rPr>
        <w:t xml:space="preserve">Cross-reference leads with published Dravet models and clinical evidence</w:t>
      </w:r>
    </w:p>
    <w:p>
      <w:pPr>
        <w:pStyle w:val="ListParagraph"/>
        <w:numPr>
          <w:ilvl w:val="0"/>
          <w:numId w:val="2"/>
        </w:numPr>
        <w:spacing w:after="80" w:line="360"/>
      </w:pPr>
      <w:r>
        <w:rPr>
          <w:rFonts w:ascii="Arial" w:cs="Arial" w:eastAsia="Arial" w:hAnsi="Arial"/>
          <w:b/>
          <w:bCs/>
          <w:sz w:val="24"/>
          <w:szCs w:val="24"/>
        </w:rPr>
        <w:t xml:space="preserve">Structural Bioinformatics: </w:t>
      </w:r>
      <w:r>
        <w:rPr>
          <w:rFonts w:ascii="Arial" w:cs="Arial" w:eastAsia="Arial" w:hAnsi="Arial"/>
          <w:sz w:val="24"/>
          <w:szCs w:val="24"/>
        </w:rPr>
        <w:t xml:space="preserve">Analyze compound-target binding modes and predict mechanism durability/resistance</w:t>
      </w:r>
    </w:p>
    <w:p>
      <w:pPr>
        <w:pStyle w:val="ListParagraph"/>
        <w:numPr>
          <w:ilvl w:val="0"/>
          <w:numId w:val="2"/>
        </w:numPr>
        <w:spacing w:after="80" w:line="360"/>
      </w:pPr>
      <w:r>
        <w:rPr>
          <w:rFonts w:ascii="Arial" w:cs="Arial" w:eastAsia="Arial" w:hAnsi="Arial"/>
          <w:b/>
          <w:bCs/>
          <w:sz w:val="24"/>
          <w:szCs w:val="24"/>
        </w:rPr>
        <w:t xml:space="preserve">Clinical Development Tracker: </w:t>
      </w:r>
      <w:r>
        <w:rPr>
          <w:rFonts w:ascii="Arial" w:cs="Arial" w:eastAsia="Arial" w:hAnsi="Arial"/>
          <w:sz w:val="24"/>
          <w:szCs w:val="24"/>
        </w:rPr>
        <w:t xml:space="preserve">Assess regulatory pathway, development status, and time-to-clinic for leads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Which top 3-5 compounds show highest integrated efficacy across inhibitory enhancement, antipodal effects, and E/I rebalancing?</w:t>
      </w:r>
    </w:p>
    <w:p>
      <w:pPr>
        <w:pStyle w:val="ListParagraph"/>
        <w:numPr>
          <w:ilvl w:val="0"/>
          <w:numId w:val="2"/>
        </w:numPr>
        <w:spacing w:after="80" w:line="360"/>
      </w:pPr>
      <w:r>
        <w:rPr>
          <w:rFonts w:ascii="Arial" w:cs="Arial" w:eastAsia="Arial" w:hAnsi="Arial"/>
          <w:sz w:val="24"/>
          <w:szCs w:val="24"/>
        </w:rPr>
        <w:t xml:space="preserve">Do leads have mechanistic evidence supporting long-term efficacy without tolerance development?</w:t>
      </w:r>
    </w:p>
    <w:p>
      <w:pPr>
        <w:pStyle w:val="ListParagraph"/>
        <w:numPr>
          <w:ilvl w:val="0"/>
          <w:numId w:val="2"/>
        </w:numPr>
        <w:spacing w:after="80" w:line="360"/>
      </w:pPr>
      <w:r>
        <w:rPr>
          <w:rFonts w:ascii="Arial" w:cs="Arial" w:eastAsia="Arial" w:hAnsi="Arial"/>
          <w:sz w:val="24"/>
          <w:szCs w:val="24"/>
        </w:rPr>
        <w:t xml:space="preserve">Which compounds avoid off-target mechanisms that could cause paradoxical hyperexcitability?</w:t>
      </w:r>
    </w:p>
    <w:p>
      <w:pPr>
        <w:pStyle w:val="ListParagraph"/>
        <w:numPr>
          <w:ilvl w:val="0"/>
          <w:numId w:val="2"/>
        </w:numPr>
        <w:spacing w:after="80" w:line="360"/>
      </w:pPr>
      <w:r>
        <w:rPr>
          <w:rFonts w:ascii="Arial" w:cs="Arial" w:eastAsia="Arial" w:hAnsi="Arial"/>
          <w:sz w:val="24"/>
          <w:szCs w:val="24"/>
        </w:rPr>
        <w:t xml:space="preserve">What is the mechanistic relationship between compound targets and Dravet-relevant neural circuits?</w:t>
      </w:r>
    </w:p>
    <w:p>
      <w:pPr>
        <w:pStyle w:val="ListParagraph"/>
        <w:numPr>
          <w:ilvl w:val="0"/>
          <w:numId w:val="2"/>
        </w:numPr>
        <w:spacing w:after="80" w:line="360"/>
      </w:pPr>
      <w:r>
        <w:rPr>
          <w:rFonts w:ascii="Arial" w:cs="Arial" w:eastAsia="Arial" w:hAnsi="Arial"/>
          <w:sz w:val="24"/>
          <w:szCs w:val="24"/>
        </w:rPr>
        <w:t xml:space="preserve">Are there combination approaches (dual compounds) that synergistically enhance inhibitory function?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Final lead candidate rankings (top 3-5 with composite efficacy scores and confidence intervals)</w:t>
      </w:r>
    </w:p>
    <w:p>
      <w:pPr>
        <w:pStyle w:val="ListParagraph"/>
        <w:numPr>
          <w:ilvl w:val="0"/>
          <w:numId w:val="2"/>
        </w:numPr>
        <w:spacing w:after="80" w:line="360"/>
      </w:pPr>
      <w:r>
        <w:rPr>
          <w:rFonts w:ascii="Arial" w:cs="Arial" w:eastAsia="Arial" w:hAnsi="Arial"/>
          <w:sz w:val="24"/>
          <w:szCs w:val="24"/>
        </w:rPr>
        <w:t xml:space="preserve">Mechanistic summary for each lead: targets, inhibitory neuron subtypes affected, E/I rebalancing extent</w:t>
      </w:r>
    </w:p>
    <w:p>
      <w:pPr>
        <w:pStyle w:val="ListParagraph"/>
        <w:numPr>
          <w:ilvl w:val="0"/>
          <w:numId w:val="2"/>
        </w:numPr>
        <w:spacing w:after="80" w:line="360"/>
      </w:pPr>
      <w:r>
        <w:rPr>
          <w:rFonts w:ascii="Arial" w:cs="Arial" w:eastAsia="Arial" w:hAnsi="Arial"/>
          <w:sz w:val="24"/>
          <w:szCs w:val="24"/>
        </w:rPr>
        <w:t xml:space="preserve">Predicted seizure suppression probability and expected clinical benefit for each lead</w:t>
      </w:r>
    </w:p>
    <w:p>
      <w:pPr>
        <w:pStyle w:val="ListParagraph"/>
        <w:numPr>
          <w:ilvl w:val="0"/>
          <w:numId w:val="2"/>
        </w:numPr>
        <w:spacing w:after="80" w:line="360"/>
      </w:pPr>
      <w:r>
        <w:rPr>
          <w:rFonts w:ascii="Arial" w:cs="Arial" w:eastAsia="Arial" w:hAnsi="Arial"/>
          <w:sz w:val="24"/>
          <w:szCs w:val="24"/>
        </w:rPr>
        <w:t xml:space="preserve">Target validation evidence: binding data, mechanistic studies, pre-clinical efficacy in Dravet models</w:t>
      </w:r>
    </w:p>
    <w:p>
      <w:pPr>
        <w:pStyle w:val="ListParagraph"/>
        <w:numPr>
          <w:ilvl w:val="0"/>
          <w:numId w:val="2"/>
        </w:numPr>
        <w:spacing w:after="80" w:line="360"/>
      </w:pPr>
      <w:r>
        <w:rPr>
          <w:rFonts w:ascii="Arial" w:cs="Arial" w:eastAsia="Arial" w:hAnsi="Arial"/>
          <w:sz w:val="24"/>
          <w:szCs w:val="24"/>
        </w:rPr>
        <w:t xml:space="preserve">Comparison with current Dravet therapies (stiripentol, cannabidiol, fenfluramine) in terms of mechanism and efficacy</w:t>
      </w:r>
    </w:p>
    <w:p>
      <w:pPr>
        <w:pStyle w:val="ListParagraph"/>
        <w:numPr>
          <w:ilvl w:val="0"/>
          <w:numId w:val="2"/>
        </w:numPr>
        <w:spacing w:after="80" w:line="360"/>
      </w:pPr>
      <w:r>
        <w:rPr>
          <w:rFonts w:ascii="Arial" w:cs="Arial" w:eastAsia="Arial" w:hAnsi="Arial"/>
          <w:sz w:val="24"/>
          <w:szCs w:val="24"/>
        </w:rPr>
        <w:t xml:space="preserve">Recommended downstream validation experiments (patch-clamp, brain slice, in vivo seizure models)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Lead candidate summary document, efficacy comparison tables, mechanistic pathway diagrams, clinical development roadmaps.</w:t>
      </w:r>
    </w:p>
    <w:p>
      <w:pPr>
        <w:pStyle w:val="Heading2"/>
        <w:spacing w:after="200" w:before="200" w:line="360"/>
      </w:pPr>
      <w:r>
        <w:rPr>
          <w:rFonts w:ascii="Arial" w:cs="Arial" w:eastAsia="Arial" w:hAnsi="Arial"/>
          <w:b/>
          <w:bCs/>
          <w:sz w:val="28"/>
          <w:szCs w:val="28"/>
        </w:rPr>
        <w:t xml:space="preserve">Stage 6: Clinical Translation and Personalized Dravet Treatment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Translate Quiver predictions into clinical recommendations for Dravet syndrome treatment, including patient stratification, combination therapy optimization, and resistance management.</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Final lead candidate rankings from Stage 5</w:t>
      </w:r>
    </w:p>
    <w:p>
      <w:pPr>
        <w:pStyle w:val="ListParagraph"/>
        <w:numPr>
          <w:ilvl w:val="0"/>
          <w:numId w:val="2"/>
        </w:numPr>
        <w:spacing w:after="80" w:line="360"/>
      </w:pPr>
      <w:r>
        <w:rPr>
          <w:rFonts w:ascii="Arial" w:cs="Arial" w:eastAsia="Arial" w:hAnsi="Arial"/>
          <w:sz w:val="24"/>
          <w:szCs w:val="24"/>
        </w:rPr>
        <w:t xml:space="preserve">Dravet patient population heterogeneity: SCN1A mutation types, seizure phenotypes, comorbidity profiles</w:t>
      </w:r>
    </w:p>
    <w:p>
      <w:pPr>
        <w:pStyle w:val="ListParagraph"/>
        <w:numPr>
          <w:ilvl w:val="0"/>
          <w:numId w:val="2"/>
        </w:numPr>
        <w:spacing w:after="80" w:line="360"/>
      </w:pPr>
      <w:r>
        <w:rPr>
          <w:rFonts w:ascii="Arial" w:cs="Arial" w:eastAsia="Arial" w:hAnsi="Arial"/>
          <w:sz w:val="24"/>
          <w:szCs w:val="24"/>
        </w:rPr>
        <w:t xml:space="preserve">Published clinical trial data for Dravet medications (stiripentol, cannabidiol, fenfluramine, PCDH19 modulators)</w:t>
      </w:r>
    </w:p>
    <w:p>
      <w:pPr>
        <w:pStyle w:val="ListParagraph"/>
        <w:numPr>
          <w:ilvl w:val="0"/>
          <w:numId w:val="2"/>
        </w:numPr>
        <w:spacing w:after="80" w:line="360"/>
      </w:pPr>
      <w:r>
        <w:rPr>
          <w:rFonts w:ascii="Arial" w:cs="Arial" w:eastAsia="Arial" w:hAnsi="Arial"/>
          <w:sz w:val="24"/>
          <w:szCs w:val="24"/>
        </w:rPr>
        <w:t xml:space="preserve">Pharmacokinetics/pharmacodynamics of lead candidates in pediatric and adult populations</w:t>
      </w:r>
    </w:p>
    <w:p>
      <w:pPr>
        <w:pStyle w:val="ListParagraph"/>
        <w:numPr>
          <w:ilvl w:val="0"/>
          <w:numId w:val="2"/>
        </w:numPr>
        <w:spacing w:after="80" w:line="360"/>
      </w:pPr>
      <w:r>
        <w:rPr>
          <w:rFonts w:ascii="Arial" w:cs="Arial" w:eastAsia="Arial" w:hAnsi="Arial"/>
          <w:sz w:val="24"/>
          <w:szCs w:val="24"/>
        </w:rPr>
        <w:t xml:space="preserve">Known drug-drug interactions for Dravet polytherapy (most patients require multi-drug regimens)</w:t>
      </w:r>
    </w:p>
    <w:p>
      <w:pPr>
        <w:pStyle w:val="ListParagraph"/>
        <w:numPr>
          <w:ilvl w:val="0"/>
          <w:numId w:val="2"/>
        </w:numPr>
        <w:spacing w:after="80" w:line="360"/>
      </w:pPr>
      <w:r>
        <w:rPr>
          <w:rFonts w:ascii="Arial" w:cs="Arial" w:eastAsia="Arial" w:hAnsi="Arial"/>
          <w:sz w:val="24"/>
          <w:szCs w:val="24"/>
        </w:rPr>
        <w:t xml:space="preserve">Safety considerations specific to Dravet populations (developmental age, comorbid autism, cardiac effects)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ClinicalTrials.gov &amp; FDA Database: </w:t>
      </w:r>
      <w:r>
        <w:rPr>
          <w:rFonts w:ascii="Arial" w:cs="Arial" w:eastAsia="Arial" w:hAnsi="Arial"/>
          <w:sz w:val="24"/>
          <w:szCs w:val="24"/>
        </w:rPr>
        <w:t xml:space="preserve">Identify ongoing/completed Dravet trials with efficacy and safety data</w:t>
      </w:r>
    </w:p>
    <w:p>
      <w:pPr>
        <w:pStyle w:val="ListParagraph"/>
        <w:numPr>
          <w:ilvl w:val="0"/>
          <w:numId w:val="2"/>
        </w:numPr>
        <w:spacing w:after="80" w:line="360"/>
      </w:pPr>
      <w:r>
        <w:rPr>
          <w:rFonts w:ascii="Arial" w:cs="Arial" w:eastAsia="Arial" w:hAnsi="Arial"/>
          <w:b/>
          <w:bCs/>
          <w:sz w:val="24"/>
          <w:szCs w:val="24"/>
        </w:rPr>
        <w:t xml:space="preserve">Dravet Syndrome Foundation Database: </w:t>
      </w:r>
      <w:r>
        <w:rPr>
          <w:rFonts w:ascii="Arial" w:cs="Arial" w:eastAsia="Arial" w:hAnsi="Arial"/>
          <w:sz w:val="24"/>
          <w:szCs w:val="24"/>
        </w:rPr>
        <w:t xml:space="preserve">Patient cohort phenotypes and treatment response characteristics</w:t>
      </w:r>
    </w:p>
    <w:p>
      <w:pPr>
        <w:pStyle w:val="ListParagraph"/>
        <w:numPr>
          <w:ilvl w:val="0"/>
          <w:numId w:val="2"/>
        </w:numPr>
        <w:spacing w:after="80" w:line="360"/>
      </w:pPr>
      <w:r>
        <w:rPr>
          <w:rFonts w:ascii="Arial" w:cs="Arial" w:eastAsia="Arial" w:hAnsi="Arial"/>
          <w:b/>
          <w:bCs/>
          <w:sz w:val="24"/>
          <w:szCs w:val="24"/>
        </w:rPr>
        <w:t xml:space="preserve">Pharmacokinetic Modeling Software: </w:t>
      </w:r>
      <w:r>
        <w:rPr>
          <w:rFonts w:ascii="Arial" w:cs="Arial" w:eastAsia="Arial" w:hAnsi="Arial"/>
          <w:sz w:val="24"/>
          <w:szCs w:val="24"/>
        </w:rPr>
        <w:t xml:space="preserve">Predict brain exposure and optimal dosing for pediatric/adult populations</w:t>
      </w:r>
    </w:p>
    <w:p>
      <w:pPr>
        <w:pStyle w:val="ListParagraph"/>
        <w:numPr>
          <w:ilvl w:val="0"/>
          <w:numId w:val="2"/>
        </w:numPr>
        <w:spacing w:after="80" w:line="360"/>
      </w:pPr>
      <w:r>
        <w:rPr>
          <w:rFonts w:ascii="Arial" w:cs="Arial" w:eastAsia="Arial" w:hAnsi="Arial"/>
          <w:b/>
          <w:bCs/>
          <w:sz w:val="24"/>
          <w:szCs w:val="24"/>
        </w:rPr>
        <w:t xml:space="preserve">Personalized Medicine Database: </w:t>
      </w:r>
      <w:r>
        <w:rPr>
          <w:rFonts w:ascii="Arial" w:cs="Arial" w:eastAsia="Arial" w:hAnsi="Arial"/>
          <w:sz w:val="24"/>
          <w:szCs w:val="24"/>
        </w:rPr>
        <w:t xml:space="preserve">SCN1A mutation type-phenotype associations and predicted drug responsiveness</w:t>
      </w:r>
    </w:p>
    <w:p>
      <w:pPr>
        <w:pStyle w:val="ListParagraph"/>
        <w:numPr>
          <w:ilvl w:val="0"/>
          <w:numId w:val="2"/>
        </w:numPr>
        <w:spacing w:after="80" w:line="360"/>
      </w:pPr>
      <w:r>
        <w:rPr>
          <w:rFonts w:ascii="Arial" w:cs="Arial" w:eastAsia="Arial" w:hAnsi="Arial"/>
          <w:b/>
          <w:bCs/>
          <w:sz w:val="24"/>
          <w:szCs w:val="24"/>
        </w:rPr>
        <w:t xml:space="preserve">Drug Interaction &amp; Polypharmacy Database: </w:t>
      </w:r>
      <w:r>
        <w:rPr>
          <w:rFonts w:ascii="Arial" w:cs="Arial" w:eastAsia="Arial" w:hAnsi="Arial"/>
          <w:sz w:val="24"/>
          <w:szCs w:val="24"/>
        </w:rPr>
        <w:t xml:space="preserve">Multi-drug combinations used in refractory Dravet epilepsy</w:t>
      </w:r>
    </w:p>
    <w:p>
      <w:pPr>
        <w:pStyle w:val="ListParagraph"/>
        <w:numPr>
          <w:ilvl w:val="0"/>
          <w:numId w:val="2"/>
        </w:numPr>
        <w:spacing w:after="80" w:line="360"/>
      </w:pPr>
      <w:r>
        <w:rPr>
          <w:rFonts w:ascii="Arial" w:cs="Arial" w:eastAsia="Arial" w:hAnsi="Arial"/>
          <w:b/>
          <w:bCs/>
          <w:sz w:val="24"/>
          <w:szCs w:val="24"/>
        </w:rPr>
        <w:t xml:space="preserve">Comparative Effectiveness Database: </w:t>
      </w:r>
      <w:r>
        <w:rPr>
          <w:rFonts w:ascii="Arial" w:cs="Arial" w:eastAsia="Arial" w:hAnsi="Arial"/>
          <w:sz w:val="24"/>
          <w:szCs w:val="24"/>
        </w:rPr>
        <w:t xml:space="preserve">Clinical outcomes for available Dravet medications with population stratification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Which lead compounds have the strongest mechanistic rationale for clinical efficacy in Dravet?</w:t>
      </w:r>
    </w:p>
    <w:p>
      <w:pPr>
        <w:pStyle w:val="ListParagraph"/>
        <w:numPr>
          <w:ilvl w:val="0"/>
          <w:numId w:val="2"/>
        </w:numPr>
        <w:spacing w:after="80" w:line="360"/>
      </w:pPr>
      <w:r>
        <w:rPr>
          <w:rFonts w:ascii="Arial" w:cs="Arial" w:eastAsia="Arial" w:hAnsi="Arial"/>
          <w:sz w:val="24"/>
          <w:szCs w:val="24"/>
        </w:rPr>
        <w:t xml:space="preserve">Can patient-specific features (SCN1A mutation type, seizure phenotype) predict responsiveness to lead candidates?</w:t>
      </w:r>
    </w:p>
    <w:p>
      <w:pPr>
        <w:pStyle w:val="ListParagraph"/>
        <w:numPr>
          <w:ilvl w:val="0"/>
          <w:numId w:val="2"/>
        </w:numPr>
        <w:spacing w:after="80" w:line="360"/>
      </w:pPr>
      <w:r>
        <w:rPr>
          <w:rFonts w:ascii="Arial" w:cs="Arial" w:eastAsia="Arial" w:hAnsi="Arial"/>
          <w:sz w:val="24"/>
          <w:szCs w:val="24"/>
        </w:rPr>
        <w:t xml:space="preserve">How should leads be incorporated into existing Dravet treatment algorithms (monotherapy vs. add-on)?</w:t>
      </w:r>
    </w:p>
    <w:p>
      <w:pPr>
        <w:pStyle w:val="ListParagraph"/>
        <w:numPr>
          <w:ilvl w:val="0"/>
          <w:numId w:val="2"/>
        </w:numPr>
        <w:spacing w:after="80" w:line="360"/>
      </w:pPr>
      <w:r>
        <w:rPr>
          <w:rFonts w:ascii="Arial" w:cs="Arial" w:eastAsia="Arial" w:hAnsi="Arial"/>
          <w:sz w:val="24"/>
          <w:szCs w:val="24"/>
        </w:rPr>
        <w:t xml:space="preserve">What combination therapies optimally rescue inhibitory neuron function while minimizing drug interactions?</w:t>
      </w:r>
    </w:p>
    <w:p>
      <w:pPr>
        <w:pStyle w:val="ListParagraph"/>
        <w:numPr>
          <w:ilvl w:val="0"/>
          <w:numId w:val="2"/>
        </w:numPr>
        <w:spacing w:after="80" w:line="360"/>
      </w:pPr>
      <w:r>
        <w:rPr>
          <w:rFonts w:ascii="Arial" w:cs="Arial" w:eastAsia="Arial" w:hAnsi="Arial"/>
          <w:sz w:val="24"/>
          <w:szCs w:val="24"/>
        </w:rPr>
        <w:t xml:space="preserve">What is the regulatory pathway and timeline for advancing leads to clinical trials in pediatric Dravet patients?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Clinical translation summary for top 3 leads: mechanism, predicted efficacy, safety profile, clinical trial recommendation</w:t>
      </w:r>
    </w:p>
    <w:p>
      <w:pPr>
        <w:pStyle w:val="ListParagraph"/>
        <w:numPr>
          <w:ilvl w:val="0"/>
          <w:numId w:val="2"/>
        </w:numPr>
        <w:spacing w:after="80" w:line="360"/>
      </w:pPr>
      <w:r>
        <w:rPr>
          <w:rFonts w:ascii="Arial" w:cs="Arial" w:eastAsia="Arial" w:hAnsi="Arial"/>
          <w:sz w:val="24"/>
          <w:szCs w:val="24"/>
        </w:rPr>
        <w:t xml:space="preserve">Patient stratification framework: SCN1A mutation type, seizure phenotype, comorbidity-based treatment selection</w:t>
      </w:r>
    </w:p>
    <w:p>
      <w:pPr>
        <w:pStyle w:val="ListParagraph"/>
        <w:numPr>
          <w:ilvl w:val="0"/>
          <w:numId w:val="2"/>
        </w:numPr>
        <w:spacing w:after="80" w:line="360"/>
      </w:pPr>
      <w:r>
        <w:rPr>
          <w:rFonts w:ascii="Arial" w:cs="Arial" w:eastAsia="Arial" w:hAnsi="Arial"/>
          <w:sz w:val="24"/>
          <w:szCs w:val="24"/>
        </w:rPr>
        <w:t xml:space="preserve">Optimal dosing regimens for lead compounds in pediatric (infants, children) and adult populations</w:t>
      </w:r>
    </w:p>
    <w:p>
      <w:pPr>
        <w:pStyle w:val="ListParagraph"/>
        <w:numPr>
          <w:ilvl w:val="0"/>
          <w:numId w:val="2"/>
        </w:numPr>
        <w:spacing w:after="80" w:line="360"/>
      </w:pPr>
      <w:r>
        <w:rPr>
          <w:rFonts w:ascii="Arial" w:cs="Arial" w:eastAsia="Arial" w:hAnsi="Arial"/>
          <w:sz w:val="24"/>
          <w:szCs w:val="24"/>
        </w:rPr>
        <w:t xml:space="preserve">Combination therapy recommendations integrating leads with current Dravet medications</w:t>
      </w:r>
    </w:p>
    <w:p>
      <w:pPr>
        <w:pStyle w:val="ListParagraph"/>
        <w:numPr>
          <w:ilvl w:val="0"/>
          <w:numId w:val="2"/>
        </w:numPr>
        <w:spacing w:after="80" w:line="360"/>
      </w:pPr>
      <w:r>
        <w:rPr>
          <w:rFonts w:ascii="Arial" w:cs="Arial" w:eastAsia="Arial" w:hAnsi="Arial"/>
          <w:sz w:val="24"/>
          <w:szCs w:val="24"/>
        </w:rPr>
        <w:t xml:space="preserve">Safety monitoring protocol: biomarkers, adverse event surveillance, resistance/tolerance tracking</w:t>
      </w:r>
    </w:p>
    <w:p>
      <w:pPr>
        <w:pStyle w:val="ListParagraph"/>
        <w:numPr>
          <w:ilvl w:val="0"/>
          <w:numId w:val="2"/>
        </w:numPr>
        <w:spacing w:after="80" w:line="360"/>
      </w:pPr>
      <w:r>
        <w:rPr>
          <w:rFonts w:ascii="Arial" w:cs="Arial" w:eastAsia="Arial" w:hAnsi="Arial"/>
          <w:sz w:val="24"/>
          <w:szCs w:val="24"/>
        </w:rPr>
        <w:t xml:space="preserve">Regulatory and development roadmap: orphan drug status, fast-track consideration, projected trial timelines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Clinical translation document, patient stratification algorithm, dosing tables, combination therapy matrices, trial protocol template.</w:t>
      </w:r>
    </w:p>
    <w:p>
      <w:pPr>
        <w:pStyle w:val="Heading2"/>
        <w:spacing w:after="200" w:before="200" w:line="360"/>
      </w:pPr>
      <w:r>
        <w:rPr>
          <w:rFonts w:ascii="Arial" w:cs="Arial" w:eastAsia="Arial" w:hAnsi="Arial"/>
          <w:b/>
          <w:bCs/>
          <w:sz w:val="28"/>
          <w:szCs w:val="28"/>
        </w:rPr>
        <w:t xml:space="preserve">Tools &amp; Databases Summary</w:t>
      </w:r>
    </w:p>
    <w:p>
      <w:pPr>
        <w:pStyle w:val="ListParagraph"/>
        <w:numPr>
          <w:ilvl w:val="0"/>
          <w:numId w:val="2"/>
        </w:numPr>
        <w:spacing w:after="80" w:line="360"/>
      </w:pPr>
      <w:r>
        <w:rPr>
          <w:rFonts w:ascii="Arial" w:cs="Arial" w:eastAsia="Arial" w:hAnsi="Arial"/>
          <w:sz w:val="24"/>
          <w:szCs w:val="24"/>
        </w:rPr>
        <w:t xml:space="preserve">Quiver Bioscience EP CRISPR Atlas: ~18,000 gene perturbations, ~3,500 compounds, 500+ electrophysiology features including SCN1A and interneuron subtype responses</w:t>
      </w:r>
    </w:p>
    <w:p>
      <w:pPr>
        <w:pStyle w:val="ListParagraph"/>
        <w:numPr>
          <w:ilvl w:val="0"/>
          <w:numId w:val="2"/>
        </w:numPr>
        <w:spacing w:after="80" w:line="360"/>
      </w:pPr>
      <w:r>
        <w:rPr>
          <w:rFonts w:ascii="Arial" w:cs="Arial" w:eastAsia="Arial" w:hAnsi="Arial"/>
          <w:sz w:val="24"/>
          <w:szCs w:val="24"/>
        </w:rPr>
        <w:t xml:space="preserve">Ion Channel Database (Channelpedia): Nav1.1 structural properties, gating kinetics, voltage-dependent inactivation, and mechanistic pharmacology</w:t>
      </w:r>
    </w:p>
    <w:p>
      <w:pPr>
        <w:pStyle w:val="ListParagraph"/>
        <w:numPr>
          <w:ilvl w:val="0"/>
          <w:numId w:val="2"/>
        </w:numPr>
        <w:spacing w:after="80" w:line="360"/>
      </w:pPr>
      <w:r>
        <w:rPr>
          <w:rFonts w:ascii="Arial" w:cs="Arial" w:eastAsia="Arial" w:hAnsi="Arial"/>
          <w:sz w:val="24"/>
          <w:szCs w:val="24"/>
        </w:rPr>
        <w:t xml:space="preserve">UniProt &amp; PDBe: Nav1.1 protein interactions, auxiliary protein interactions (FHF, beta-subunits, PDZ proteins)</w:t>
      </w:r>
    </w:p>
    <w:p>
      <w:pPr>
        <w:pStyle w:val="ListParagraph"/>
        <w:numPr>
          <w:ilvl w:val="0"/>
          <w:numId w:val="2"/>
        </w:numPr>
        <w:spacing w:after="80" w:line="360"/>
      </w:pPr>
      <w:r>
        <w:rPr>
          <w:rFonts w:ascii="Arial" w:cs="Arial" w:eastAsia="Arial" w:hAnsi="Arial"/>
          <w:sz w:val="24"/>
          <w:szCs w:val="24"/>
        </w:rPr>
        <w:t xml:space="preserve">Human Protein Atlas: Nav1.1 cell-type and tissue-specific expression patterns</w:t>
      </w:r>
    </w:p>
    <w:p>
      <w:pPr>
        <w:pStyle w:val="ListParagraph"/>
        <w:numPr>
          <w:ilvl w:val="0"/>
          <w:numId w:val="2"/>
        </w:numPr>
        <w:spacing w:after="80" w:line="360"/>
      </w:pPr>
      <w:r>
        <w:rPr>
          <w:rFonts w:ascii="Arial" w:cs="Arial" w:eastAsia="Arial" w:hAnsi="Arial"/>
          <w:sz w:val="24"/>
          <w:szCs w:val="24"/>
        </w:rPr>
        <w:t xml:space="preserve">Allen Brain Atlas: Inhibitory interneuron subtype distribution, anatomical localization, and Nav1.1 expression mapping</w:t>
      </w:r>
    </w:p>
    <w:p>
      <w:pPr>
        <w:pStyle w:val="ListParagraph"/>
        <w:numPr>
          <w:ilvl w:val="0"/>
          <w:numId w:val="2"/>
        </w:numPr>
        <w:spacing w:after="80" w:line="360"/>
      </w:pPr>
      <w:r>
        <w:rPr>
          <w:rFonts w:ascii="Arial" w:cs="Arial" w:eastAsia="Arial" w:hAnsi="Arial"/>
          <w:sz w:val="24"/>
          <w:szCs w:val="24"/>
        </w:rPr>
        <w:t xml:space="preserve">ClinVar &amp; OMIM: SCN1A mutation catalog with detailed genotype-phenotype correlations for Dravet syndrome</w:t>
      </w:r>
    </w:p>
    <w:p>
      <w:pPr>
        <w:pStyle w:val="ListParagraph"/>
        <w:numPr>
          <w:ilvl w:val="0"/>
          <w:numId w:val="2"/>
        </w:numPr>
        <w:spacing w:after="80" w:line="360"/>
      </w:pPr>
      <w:r>
        <w:rPr>
          <w:rFonts w:ascii="Arial" w:cs="Arial" w:eastAsia="Arial" w:hAnsi="Arial"/>
          <w:sz w:val="24"/>
          <w:szCs w:val="24"/>
        </w:rPr>
        <w:t xml:space="preserve">Dravet Syndrome Knowledgebase (DSK): Curated compounds with pre-clinical or clinical efficacy in Dravet models</w:t>
      </w:r>
    </w:p>
    <w:p>
      <w:pPr>
        <w:pStyle w:val="ListParagraph"/>
        <w:numPr>
          <w:ilvl w:val="0"/>
          <w:numId w:val="2"/>
        </w:numPr>
        <w:spacing w:after="80" w:line="360"/>
      </w:pPr>
      <w:r>
        <w:rPr>
          <w:rFonts w:ascii="Arial" w:cs="Arial" w:eastAsia="Arial" w:hAnsi="Arial"/>
          <w:sz w:val="24"/>
          <w:szCs w:val="24"/>
        </w:rPr>
        <w:t xml:space="preserve">GABA Receptor Pharmacology Database (GRD): GABA potentiators, allosteric modulators, reuptake inhibitors, and synthesis enhancers</w:t>
      </w:r>
    </w:p>
    <w:p>
      <w:pPr>
        <w:pStyle w:val="ListParagraph"/>
        <w:numPr>
          <w:ilvl w:val="0"/>
          <w:numId w:val="2"/>
        </w:numPr>
        <w:spacing w:after="80" w:line="360"/>
      </w:pPr>
      <w:r>
        <w:rPr>
          <w:rFonts w:ascii="Arial" w:cs="Arial" w:eastAsia="Arial" w:hAnsi="Arial"/>
          <w:sz w:val="24"/>
          <w:szCs w:val="24"/>
        </w:rPr>
        <w:t xml:space="preserve">Ion Channel Pharmacology Database: Sodium channel activators, potassium channel modulators, and calcium channel modulators</w:t>
      </w:r>
    </w:p>
    <w:p>
      <w:pPr>
        <w:pStyle w:val="ListParagraph"/>
        <w:numPr>
          <w:ilvl w:val="0"/>
          <w:numId w:val="2"/>
        </w:numPr>
        <w:spacing w:after="80" w:line="360"/>
      </w:pPr>
      <w:r>
        <w:rPr>
          <w:rFonts w:ascii="Arial" w:cs="Arial" w:eastAsia="Arial" w:hAnsi="Arial"/>
          <w:sz w:val="24"/>
          <w:szCs w:val="24"/>
        </w:rPr>
        <w:t xml:space="preserve">DrugBank: Comprehensive drug target, mechanism, pharmacokinetics, and clinical development data</w:t>
      </w:r>
    </w:p>
    <w:p>
      <w:pPr>
        <w:pStyle w:val="ListParagraph"/>
        <w:numPr>
          <w:ilvl w:val="0"/>
          <w:numId w:val="2"/>
        </w:numPr>
        <w:spacing w:after="80" w:line="360"/>
      </w:pPr>
      <w:r>
        <w:rPr>
          <w:rFonts w:ascii="Arial" w:cs="Arial" w:eastAsia="Arial" w:hAnsi="Arial"/>
          <w:sz w:val="24"/>
          <w:szCs w:val="24"/>
        </w:rPr>
        <w:t xml:space="preserve">ChEMBL &amp; PubChem: Chemical structures, bioassay data, activity predictions, and structure-activity relationships</w:t>
      </w:r>
    </w:p>
    <w:p>
      <w:pPr>
        <w:pStyle w:val="ListParagraph"/>
        <w:numPr>
          <w:ilvl w:val="0"/>
          <w:numId w:val="2"/>
        </w:numPr>
        <w:spacing w:after="80" w:line="360"/>
      </w:pPr>
      <w:r>
        <w:rPr>
          <w:rFonts w:ascii="Arial" w:cs="Arial" w:eastAsia="Arial" w:hAnsi="Arial"/>
          <w:sz w:val="24"/>
          <w:szCs w:val="24"/>
        </w:rPr>
        <w:t xml:space="preserve">igraph/NetworkX: Network topology metrics (degree, betweenness centrality, clustering, modularity, small-world indices)</w:t>
      </w:r>
    </w:p>
    <w:p>
      <w:pPr>
        <w:pStyle w:val="ListParagraph"/>
        <w:numPr>
          <w:ilvl w:val="0"/>
          <w:numId w:val="2"/>
        </w:numPr>
        <w:spacing w:after="80" w:line="360"/>
      </w:pPr>
      <w:r>
        <w:rPr>
          <w:rFonts w:ascii="Arial" w:cs="Arial" w:eastAsia="Arial" w:hAnsi="Arial"/>
          <w:sz w:val="24"/>
          <w:szCs w:val="24"/>
        </w:rPr>
        <w:t xml:space="preserve">Signal Processing Toolbox: Spectral analysis, cross-frequency coupling, phase-locking values, coherence calculations</w:t>
      </w:r>
    </w:p>
    <w:p>
      <w:pPr>
        <w:pStyle w:val="ListParagraph"/>
        <w:numPr>
          <w:ilvl w:val="0"/>
          <w:numId w:val="2"/>
        </w:numPr>
        <w:spacing w:after="80" w:line="360"/>
      </w:pPr>
      <w:r>
        <w:rPr>
          <w:rFonts w:ascii="Arial" w:cs="Arial" w:eastAsia="Arial" w:hAnsi="Arial"/>
          <w:sz w:val="24"/>
          <w:szCs w:val="24"/>
        </w:rPr>
        <w:t xml:space="preserve">Machine Learning Platforms (Support Vector Machines, Neural Networks, XGBoost): Classification of antipodal mechanisms and efficacy prediction</w:t>
      </w:r>
    </w:p>
    <w:p>
      <w:pPr>
        <w:pStyle w:val="ListParagraph"/>
        <w:numPr>
          <w:ilvl w:val="0"/>
          <w:numId w:val="2"/>
        </w:numPr>
        <w:spacing w:after="80" w:line="360"/>
      </w:pPr>
      <w:r>
        <w:rPr>
          <w:rFonts w:ascii="Arial" w:cs="Arial" w:eastAsia="Arial" w:hAnsi="Arial"/>
          <w:sz w:val="24"/>
          <w:szCs w:val="24"/>
        </w:rPr>
        <w:t xml:space="preserve">ClinicalTrials.gov &amp; FDA Database: Dravet syndrome clinical trial data with efficacy, safety, and outcomes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2026-03-02T16:54:25.182Z</dcterms:created>
  <dcterms:modified xsi:type="dcterms:W3CDTF">2026-03-02T16:54:25.182Z</dcterms:modified>
</cp:coreProperties>
</file>

<file path=docProps/custom.xml><?xml version="1.0" encoding="utf-8"?>
<Properties xmlns="http://schemas.openxmlformats.org/officeDocument/2006/custom-properties" xmlns:vt="http://schemas.openxmlformats.org/officeDocument/2006/docPropsVTypes"/>
</file>