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</w:pPr>
      <w:r>
        <w:t xml:space="preserve">Sapphire Pipeline Workflow</w:t>
      </w:r>
    </w:p>
    <w:p>
      <w:pPr>
        <w:pStyle w:val="Heading2"/>
        <w:spacing w:after="240" w:before="240"/>
      </w:pPr>
      <w:r>
        <w:t xml:space="preserve">Prompt: "Identify BBB-penetrant small molecules correcting CACNA1A-associated phenotypes."</w:t>
      </w:r>
    </w:p>
    <w:p>
      <w:pPr>
        <w:spacing w:after="120" w:line="360"/>
      </w:pPr>
      <w:r>
        <w:t xml:space="preserve">This document defines the complete Sapphire pipeline for target validation, compound screening, and clinical development strategy. </w:t>
      </w:r>
      <w:r>
        <w:t xml:space="preserve">Sapphire is Quiver Bioscience's AI-integrated drug discovery platform leveraging an electrophysiology (EP) CRISPR atlas with ~18,000 gene perturbations, ~3,500 compound perturbations, and 500+ functional features per neuron. </w:t>
      </w:r>
      <w:r>
        <w:t xml:space="preserve">All six pipeline stages incorporate Quiver's proprietary phenotypic data to accelerate target-to-lead progression in monogenic and rare neurogenetic disorders.</w:t>
      </w:r>
    </w:p>
    <w:p>
      <w:pPr>
        <w:pStyle w:val="Heading2"/>
        <w:spacing w:after="240" w:before="240"/>
      </w:pPr>
      <w:r>
        <w:t xml:space="preserve">Pipeline Overview</w:t>
      </w:r>
    </w:p>
    <w:p>
      <w:pPr>
        <w:spacing w:after="120" w:line="360"/>
      </w:pPr>
      <w:r>
        <w:t xml:space="preserve">This Sapphire pipeline comprises six sequential stages: (1) Literature Mining &amp; Target Validation, (2) Small Molecule Target &amp; Chemical Space Definition, (3) Quiver EP Phenotypic Screening &amp; Validation, (4) Chemistry Optimization &amp; Medicinal Chemistry, (5) In Vivo Efficacy &amp; Toxicology, and (6) Clinical Development Planning &amp; Regulatory Strategy. </w:t>
      </w:r>
      <w:r>
        <w:t xml:space="preserve">Each stage leverages Quiver's integrated electrophysiology platform, proprietary compound library, and AI-driven phenotypic classification to systematically reduce uncertainty and prioritize lead advancement.</w:t>
      </w:r>
    </w:p>
    <w:p>
      <w:pPr>
        <w:pStyle w:val="Heading2"/>
        <w:spacing w:after="240" w:before="240"/>
      </w:pPr>
      <w:r>
        <w:t xml:space="preserve">Stage 1: Literature Mining &amp; Target Validation</w:t>
      </w:r>
    </w:p>
    <w:p>
      <w:pPr>
        <w:spacing w:after="120" w:line="360"/>
      </w:pPr>
      <w:r>
        <w:rPr>
          <w:b/>
          <w:bCs/>
        </w:rPr>
        <w:t xml:space="preserve">Purpose: </w:t>
      </w:r>
      <w:r>
        <w:t xml:space="preserve">Systematically identify and validate the disease-causing variants, their functional consequences, and current therapeutic evidence.</w:t>
      </w:r>
    </w:p>
    <w:p>
      <w:pPr>
        <w:spacing w:after="120" w:line="360"/>
      </w:pPr>
      <w:r>
        <w:rPr>
          <w:b/>
          <w:bCs/>
        </w:rPr>
        <w:t xml:space="preserve">Inputs:</w:t>
      </w:r>
    </w:p>
    <w:p>
      <w:pPr>
        <w:spacing w:after="120" w:line="360"/>
      </w:pPr>
      <w:r>
        <w:t xml:space="preserve">Gene symbol(s): CACNA1A (Pipeline 188) / GRIN2B (Pipeline 189)</w:t>
      </w:r>
    </w:p>
    <w:p>
      <w:pPr>
        <w:spacing w:after="120" w:line="360"/>
      </w:pPr>
      <w:r>
        <w:t xml:space="preserve">Quiver EP CRISPR atlas (~18k gene perturbations, 500+ features)</w:t>
      </w:r>
    </w:p>
    <w:p>
      <w:pPr>
        <w:spacing w:after="120" w:line="360"/>
      </w:pPr>
      <w:r>
        <w:t xml:space="preserve">ClinVar, gnomAD, and OMIM databases for variant prevalence</w:t>
      </w:r>
    </w:p>
    <w:p>
      <w:pPr>
        <w:spacing w:after="120" w:line="360"/>
      </w:pPr>
      <w:r>
        <w:t xml:space="preserve">PubMed literature corpus for functional studies</w:t>
      </w:r>
    </w:p>
    <w:p>
      <w:pPr>
        <w:spacing w:after="120" w:line="360"/>
      </w:pPr>
      <w:r>
        <w:t xml:space="preserve">Clinical phenotype definitions and severity scoring systems</w:t>
      </w:r>
    </w:p>
    <w:p>
      <w:pPr>
        <w:spacing w:after="120" w:line="360"/>
      </w:pPr>
      <w:r>
        <w:rPr>
          <w:b/>
          <w:bCs/>
        </w:rPr>
        <w:t xml:space="preserve">Tools &amp; Databases Called:</w:t>
      </w:r>
    </w:p>
    <w:p>
      <w:pPr>
        <w:spacing w:after="120" w:line="360"/>
      </w:pPr>
      <w:r>
        <w:t xml:space="preserve">ClinVar: Identify pathogenic CACNA1A/GRIN2B variants and assertion levels</w:t>
      </w:r>
    </w:p>
    <w:p>
      <w:pPr>
        <w:spacing w:after="120" w:line="360"/>
      </w:pPr>
      <w:r>
        <w:t xml:space="preserve">gnomAD: Filter population-common variants (&gt;0.1% AF)</w:t>
      </w:r>
    </w:p>
    <w:p>
      <w:pPr>
        <w:spacing w:after="120" w:line="360"/>
      </w:pPr>
      <w:r>
        <w:t xml:space="preserve">OMIM &amp; Gene Cards: Curate phenotypic spectrum, inheritance patterns, functional domains</w:t>
      </w:r>
    </w:p>
    <w:p>
      <w:pPr>
        <w:spacing w:after="120" w:line="360"/>
      </w:pPr>
      <w:r>
        <w:t xml:space="preserve">Quiver EP CRISPR Atlas: Access CACNA1A/GRIN2B perturbation phenotypes in native EP assays</w:t>
      </w:r>
    </w:p>
    <w:p>
      <w:pPr>
        <w:spacing w:after="120" w:line="360"/>
      </w:pPr>
      <w:r>
        <w:t xml:space="preserve">PubMed NLM API: Retrieve disease mechanism and prior therapeutic attempt literature</w:t>
      </w:r>
    </w:p>
    <w:p>
      <w:pPr>
        <w:spacing w:after="120" w:line="360"/>
      </w:pPr>
      <w:r>
        <w:t xml:space="preserve">Ensembl VEP: Predict variant impact on protein structure and splice sites</w:t>
      </w:r>
    </w:p>
    <w:p>
      <w:pPr>
        <w:spacing w:after="120" w:line="360"/>
      </w:pPr>
      <w:r>
        <w:rPr>
          <w:b/>
          <w:bCs/>
        </w:rPr>
        <w:t xml:space="preserve">Exemplary Sub-Prompts:</w:t>
      </w:r>
    </w:p>
    <w:p>
      <w:pPr>
        <w:spacing w:after="120" w:line="360"/>
      </w:pPr>
      <w:r>
        <w:t xml:space="preserve">Which CACNA1A mutations are most common in episodic ataxia type 2 and are they gain-of-function or loss-of-function?</w:t>
      </w:r>
    </w:p>
    <w:p>
      <w:pPr>
        <w:spacing w:after="120" w:line="360"/>
      </w:pPr>
      <w:r>
        <w:t xml:space="preserve">What are the P/Q-type calcium channel roles in cerebellar physiology and how do loss-of-function variants impair motor control?</w:t>
      </w:r>
    </w:p>
    <w:p>
      <w:pPr>
        <w:spacing w:after="120" w:line="360"/>
      </w:pPr>
      <w:r>
        <w:t xml:space="preserve">Which GRIN2B mutations cause neurodevelopmental disorder and do they show gain-of-function toxicity? (N/A)</w:t>
      </w:r>
    </w:p>
    <w:p>
      <w:pPr>
        <w:spacing w:after="120" w:line="360"/>
      </w:pPr>
      <w:r>
        <w:t xml:space="preserve">What is the prevalence of dominant-negative effects versus haploinsufficiency in GRIN2B disease? (N/A)</w:t>
      </w:r>
    </w:p>
    <w:p>
      <w:pPr>
        <w:spacing w:after="120" w:line="360"/>
      </w:pPr>
      <w:r>
        <w:t xml:space="preserve">Summarize existing animal models and patient-derived neurons showing target engagement</w:t>
      </w:r>
    </w:p>
    <w:p>
      <w:pPr>
        <w:spacing w:after="120" w:line="360"/>
      </w:pPr>
      <w:r>
        <w:rPr>
          <w:b/>
          <w:bCs/>
        </w:rPr>
        <w:t xml:space="preserve">Expected Outputs:</w:t>
      </w:r>
    </w:p>
    <w:p>
      <w:pPr>
        <w:spacing w:after="120" w:line="360"/>
      </w:pPr>
      <w:r>
        <w:t xml:space="preserve">Comprehensive variant-to-phenotype map with functional class assignments</w:t>
      </w:r>
    </w:p>
    <w:p>
      <w:pPr>
        <w:spacing w:after="120" w:line="360"/>
      </w:pPr>
      <w:r>
        <w:t xml:space="preserve">Curated list of tier-1 pathogenic variants meeting strict criteria</w:t>
      </w:r>
    </w:p>
    <w:p>
      <w:pPr>
        <w:spacing w:after="120" w:line="360"/>
      </w:pPr>
      <w:r>
        <w:t xml:space="preserve">Literature summary of therapeutic attempts (prior ASOs, prior small molecules)</w:t>
      </w:r>
    </w:p>
    <w:p>
      <w:pPr>
        <w:spacing w:after="120" w:line="360"/>
      </w:pPr>
      <w:r>
        <w:t xml:space="preserve">Quiver EP assay readouts showing target perturbation phenotypes</w:t>
      </w:r>
    </w:p>
    <w:p>
      <w:pPr>
        <w:spacing w:after="120" w:line="360"/>
      </w:pPr>
      <w:r>
        <w:t xml:space="preserve">Functional domain map highlighting mutation hotspots and mechanistic insights</w:t>
      </w:r>
    </w:p>
    <w:p>
      <w:pPr>
        <w:spacing w:after="120" w:line="360"/>
      </w:pPr>
      <w:r>
        <w:t xml:space="preserve">Clinical severity scoring and patient stratification strategy</w:t>
      </w:r>
    </w:p>
    <w:p>
      <w:pPr>
        <w:spacing w:after="120" w:line="360"/>
      </w:pPr>
      <w:r>
        <w:rPr>
          <w:b/>
          <w:bCs/>
        </w:rPr>
        <w:t xml:space="preserve">Format: </w:t>
      </w:r>
      <w:r>
        <w:t xml:space="preserve">Tab-delimited variant table with functional class, frequency, publications, and Quiver phenotype assignments.</w:t>
      </w:r>
    </w:p>
    <w:p>
      <w:pPr>
        <w:pStyle w:val="Heading2"/>
        <w:spacing w:after="240" w:before="240"/>
      </w:pPr>
      <w:r>
        <w:t xml:space="preserve">Stage 2: Small Molecule Target &amp; Chemical Space Definition</w:t>
      </w:r>
    </w:p>
    <w:p>
      <w:pPr>
        <w:spacing w:after="120" w:line="360"/>
      </w:pPr>
      <w:r>
        <w:rPr>
          <w:b/>
          <w:bCs/>
        </w:rPr>
        <w:t xml:space="preserve">Purpose: </w:t>
      </w:r>
      <w:r>
        <w:t xml:space="preserve">Define BBB-penetrant small molecule tractability for CACNA1A modulation.</w:t>
      </w:r>
    </w:p>
    <w:p>
      <w:pPr>
        <w:spacing w:after="120" w:line="360"/>
      </w:pPr>
      <w:r>
        <w:rPr>
          <w:b/>
          <w:bCs/>
        </w:rPr>
        <w:t xml:space="preserve">Inputs:</w:t>
      </w:r>
    </w:p>
    <w:p>
      <w:pPr>
        <w:spacing w:after="120" w:line="360"/>
      </w:pPr>
      <w:r>
        <w:t xml:space="preserve">CACNA1A structural models (human P/Q-type channel)</w:t>
      </w:r>
    </w:p>
    <w:p>
      <w:pPr>
        <w:spacing w:after="120" w:line="360"/>
      </w:pPr>
      <w:r>
        <w:t xml:space="preserve">Quiver compound library (~3,500 small molecules screened on neurons)</w:t>
      </w:r>
    </w:p>
    <w:p>
      <w:pPr>
        <w:spacing w:after="120" w:line="360"/>
      </w:pPr>
      <w:r>
        <w:t xml:space="preserve">Physicochemical property filters for BBB penetrance (MW, LogP, TPSA, H-bond)</w:t>
      </w:r>
    </w:p>
    <w:p>
      <w:pPr>
        <w:spacing w:after="120" w:line="360"/>
      </w:pPr>
      <w:r>
        <w:t xml:space="preserve">CNS drug-likeness criteria (Pfizer, Novartis CNS filters)</w:t>
      </w:r>
    </w:p>
    <w:p>
      <w:pPr>
        <w:spacing w:after="120" w:line="360"/>
      </w:pPr>
      <w:r>
        <w:t xml:space="preserve">MDCK-MDR1 transporter permeability data for known ion channel modulators</w:t>
      </w:r>
    </w:p>
    <w:p>
      <w:pPr>
        <w:spacing w:after="120" w:line="360"/>
      </w:pPr>
      <w:r>
        <w:rPr>
          <w:b/>
          <w:bCs/>
        </w:rPr>
        <w:t xml:space="preserve">Tools &amp; Databases Called:</w:t>
      </w:r>
    </w:p>
    <w:p>
      <w:pPr>
        <w:spacing w:after="120" w:line="360"/>
      </w:pPr>
      <w:r>
        <w:t xml:space="preserve">PDBe &amp; AlphaFold: Retrieve CACNA1A P/Q-type channel structures; model human orthologs</w:t>
      </w:r>
    </w:p>
    <w:p>
      <w:pPr>
        <w:spacing w:after="120" w:line="360"/>
      </w:pPr>
      <w:r>
        <w:t xml:space="preserve">Quiver Small Molecule Library: Screen ~3,500 compounds against CACNA1A-perturbed EP phenotypes</w:t>
      </w:r>
    </w:p>
    <w:p>
      <w:pPr>
        <w:spacing w:after="120" w:line="360"/>
      </w:pPr>
      <w:r>
        <w:t xml:space="preserve">StarDrop / Pipeline Pilot: Compute MW, LogP, TPSA, H-bond donors/acceptors for BBB filter</w:t>
      </w:r>
    </w:p>
    <w:p>
      <w:pPr>
        <w:spacing w:after="120" w:line="360"/>
      </w:pPr>
      <w:r>
        <w:t xml:space="preserve">ChEMBL &amp; PubChem: Identify prior P/Q-type calcium channel modulators and their properties</w:t>
      </w:r>
    </w:p>
    <w:p>
      <w:pPr>
        <w:spacing w:after="120" w:line="360"/>
      </w:pPr>
      <w:r>
        <w:t xml:space="preserve">Sirius / Leadscope MDCK-MDR1: Predict P-gp efflux ratio and BBB penetrance for hit compounds</w:t>
      </w:r>
    </w:p>
    <w:p>
      <w:pPr>
        <w:spacing w:after="120" w:line="360"/>
      </w:pPr>
      <w:r>
        <w:t xml:space="preserve">Phenobot (proprietary Quiver): Classify compounds by Quiver EP phenotypic activity and target engagement</w:t>
      </w:r>
    </w:p>
    <w:p>
      <w:pPr>
        <w:spacing w:after="120" w:line="360"/>
      </w:pPr>
      <w:r>
        <w:rPr>
          <w:b/>
          <w:bCs/>
        </w:rPr>
        <w:t xml:space="preserve">Exemplary Sub-Prompts:</w:t>
      </w:r>
    </w:p>
    <w:p>
      <w:pPr>
        <w:spacing w:after="120" w:line="360"/>
      </w:pPr>
      <w:r>
        <w:t xml:space="preserve">Which CACNA1A-targeting small molecules show selectivity over CACNA1B (L-type) and other calcium channels?</w:t>
      </w:r>
    </w:p>
    <w:p>
      <w:pPr>
        <w:spacing w:after="120" w:line="360"/>
      </w:pPr>
      <w:r>
        <w:t xml:space="preserve">How do top BBB-penetrant hit compounds affect neuronal excitability in Quiver EP assays?</w:t>
      </w:r>
    </w:p>
    <w:p>
      <w:pPr>
        <w:spacing w:after="120" w:line="360"/>
      </w:pPr>
      <w:r>
        <w:t xml:space="preserve">Which physicochemical properties best predict BBB penetrance in ion channel modulators?</w:t>
      </w:r>
    </w:p>
    <w:p>
      <w:pPr>
        <w:spacing w:after="120" w:line="360"/>
      </w:pPr>
      <w:r>
        <w:t xml:space="preserve">Can we screen Quiver compound library for CACNA1A loss-of-function correctors?</w:t>
      </w:r>
    </w:p>
    <w:p>
      <w:pPr>
        <w:spacing w:after="120" w:line="360"/>
      </w:pPr>
      <w:r>
        <w:t xml:space="preserve">What are the off-target safety concerns for pan-calcium channel inhibitors?</w:t>
      </w:r>
    </w:p>
    <w:p>
      <w:pPr>
        <w:spacing w:after="120" w:line="360"/>
      </w:pPr>
      <w:r>
        <w:rPr>
          <w:b/>
          <w:bCs/>
        </w:rPr>
        <w:t xml:space="preserve">Expected Outputs:</w:t>
      </w:r>
    </w:p>
    <w:p>
      <w:pPr>
        <w:spacing w:after="120" w:line="360"/>
      </w:pPr>
      <w:r>
        <w:t xml:space="preserve">BBB penetrance prediction for top-scored CACNA1A-targeted compounds (MDCK-MDR1 data)</w:t>
      </w:r>
    </w:p>
    <w:p>
      <w:pPr>
        <w:spacing w:after="120" w:line="360"/>
      </w:pPr>
      <w:r>
        <w:t xml:space="preserve">Hit list of small molecules with target engagement in Quiver EP assays</w:t>
      </w:r>
    </w:p>
    <w:p>
      <w:pPr>
        <w:spacing w:after="120" w:line="360"/>
      </w:pPr>
      <w:r>
        <w:t xml:space="preserve">Structure-activity relationship (SAR) map highlighting BBB-favorable scaffolds</w:t>
      </w:r>
    </w:p>
    <w:p>
      <w:pPr>
        <w:spacing w:after="120" w:line="360"/>
      </w:pPr>
      <w:r>
        <w:t xml:space="preserve">Off-target profiling against cardiac ion channels (CaV, cardiac K+ channels)</w:t>
      </w:r>
    </w:p>
    <w:p>
      <w:pPr>
        <w:spacing w:after="120" w:line="360"/>
      </w:pPr>
      <w:r>
        <w:t xml:space="preserve">Lead compound selection meeting CNS drug-likeness and pharmacokinetic criteria</w:t>
      </w:r>
    </w:p>
    <w:p>
      <w:pPr>
        <w:spacing w:after="120" w:line="360"/>
      </w:pPr>
      <w:r>
        <w:t xml:space="preserve">Recommendation for medicinal chemistry optimization (BBB penetrance vs potency trade-offs)</w:t>
      </w:r>
    </w:p>
    <w:p>
      <w:pPr>
        <w:spacing w:after="120" w:line="360"/>
      </w:pPr>
      <w:r>
        <w:rPr>
          <w:b/>
          <w:bCs/>
        </w:rPr>
        <w:t xml:space="preserve">Format: </w:t>
      </w:r>
      <w:r>
        <w:t xml:space="preserve">Spreadsheet with compound ID, structure, pIC50 vs CACNA1A, BBB penetrance score, off-target panel, and Quiver phenotype data.</w:t>
      </w:r>
    </w:p>
    <w:p>
      <w:pPr>
        <w:pStyle w:val="Heading2"/>
        <w:spacing w:after="240" w:before="240"/>
      </w:pPr>
      <w:r>
        <w:t xml:space="preserve">Stage 3: Quiver EP Phenotypic Screening &amp; Validation</w:t>
      </w:r>
    </w:p>
    <w:p>
      <w:pPr>
        <w:spacing w:after="120" w:line="360"/>
      </w:pPr>
      <w:r>
        <w:rPr>
          <w:b/>
          <w:bCs/>
        </w:rPr>
        <w:t xml:space="preserve">Purpose: </w:t>
      </w:r>
      <w:r>
        <w:t xml:space="preserve">Use Quiver's native EP CRISPR atlas and compound library to functionally validate target engagement and compound efficacy.</w:t>
      </w:r>
    </w:p>
    <w:p>
      <w:pPr>
        <w:spacing w:after="120" w:line="360"/>
      </w:pPr>
      <w:r>
        <w:rPr>
          <w:b/>
          <w:bCs/>
        </w:rPr>
        <w:t xml:space="preserve">Inputs:</w:t>
      </w:r>
    </w:p>
    <w:p>
      <w:pPr>
        <w:spacing w:after="120" w:line="360"/>
      </w:pPr>
      <w:r>
        <w:t xml:space="preserve">Quiver EP CRISPR atlas: CACNA1A/GRIN2B perturbation phenotypes (500+ features per neuron)</w:t>
      </w:r>
    </w:p>
    <w:p>
      <w:pPr>
        <w:spacing w:after="120" w:line="360"/>
      </w:pPr>
      <w:r>
        <w:t xml:space="preserve">Human iPSC-derived neurons engineered with disease-causing variants</w:t>
      </w:r>
    </w:p>
    <w:p>
      <w:pPr>
        <w:spacing w:after="120" w:line="360"/>
      </w:pPr>
      <w:r>
        <w:t xml:space="preserve">Quiver compound library (~3,500 molecules) with pre-scored EP activity data</w:t>
      </w:r>
    </w:p>
    <w:p>
      <w:pPr>
        <w:spacing w:after="120" w:line="360"/>
      </w:pPr>
      <w:r>
        <w:t xml:space="preserve">Negative controls (off-target calcium channels, unrelated genes)</w:t>
      </w:r>
    </w:p>
    <w:p>
      <w:pPr>
        <w:spacing w:after="120" w:line="360"/>
      </w:pPr>
      <w:r>
        <w:t xml:space="preserve">Positive controls (known CACNA1A/GRIN2B modulators from literature)</w:t>
      </w:r>
    </w:p>
    <w:p>
      <w:pPr>
        <w:spacing w:after="120" w:line="360"/>
      </w:pPr>
      <w:r>
        <w:rPr>
          <w:b/>
          <w:bCs/>
        </w:rPr>
        <w:t xml:space="preserve">Tools &amp; Databases Called:</w:t>
      </w:r>
    </w:p>
    <w:p>
      <w:pPr>
        <w:spacing w:after="120" w:line="360"/>
      </w:pPr>
      <w:r>
        <w:t xml:space="preserve">Quiver Phenotypic Platform: High-throughput automated electrophysiology assays on iPSC neurons</w:t>
      </w:r>
    </w:p>
    <w:p>
      <w:pPr>
        <w:spacing w:after="120" w:line="360"/>
      </w:pPr>
      <w:r>
        <w:t xml:space="preserve">CRISPR Gene Editing (Cas9, base editors): Engineer disease variants into iPSC lines and measure rescue by compounds</w:t>
      </w:r>
    </w:p>
    <w:p>
      <w:pPr>
        <w:spacing w:after="120" w:line="360"/>
      </w:pPr>
      <w:r>
        <w:t xml:space="preserve">Multi-electrode array (MEA): Record network-level activity and identify circuit-level phenotypes</w:t>
      </w:r>
    </w:p>
    <w:p>
      <w:pPr>
        <w:spacing w:after="120" w:line="360"/>
      </w:pPr>
      <w:r>
        <w:t xml:space="preserve">Patch-clamp electrophysiology: Validate single-channel properties and rectification for ion channels</w:t>
      </w:r>
    </w:p>
    <w:p>
      <w:pPr>
        <w:spacing w:after="120" w:line="360"/>
      </w:pPr>
      <w:r>
        <w:t xml:space="preserve">Image-based phenotyping (calcium imaging): Secondary validation of calcium dynamics in presence of compounds</w:t>
      </w:r>
    </w:p>
    <w:p>
      <w:pPr>
        <w:spacing w:after="120" w:line="360"/>
      </w:pPr>
      <w:r>
        <w:t xml:space="preserve">Phenobot: ML-based phenotype classification linking compound activity to disease rectification</w:t>
      </w:r>
    </w:p>
    <w:p>
      <w:pPr>
        <w:spacing w:after="120" w:line="360"/>
      </w:pPr>
      <w:r>
        <w:rPr>
          <w:b/>
          <w:bCs/>
        </w:rPr>
        <w:t xml:space="preserve">Exemplary Sub-Prompts:</w:t>
      </w:r>
    </w:p>
    <w:p>
      <w:pPr>
        <w:spacing w:after="120" w:line="360"/>
      </w:pPr>
      <w:r>
        <w:t xml:space="preserve">What is the baseline electrophysiological phenotype of CACNA1A-deficient (Pipeline 188) / GRIN2B-mutant (Pipeline 189) neurons vs WT?</w:t>
      </w:r>
    </w:p>
    <w:p>
      <w:pPr>
        <w:spacing w:after="120" w:line="360"/>
      </w:pPr>
      <w:r>
        <w:t xml:space="preserve">Which Quiver compounds rescue the disease phenotype most completely?</w:t>
      </w:r>
    </w:p>
    <w:p>
      <w:pPr>
        <w:spacing w:after="120" w:line="360"/>
      </w:pPr>
      <w:r>
        <w:t xml:space="preserve">Do lead compounds show selectivity for disease variant over wild-type?</w:t>
      </w:r>
    </w:p>
    <w:p>
      <w:pPr>
        <w:spacing w:after="120" w:line="360"/>
      </w:pPr>
      <w:r>
        <w:t xml:space="preserve">What is the dose-response curve and EC50 for top compounds in native neuron context?</w:t>
      </w:r>
    </w:p>
    <w:p>
      <w:pPr>
        <w:spacing w:after="120" w:line="360"/>
      </w:pPr>
      <w:r>
        <w:t xml:space="preserve">Are there unexpected off-target neuronal effects (e.g., changes to other ion channels, neurotransmitter release)?</w:t>
      </w:r>
    </w:p>
    <w:p>
      <w:pPr>
        <w:spacing w:after="120" w:line="360"/>
      </w:pPr>
      <w:r>
        <w:rPr>
          <w:b/>
          <w:bCs/>
        </w:rPr>
        <w:t xml:space="preserve">Expected Outputs:</w:t>
      </w:r>
    </w:p>
    <w:p>
      <w:pPr>
        <w:spacing w:after="120" w:line="360"/>
      </w:pPr>
      <w:r>
        <w:t xml:space="preserve">Phenotypic signature of CACNA1A/GRIN2B disease in Quiver assays (quantified feature set)</w:t>
      </w:r>
    </w:p>
    <w:p>
      <w:pPr>
        <w:spacing w:after="120" w:line="360"/>
      </w:pPr>
      <w:r>
        <w:t xml:space="preserve">Dose-response curves for lead compounds showing phenotype rescue (EC50, Hill coefficient)</w:t>
      </w:r>
    </w:p>
    <w:p>
      <w:pPr>
        <w:spacing w:after="120" w:line="360"/>
      </w:pPr>
      <w:r>
        <w:t xml:space="preserve">Selectivity assessment: target variant vs WT vs other ion channels</w:t>
      </w:r>
    </w:p>
    <w:p>
      <w:pPr>
        <w:spacing w:after="120" w:line="360"/>
      </w:pPr>
      <w:r>
        <w:t xml:space="preserve">Machine learning model predicting compound efficacy from chemical structure</w:t>
      </w:r>
    </w:p>
    <w:p>
      <w:pPr>
        <w:spacing w:after="120" w:line="360"/>
      </w:pPr>
      <w:r>
        <w:t xml:space="preserve">Secondary assays validating mechanism (calcium imaging, MEA network phenotypes)</w:t>
      </w:r>
    </w:p>
    <w:p>
      <w:pPr>
        <w:spacing w:after="120" w:line="360"/>
      </w:pPr>
      <w:r>
        <w:t xml:space="preserve">Hit compound ranking and advancement criteria to chemistry optimization</w:t>
      </w:r>
    </w:p>
    <w:p>
      <w:pPr>
        <w:spacing w:after="120" w:line="360"/>
      </w:pPr>
      <w:r>
        <w:rPr>
          <w:b/>
          <w:bCs/>
        </w:rPr>
        <w:t xml:space="preserve">Format: </w:t>
      </w:r>
      <w:r>
        <w:t xml:space="preserve">Interactive dashboard with heatmaps of phenotype rescue vs compound dose; downloadable .csv with feature loadings and ML predictions.</w:t>
      </w:r>
    </w:p>
    <w:p>
      <w:pPr>
        <w:pStyle w:val="Heading2"/>
        <w:spacing w:after="240" w:before="240"/>
      </w:pPr>
      <w:r>
        <w:t xml:space="preserve">Stage 4: Chemistry Optimization &amp; Medicinal Chemistry</w:t>
      </w:r>
    </w:p>
    <w:p>
      <w:pPr>
        <w:spacing w:after="120" w:line="360"/>
      </w:pPr>
      <w:r>
        <w:rPr>
          <w:b/>
          <w:bCs/>
        </w:rPr>
        <w:t xml:space="preserve">Purpose: </w:t>
      </w:r>
      <w:r>
        <w:t xml:space="preserve">Iteratively optimize lead compounds for target potency, selectivity, and PK/ADME properties aligned with BBB penetrance and CNS drug-likeness.</w:t>
      </w:r>
    </w:p>
    <w:p>
      <w:pPr>
        <w:spacing w:after="120" w:line="360"/>
      </w:pPr>
      <w:r>
        <w:rPr>
          <w:b/>
          <w:bCs/>
        </w:rPr>
        <w:t xml:space="preserve">Inputs:</w:t>
      </w:r>
    </w:p>
    <w:p>
      <w:pPr>
        <w:spacing w:after="120" w:line="360"/>
      </w:pPr>
      <w:r>
        <w:t xml:space="preserve">Hit compounds from Quiver phenotypic screening</w:t>
      </w:r>
    </w:p>
    <w:p>
      <w:pPr>
        <w:spacing w:after="120" w:line="360"/>
      </w:pPr>
      <w:r>
        <w:t xml:space="preserve">Structure-activity relationship (SAR) insights from literature</w:t>
      </w:r>
    </w:p>
    <w:p>
      <w:pPr>
        <w:spacing w:after="120" w:line="360"/>
      </w:pPr>
      <w:r>
        <w:t xml:space="preserve">Target binding models (docking, molecular dynamics simulations)</w:t>
      </w:r>
    </w:p>
    <w:p>
      <w:pPr>
        <w:spacing w:after="120" w:line="360"/>
      </w:pPr>
      <w:r>
        <w:t xml:space="preserve">ADME prediction tools (CLogP, TPSA, solubility, metabolic stability)</w:t>
      </w:r>
    </w:p>
    <w:p>
      <w:pPr>
        <w:spacing w:after="120" w:line="360"/>
      </w:pPr>
      <w:r>
        <w:t xml:space="preserve">Synthetic feasibility assessment and cost-of-goods analysis</w:t>
      </w:r>
    </w:p>
    <w:p>
      <w:pPr>
        <w:spacing w:after="120" w:line="360"/>
      </w:pPr>
      <w:r>
        <w:rPr>
          <w:b/>
          <w:bCs/>
        </w:rPr>
        <w:t xml:space="preserve">Tools &amp; Databases Called:</w:t>
      </w:r>
    </w:p>
    <w:p>
      <w:pPr>
        <w:spacing w:after="120" w:line="360"/>
      </w:pPr>
      <w:r>
        <w:t xml:space="preserve">MOE / Schrödinger Suite: Molecular docking, ligand binding prediction, virtual screening</w:t>
      </w:r>
    </w:p>
    <w:p>
      <w:pPr>
        <w:spacing w:after="120" w:line="360"/>
      </w:pPr>
      <w:r>
        <w:t xml:space="preserve">Glide / IFD: Induced fit docking for allosteric modulation site prediction</w:t>
      </w:r>
    </w:p>
    <w:p>
      <w:pPr>
        <w:spacing w:after="120" w:line="360"/>
      </w:pPr>
      <w:r>
        <w:t xml:space="preserve">ADMET Predictor / StarDrop: Predict solubility, LogP, metabolic clearance, CYP inhibition</w:t>
      </w:r>
    </w:p>
    <w:p>
      <w:pPr>
        <w:spacing w:after="120" w:line="360"/>
      </w:pPr>
      <w:r>
        <w:t xml:space="preserve">Synthetic Route Planner (Retrosynthesis AI): Design scalable syntheses and estimate manufacturing feasibility</w:t>
      </w:r>
    </w:p>
    <w:p>
      <w:pPr>
        <w:spacing w:after="120" w:line="360"/>
      </w:pPr>
      <w:r>
        <w:t xml:space="preserve">Parallel Chemistry / HTS: Synthesize and test analogs iteratively against Quiver phenotypes</w:t>
      </w:r>
    </w:p>
    <w:p>
      <w:pPr>
        <w:spacing w:after="120" w:line="360"/>
      </w:pPr>
      <w:r>
        <w:t xml:space="preserve">MDCK-MDR1 &amp; BBB-in-vitro models: Confirm BBB penetrance and P-gp substrate status of optimized leads</w:t>
      </w:r>
    </w:p>
    <w:p>
      <w:pPr>
        <w:spacing w:after="120" w:line="360"/>
      </w:pPr>
      <w:r>
        <w:rPr>
          <w:b/>
          <w:bCs/>
        </w:rPr>
        <w:t xml:space="preserve">Exemplary Sub-Prompts:</w:t>
      </w:r>
    </w:p>
    <w:p>
      <w:pPr>
        <w:spacing w:after="120" w:line="360"/>
      </w:pPr>
      <w:r>
        <w:t xml:space="preserve">What are the key SAR motifs driving CACNA1A/GRIN2B selectivity and potency?</w:t>
      </w:r>
    </w:p>
    <w:p>
      <w:pPr>
        <w:spacing w:after="120" w:line="360"/>
      </w:pPr>
      <w:r>
        <w:t xml:space="preserve">Can we maintain BBB penetrance while improving target potency?</w:t>
      </w:r>
    </w:p>
    <w:p>
      <w:pPr>
        <w:spacing w:after="120" w:line="360"/>
      </w:pPr>
      <w:r>
        <w:t xml:space="preserve">Which chemical modifications reduce P-gp efflux and improve brain exposure?</w:t>
      </w:r>
    </w:p>
    <w:p>
      <w:pPr>
        <w:spacing w:after="120" w:line="360"/>
      </w:pPr>
      <w:r>
        <w:t xml:space="preserve">What is the optimal synthetic route for scale-up to GMP production?</w:t>
      </w:r>
    </w:p>
    <w:p>
      <w:pPr>
        <w:spacing w:after="120" w:line="360"/>
      </w:pPr>
      <w:r>
        <w:t xml:space="preserve">Do lead analogs show acceptable metabolic stability in liver microsome assays?</w:t>
      </w:r>
    </w:p>
    <w:p>
      <w:pPr>
        <w:spacing w:after="120" w:line="360"/>
      </w:pPr>
      <w:r>
        <w:rPr>
          <w:b/>
          <w:bCs/>
        </w:rPr>
        <w:t xml:space="preserve">Expected Outputs:</w:t>
      </w:r>
    </w:p>
    <w:p>
      <w:pPr>
        <w:spacing w:after="120" w:line="360"/>
      </w:pPr>
      <w:r>
        <w:t xml:space="preserve">Optimized lead compound structure with binding mode and predicted IC50</w:t>
      </w:r>
    </w:p>
    <w:p>
      <w:pPr>
        <w:spacing w:after="120" w:line="360"/>
      </w:pPr>
      <w:r>
        <w:t xml:space="preserve">SAR summary highlighting critical pharmacophore elements</w:t>
      </w:r>
    </w:p>
    <w:p>
      <w:pPr>
        <w:spacing w:after="120" w:line="360"/>
      </w:pPr>
      <w:r>
        <w:t xml:space="preserve">ADME/PK property predictions (LogP, TPSA, solubility, CYP inhibition)</w:t>
      </w:r>
    </w:p>
    <w:p>
      <w:pPr>
        <w:spacing w:after="120" w:line="360"/>
      </w:pPr>
      <w:r>
        <w:t xml:space="preserve">BBB penetrance confirmation via MDCK-MDR1 or in vivo imaging</w:t>
      </w:r>
    </w:p>
    <w:p>
      <w:pPr>
        <w:spacing w:after="120" w:line="360"/>
      </w:pPr>
      <w:r>
        <w:t xml:space="preserve">Synthetic route optimization and cost-of-goods estimate</w:t>
      </w:r>
    </w:p>
    <w:p>
      <w:pPr>
        <w:spacing w:after="120" w:line="360"/>
      </w:pPr>
      <w:r>
        <w:t xml:space="preserve">Recommendation for IND-enabling toxicology studies and lead selection</w:t>
      </w:r>
    </w:p>
    <w:p>
      <w:pPr>
        <w:spacing w:after="120" w:line="360"/>
      </w:pPr>
      <w:r>
        <w:rPr>
          <w:b/>
          <w:bCs/>
        </w:rPr>
        <w:t xml:space="preserve">Format: </w:t>
      </w:r>
      <w:r>
        <w:t xml:space="preserve">Medicinal chemistry report with structures, binding poses, SAR tables, and ADME predictions; synthesis route diagrams.</w:t>
      </w:r>
    </w:p>
    <w:p>
      <w:pPr>
        <w:pStyle w:val="Heading2"/>
        <w:spacing w:after="240" w:before="240"/>
      </w:pPr>
      <w:r>
        <w:t xml:space="preserve">Stage 5: In Vivo Efficacy &amp; Toxicology Model Selection</w:t>
      </w:r>
    </w:p>
    <w:p>
      <w:pPr>
        <w:spacing w:after="120" w:line="360"/>
      </w:pPr>
      <w:r>
        <w:rPr>
          <w:b/>
          <w:bCs/>
        </w:rPr>
        <w:t xml:space="preserve">Purpose: </w:t>
      </w:r>
      <w:r>
        <w:t xml:space="preserve">Validate lead compounds in disease-relevant animal models and assess safety profile prior to IND application.</w:t>
      </w:r>
    </w:p>
    <w:p>
      <w:pPr>
        <w:spacing w:after="120" w:line="360"/>
      </w:pPr>
      <w:r>
        <w:rPr>
          <w:b/>
          <w:bCs/>
        </w:rPr>
        <w:t xml:space="preserve">Inputs:</w:t>
      </w:r>
    </w:p>
    <w:p>
      <w:pPr>
        <w:spacing w:after="120" w:line="360"/>
      </w:pPr>
      <w:r>
        <w:t xml:space="preserve">Optimized lead compounds from medicinal chemistry stage</w:t>
      </w:r>
    </w:p>
    <w:p>
      <w:pPr>
        <w:spacing w:after="120" w:line="360"/>
      </w:pPr>
      <w:r>
        <w:t xml:space="preserve">Disease-relevant mouse/zebrafish models carrying CACNA1A/GRIN2B mutations</w:t>
      </w:r>
    </w:p>
    <w:p>
      <w:pPr>
        <w:spacing w:after="120" w:line="360"/>
      </w:pPr>
      <w:r>
        <w:t xml:space="preserve">GLP toxicology study protocols (single-dose, repeat-dose, cardiovascular safety)</w:t>
      </w:r>
    </w:p>
    <w:p>
      <w:pPr>
        <w:spacing w:after="120" w:line="360"/>
      </w:pPr>
      <w:r>
        <w:t xml:space="preserve">Pharmacokinetic sampling design and bioanalytical methods</w:t>
      </w:r>
    </w:p>
    <w:p>
      <w:pPr>
        <w:spacing w:after="120" w:line="360"/>
      </w:pPr>
      <w:r>
        <w:t xml:space="preserve">Mechanism-of-action validation approaches (electrophysiology, imaging)</w:t>
      </w:r>
    </w:p>
    <w:p>
      <w:pPr>
        <w:spacing w:after="120" w:line="360"/>
      </w:pPr>
      <w:r>
        <w:rPr>
          <w:b/>
          <w:bCs/>
        </w:rPr>
        <w:t xml:space="preserve">Tools &amp; Databases Called:</w:t>
      </w:r>
    </w:p>
    <w:p>
      <w:pPr>
        <w:spacing w:after="120" w:line="360"/>
      </w:pPr>
      <w:r>
        <w:t xml:space="preserve">Disease Model Animals (CACNA1A-KO mice, GRIN2B-mutant lines): Phenotypic readouts: tremor, ataxia, seizure threshold; motor learning in CACNA1A</w:t>
      </w:r>
    </w:p>
    <w:p>
      <w:pPr>
        <w:spacing w:after="120" w:line="360"/>
      </w:pPr>
      <w:r>
        <w:t xml:space="preserve">Zebrafish models: Rapid in vivo screening of compounds for motor phenotype rescue and toxicity</w:t>
      </w:r>
    </w:p>
    <w:p>
      <w:pPr>
        <w:spacing w:after="120" w:line="360"/>
      </w:pPr>
      <w:r>
        <w:t xml:space="preserve">PK/PD Sampling &amp; LC-MS/MS: Measure compound concentration in plasma, brain, and target tissue</w:t>
      </w:r>
    </w:p>
    <w:p>
      <w:pPr>
        <w:spacing w:after="120" w:line="360"/>
      </w:pPr>
      <w:r>
        <w:t xml:space="preserve">Behavioral Testing: Rotarod, open field, Morris water maze, conditioned fear (disease-relevant outcomes)</w:t>
      </w:r>
    </w:p>
    <w:p>
      <w:pPr>
        <w:spacing w:after="120" w:line="360"/>
      </w:pPr>
      <w:r>
        <w:t xml:space="preserve">Cardiovascular Safety (telemetry, ECG): Monitor heart rate, blood pressure, QT interval for off-target cardiac ion channel effects</w:t>
      </w:r>
    </w:p>
    <w:p>
      <w:pPr>
        <w:spacing w:after="120" w:line="360"/>
      </w:pPr>
      <w:r>
        <w:t xml:space="preserve">Neuropathology: Histology, immunofluorescence of brain tissue for neuroinflammation, axonal damage</w:t>
      </w:r>
    </w:p>
    <w:p>
      <w:pPr>
        <w:spacing w:after="120" w:line="360"/>
      </w:pPr>
      <w:r>
        <w:rPr>
          <w:b/>
          <w:bCs/>
        </w:rPr>
        <w:t xml:space="preserve">Exemplary Sub-Prompts:</w:t>
      </w:r>
    </w:p>
    <w:p>
      <w:pPr>
        <w:spacing w:after="120" w:line="360"/>
      </w:pPr>
      <w:r>
        <w:t xml:space="preserve">Does lead compound rescue motor phenotypes in CACNA1A-mutant mice?</w:t>
      </w:r>
    </w:p>
    <w:p>
      <w:pPr>
        <w:spacing w:after="120" w:line="360"/>
      </w:pPr>
      <w:r>
        <w:t xml:space="preserve">What is the brain-to-plasma concentration ratio and evidence of BBB penetration?</w:t>
      </w:r>
    </w:p>
    <w:p>
      <w:pPr>
        <w:spacing w:after="120" w:line="360"/>
      </w:pPr>
      <w:r>
        <w:t xml:space="preserve">Are there any cardiovascular liabilities in acute or chronic dosing?</w:t>
      </w:r>
    </w:p>
    <w:p>
      <w:pPr>
        <w:spacing w:after="120" w:line="360"/>
      </w:pPr>
      <w:r>
        <w:t xml:space="preserve">Does the compound show acceptable metabolic stability and clearance in mice?</w:t>
      </w:r>
    </w:p>
    <w:p>
      <w:pPr>
        <w:spacing w:after="120" w:line="360"/>
      </w:pPr>
      <w:r>
        <w:t xml:space="preserve">What dose and exposure level are required for efficacy vs safety in animal models?</w:t>
      </w:r>
    </w:p>
    <w:p>
      <w:pPr>
        <w:spacing w:after="120" w:line="360"/>
      </w:pPr>
      <w:r>
        <w:rPr>
          <w:b/>
          <w:bCs/>
        </w:rPr>
        <w:t xml:space="preserve">Expected Outputs:</w:t>
      </w:r>
    </w:p>
    <w:p>
      <w:pPr>
        <w:spacing w:after="120" w:line="360"/>
      </w:pPr>
      <w:r>
        <w:t xml:space="preserve">In vivo efficacy summary: disease phenotype rescue with dose-response and durability</w:t>
      </w:r>
    </w:p>
    <w:p>
      <w:pPr>
        <w:spacing w:after="120" w:line="360"/>
      </w:pPr>
      <w:r>
        <w:t xml:space="preserve">Pharmacokinetic profile: Cmax, Tmax, T1/2, brain/plasma ratio, clearance</w:t>
      </w:r>
    </w:p>
    <w:p>
      <w:pPr>
        <w:spacing w:after="120" w:line="360"/>
      </w:pPr>
      <w:r>
        <w:t xml:space="preserve">Toxicology findings: organ weights, clinical pathology, histopathology, safety margin</w:t>
      </w:r>
    </w:p>
    <w:p>
      <w:pPr>
        <w:spacing w:after="120" w:line="360"/>
      </w:pPr>
      <w:r>
        <w:t xml:space="preserve">Cardiovascular safety assessment and predicted human safety risk</w:t>
      </w:r>
    </w:p>
    <w:p>
      <w:pPr>
        <w:spacing w:after="120" w:line="360"/>
      </w:pPr>
      <w:r>
        <w:t xml:space="preserve">Mechanism-of-action validation (target engagement in brain tissue)</w:t>
      </w:r>
    </w:p>
    <w:p>
      <w:pPr>
        <w:spacing w:after="120" w:line="360"/>
      </w:pPr>
      <w:r>
        <w:t xml:space="preserve">IND-enabling study readiness assessment and recommended studies</w:t>
      </w:r>
    </w:p>
    <w:p>
      <w:pPr>
        <w:spacing w:after="120" w:line="360"/>
      </w:pPr>
      <w:r>
        <w:rPr>
          <w:b/>
          <w:bCs/>
        </w:rPr>
        <w:t xml:space="preserve">Format: </w:t>
      </w:r>
      <w:r>
        <w:t xml:space="preserve">In vivo study reports with tables of behavioral outcomes, PK curves, and toxicology summary; recommendations for IND package.</w:t>
      </w:r>
    </w:p>
    <w:p>
      <w:pPr>
        <w:pStyle w:val="Heading2"/>
        <w:spacing w:after="240" w:before="240"/>
      </w:pPr>
      <w:r>
        <w:t xml:space="preserve">Stage 6: Clinical Development Planning &amp; Regulatory Strategy</w:t>
      </w:r>
    </w:p>
    <w:p>
      <w:pPr>
        <w:spacing w:after="120" w:line="360"/>
      </w:pPr>
      <w:r>
        <w:rPr>
          <w:b/>
          <w:bCs/>
        </w:rPr>
        <w:t xml:space="preserve">Purpose: </w:t>
      </w:r>
      <w:r>
        <w:t xml:space="preserve">Develop a comprehensive IND application and clinical trial strategy aligned with regulatory expectations for rare neurological disorders.</w:t>
      </w:r>
    </w:p>
    <w:p>
      <w:pPr>
        <w:spacing w:after="120" w:line="360"/>
      </w:pPr>
      <w:r>
        <w:rPr>
          <w:b/>
          <w:bCs/>
        </w:rPr>
        <w:t xml:space="preserve">Inputs:</w:t>
      </w:r>
    </w:p>
    <w:p>
      <w:pPr>
        <w:spacing w:after="120" w:line="360"/>
      </w:pPr>
      <w:r>
        <w:t xml:space="preserve">Completed preclinical package (target validation, chemistry, in vivo efficacy/tox)</w:t>
      </w:r>
    </w:p>
    <w:p>
      <w:pPr>
        <w:spacing w:after="120" w:line="360"/>
      </w:pPr>
      <w:r>
        <w:t xml:space="preserve">Patient natural history and outcome measure literature</w:t>
      </w:r>
    </w:p>
    <w:p>
      <w:pPr>
        <w:spacing w:after="120" w:line="360"/>
      </w:pPr>
      <w:r>
        <w:t xml:space="preserve">Regulatory guidance for rare neurodevelopmental disorders (FDA, EMA)</w:t>
      </w:r>
    </w:p>
    <w:p>
      <w:pPr>
        <w:spacing w:after="120" w:line="360"/>
      </w:pPr>
      <w:r>
        <w:t xml:space="preserve">Similar approved therapies and their clinical development paths</w:t>
      </w:r>
    </w:p>
    <w:p>
      <w:pPr>
        <w:spacing w:after="120" w:line="360"/>
      </w:pPr>
      <w:r>
        <w:t xml:space="preserve">Biomarker and surrogate endpoint validation studies (if available)</w:t>
      </w:r>
    </w:p>
    <w:p>
      <w:pPr>
        <w:spacing w:after="120" w:line="360"/>
      </w:pPr>
      <w:r>
        <w:rPr>
          <w:b/>
          <w:bCs/>
        </w:rPr>
        <w:t xml:space="preserve">Tools &amp; Databases Called:</w:t>
      </w:r>
    </w:p>
    <w:p>
      <w:pPr>
        <w:spacing w:after="120" w:line="360"/>
      </w:pPr>
      <w:r>
        <w:t xml:space="preserve">IND Application Builder: Compile CMC, pharmacology, toxicology, and clinical data into FDA-compliant IND format</w:t>
      </w:r>
    </w:p>
    <w:p>
      <w:pPr>
        <w:spacing w:after="120" w:line="360"/>
      </w:pPr>
      <w:r>
        <w:t xml:space="preserve">Rare Disease Guidance (FDA OrphanNet): Access expedited pathways: orphan drug designation, breakthrough therapy</w:t>
      </w:r>
    </w:p>
    <w:p>
      <w:pPr>
        <w:spacing w:after="120" w:line="360"/>
      </w:pPr>
      <w:r>
        <w:t xml:space="preserve">Clinical Outcome Measures Library: Identify validated neurological scales (ataxia severity, developmental quotient)</w:t>
      </w:r>
    </w:p>
    <w:p>
      <w:pPr>
        <w:spacing w:after="120" w:line="360"/>
      </w:pPr>
      <w:r>
        <w:t xml:space="preserve">Pharmacokinetic/Pharmacodynamic Modeling (NONMEM): Predict human PK/PD and simulate optimal dosing regimens</w:t>
      </w:r>
    </w:p>
    <w:p>
      <w:pPr>
        <w:spacing w:after="120" w:line="360"/>
      </w:pPr>
      <w:r>
        <w:t xml:space="preserve">Biomarker Development: Plan studies linking biomarkers (CSF GRIN2B levels, motor imaging) to clinical efficacy</w:t>
      </w:r>
    </w:p>
    <w:p>
      <w:pPr>
        <w:spacing w:after="120" w:line="360"/>
      </w:pPr>
      <w:r>
        <w:t xml:space="preserve">Health Economics &amp; Patient Engagement: Assess patient population size, willingness to enroll, healthcare burden justification</w:t>
      </w:r>
    </w:p>
    <w:p>
      <w:pPr>
        <w:spacing w:after="120" w:line="360"/>
      </w:pPr>
      <w:r>
        <w:rPr>
          <w:b/>
          <w:bCs/>
        </w:rPr>
        <w:t xml:space="preserve">Exemplary Sub-Prompts:</w:t>
      </w:r>
    </w:p>
    <w:p>
      <w:pPr>
        <w:spacing w:after="120" w:line="360"/>
      </w:pPr>
      <w:r>
        <w:t xml:space="preserve">What is the target patient population size and unmet medical need?</w:t>
      </w:r>
    </w:p>
    <w:p>
      <w:pPr>
        <w:spacing w:after="120" w:line="360"/>
      </w:pPr>
      <w:r>
        <w:t xml:space="preserve">Which natural history biomarkers (imaging, CSF, genetic) correlate with clinical severity?</w:t>
      </w:r>
    </w:p>
    <w:p>
      <w:pPr>
        <w:spacing w:after="120" w:line="360"/>
      </w:pPr>
      <w:r>
        <w:t xml:space="preserve">Can we qualify a surrogate endpoint (e.g., tremor amplitude on accelerometry) for Phase 2 efficacy?</w:t>
      </w:r>
    </w:p>
    <w:p>
      <w:pPr>
        <w:spacing w:after="120" w:line="360"/>
      </w:pPr>
      <w:r>
        <w:t xml:space="preserve">What is the optimal Phase 1 dose escalation schema based on PK/PD modeling?</w:t>
      </w:r>
    </w:p>
    <w:p>
      <w:pPr>
        <w:spacing w:after="120" w:line="360"/>
      </w:pPr>
      <w:r>
        <w:t xml:space="preserve">Should we pursue orphan drug designation and breakthrough therapy pathway?</w:t>
      </w:r>
    </w:p>
    <w:p>
      <w:pPr>
        <w:spacing w:after="120" w:line="360"/>
      </w:pPr>
      <w:r>
        <w:rPr>
          <w:b/>
          <w:bCs/>
        </w:rPr>
        <w:t xml:space="preserve">Expected Outputs:</w:t>
      </w:r>
    </w:p>
    <w:p>
      <w:pPr>
        <w:spacing w:after="120" w:line="360"/>
      </w:pPr>
      <w:r>
        <w:t xml:space="preserve">Regulatory strategy document (IND vs EMA CTA pathway, timelines)</w:t>
      </w:r>
    </w:p>
    <w:p>
      <w:pPr>
        <w:spacing w:after="120" w:line="360"/>
      </w:pPr>
      <w:r>
        <w:t xml:space="preserve">Phase 1 clinical trial protocol (dose escalation, safety/tolerability endpoints)</w:t>
      </w:r>
    </w:p>
    <w:p>
      <w:pPr>
        <w:spacing w:after="120" w:line="360"/>
      </w:pPr>
      <w:r>
        <w:t xml:space="preserve">Phase 2 trial design (primary/secondary endpoints, inclusion/exclusion criteria, biomarkers)</w:t>
      </w:r>
    </w:p>
    <w:p>
      <w:pPr>
        <w:spacing w:after="120" w:line="360"/>
      </w:pPr>
      <w:r>
        <w:t xml:space="preserve">IND application package assembly checklist</w:t>
      </w:r>
    </w:p>
    <w:p>
      <w:pPr>
        <w:spacing w:after="120" w:line="360"/>
      </w:pPr>
      <w:r>
        <w:t xml:space="preserve">Safety monitoring plan and stopping rules for rare disease context</w:t>
      </w:r>
    </w:p>
    <w:p>
      <w:pPr>
        <w:spacing w:after="120" w:line="360"/>
      </w:pPr>
      <w:r>
        <w:t xml:space="preserve">Accelerated approval or breakthrough pathway justification document</w:t>
      </w:r>
    </w:p>
    <w:p>
      <w:pPr>
        <w:spacing w:after="120" w:line="360"/>
      </w:pPr>
      <w:r>
        <w:rPr>
          <w:b/>
          <w:bCs/>
        </w:rPr>
        <w:t xml:space="preserve">Format: </w:t>
      </w:r>
      <w:r>
        <w:t xml:space="preserve">Regulatory strategy memo and Phase 1/2 trial design synopsis; IND application assembly checklist.</w:t>
      </w:r>
    </w:p>
    <w:p>
      <w:pPr>
        <w:pStyle w:val="Heading2"/>
        <w:spacing w:after="240" w:before="240"/>
      </w:pPr>
      <w:r>
        <w:t xml:space="preserve">Tools &amp; Databases Summary</w:t>
      </w:r>
    </w:p>
    <w:p>
      <w:pPr>
        <w:spacing w:after="120" w:line="360"/>
      </w:pPr>
      <w:r>
        <w:t xml:space="preserve">ClinVar: Pathogenic variant annotation and assertion levels</w:t>
      </w:r>
    </w:p>
    <w:p>
      <w:pPr>
        <w:spacing w:after="120" w:line="360"/>
      </w:pPr>
      <w:r>
        <w:t xml:space="preserve">gnomAD: Population frequency filtering and variant prevalence</w:t>
      </w:r>
    </w:p>
    <w:p>
      <w:pPr>
        <w:spacing w:after="120" w:line="360"/>
      </w:pPr>
      <w:r>
        <w:t xml:space="preserve">OMIM &amp; Gene Cards: Phenotypic spectrum and inheritance pattern curation</w:t>
      </w:r>
    </w:p>
    <w:p>
      <w:pPr>
        <w:spacing w:after="120" w:line="360"/>
      </w:pPr>
      <w:r>
        <w:t xml:space="preserve">Quiver EP CRISPR Atlas: Native electrophysiology phenotypes for 18k+ gene perturbations</w:t>
      </w:r>
    </w:p>
    <w:p>
      <w:pPr>
        <w:spacing w:after="120" w:line="360"/>
      </w:pPr>
      <w:r>
        <w:t xml:space="preserve">Quiver Compound Library: ~3,500 small molecules pre-screened in EP assays</w:t>
      </w:r>
    </w:p>
    <w:p>
      <w:pPr>
        <w:spacing w:after="120" w:line="360"/>
      </w:pPr>
      <w:r>
        <w:t xml:space="preserve">PubMed NLM API: Literature retrieval and natural language processing for disease mechanisms</w:t>
      </w:r>
    </w:p>
    <w:p>
      <w:pPr>
        <w:spacing w:after="120" w:line="360"/>
      </w:pPr>
      <w:r>
        <w:t xml:space="preserve">Ensembl VEP: Variant effect prediction and splice site annotation</w:t>
      </w:r>
    </w:p>
    <w:p>
      <w:pPr>
        <w:spacing w:after="120" w:line="360"/>
      </w:pPr>
      <w:r>
        <w:t xml:space="preserve">PDBe &amp; AlphaFold: Protein structure retrieval and AlphaFold2 modeling</w:t>
      </w:r>
    </w:p>
    <w:p>
      <w:pPr>
        <w:spacing w:after="120" w:line="360"/>
      </w:pPr>
      <w:r>
        <w:t xml:space="preserve">ChEMBL &amp; PubChem: Prior ion channel modulators and public compound data</w:t>
      </w:r>
    </w:p>
    <w:p>
      <w:pPr>
        <w:spacing w:after="120" w:line="360"/>
      </w:pPr>
      <w:r>
        <w:t xml:space="preserve">Phenobot: Proprietary Quiver ML-based phenotype classification and compound efficacy prediction</w:t>
      </w:r>
    </w:p>
    <w:p>
      <w:pPr>
        <w:spacing w:after="120" w:line="360"/>
      </w:pPr>
      <w:r>
        <w:t xml:space="preserve">MOE / Schrödinger Suite: Molecular docking and ligand-binding predictions</w:t>
      </w:r>
    </w:p>
    <w:p>
      <w:pPr>
        <w:spacing w:after="120" w:line="360"/>
      </w:pPr>
      <w:r>
        <w:t xml:space="preserve">ADMET Predictor / StarDrop: ADME property prediction and BBB penetrance scoring</w:t>
      </w:r>
    </w:p>
    <w:p>
      <w:pPr>
        <w:spacing w:after="120" w:line="360"/>
      </w:pPr>
      <w:r>
        <w:t xml:space="preserve">LC-MS/MS &amp; Bioanalytical Methods: Pharmacokinetic compound quantification in plasma and tissue</w:t>
      </w:r>
    </w:p>
    <w:p>
      <w:pPr>
        <w:spacing w:after="120" w:line="360"/>
      </w:pPr>
      <w:r>
        <w:t xml:space="preserve">IND Application Builder: FDA-compliant regulatory documentation assembly</w:t>
      </w:r>
    </w:p>
    <w:p>
      <w:pPr>
        <w:spacing w:after="120" w:line="360"/>
      </w:pPr>
      <w:r>
        <w:t xml:space="preserve">NONMEM / PKPDsim: Pharmacokinetic and pharmacodynamic modeling and human dose prediction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2026-03-02T16:58:58.358Z</dcterms:created>
  <dcterms:modified xsi:type="dcterms:W3CDTF">2026-03-02T16:58:58.358Z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