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Sapphire Pipeline Workflow</w:t>
      </w:r>
    </w:p>
    <w:p>
      <w:pPr>
        <w:pStyle w:val="Heading2"/>
        <w:spacing w:after="240" w:before="240"/>
      </w:pPr>
      <w:r>
        <w:t xml:space="preserve">Prompt: "Rank antisense vs small molecule strategies for GRIN2B-related neurodevelopmental disorder."</w:t>
      </w:r>
    </w:p>
    <w:p>
      <w:pPr>
        <w:spacing w:after="120" w:line="360"/>
      </w:pPr>
      <w:r>
        <w:t xml:space="preserve">This document defines the complete Sapphire pipeline for target validation, compound screening, and clinical development strategy. </w:t>
      </w:r>
      <w:r>
        <w:t xml:space="preserve">Sapphire is Quiver Bioscience's AI-integrated drug discovery platform leveraging an electrophysiology (EP) CRISPR atlas with ~18,000 gene perturbations, ~3,500 compound perturbations, and 500+ functional features per neuron. </w:t>
      </w:r>
      <w:r>
        <w:t xml:space="preserve">All six pipeline stages incorporate Quiver's proprietary phenotypic data to accelerate target-to-lead progression in monogenic and rare neurogenetic disorders.</w:t>
      </w:r>
    </w:p>
    <w:p>
      <w:pPr>
        <w:pStyle w:val="Heading2"/>
        <w:spacing w:after="240" w:before="240"/>
      </w:pPr>
      <w:r>
        <w:t xml:space="preserve">Pipeline Overview</w:t>
      </w:r>
    </w:p>
    <w:p>
      <w:pPr>
        <w:spacing w:after="120" w:line="360"/>
      </w:pPr>
      <w:r>
        <w:t xml:space="preserve">This Sapphire pipeline comprises six sequential stages: (1) Literature Mining &amp; Target Validation, (2) Small Molecule Target &amp; Chemical Space Definition, (3) Quiver EP Phenotypic Screening &amp; Validation, (4) Chemistry Optimization &amp; Medicinal Chemistry, (5) In Vivo Efficacy &amp; Toxicology, and (6) Clinical Development Planning &amp; Regulatory Strategy. </w:t>
      </w:r>
      <w:r>
        <w:t xml:space="preserve">Each stage leverages Quiver's integrated electrophysiology platform, proprietary compound library, and AI-driven phenotypic classification to systematically reduce uncertainty and prioritize lead advancement.</w:t>
      </w:r>
    </w:p>
    <w:p>
      <w:pPr>
        <w:pStyle w:val="Heading2"/>
        <w:spacing w:after="240" w:before="240"/>
      </w:pPr>
      <w:r>
        <w:t xml:space="preserve">Stage 1: Literature Mining &amp; Target Validation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Systematically identify and validate the disease-causing variants, their functional consequences, and current therapeutic evidence.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Gene symbol(s): CACNA1A (Pipeline 188) / GRIN2B (Pipeline 189)</w:t>
      </w:r>
    </w:p>
    <w:p>
      <w:pPr>
        <w:spacing w:after="120" w:line="360"/>
      </w:pPr>
      <w:r>
        <w:t xml:space="preserve">Quiver EP CRISPR atlas (~18k gene perturbations, 500+ features)</w:t>
      </w:r>
    </w:p>
    <w:p>
      <w:pPr>
        <w:spacing w:after="120" w:line="360"/>
      </w:pPr>
      <w:r>
        <w:t xml:space="preserve">ClinVar, gnomAD, and OMIM databases for variant prevalence</w:t>
      </w:r>
    </w:p>
    <w:p>
      <w:pPr>
        <w:spacing w:after="120" w:line="360"/>
      </w:pPr>
      <w:r>
        <w:t xml:space="preserve">PubMed literature corpus for functional studies</w:t>
      </w:r>
    </w:p>
    <w:p>
      <w:pPr>
        <w:spacing w:after="120" w:line="360"/>
      </w:pPr>
      <w:r>
        <w:t xml:space="preserve">Clinical phenotype definitions and severity scoring systems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ClinVar: Identify pathogenic CACNA1A/GRIN2B variants and assertion levels</w:t>
      </w:r>
    </w:p>
    <w:p>
      <w:pPr>
        <w:spacing w:after="120" w:line="360"/>
      </w:pPr>
      <w:r>
        <w:t xml:space="preserve">gnomAD: Filter population-common variants (&gt;0.1% AF)</w:t>
      </w:r>
    </w:p>
    <w:p>
      <w:pPr>
        <w:spacing w:after="120" w:line="360"/>
      </w:pPr>
      <w:r>
        <w:t xml:space="preserve">OMIM &amp; Gene Cards: Curate phenotypic spectrum, inheritance patterns, functional domains</w:t>
      </w:r>
    </w:p>
    <w:p>
      <w:pPr>
        <w:spacing w:after="120" w:line="360"/>
      </w:pPr>
      <w:r>
        <w:t xml:space="preserve">Quiver EP CRISPR Atlas: Access CACNA1A/GRIN2B perturbation phenotypes in native EP assays</w:t>
      </w:r>
    </w:p>
    <w:p>
      <w:pPr>
        <w:spacing w:after="120" w:line="360"/>
      </w:pPr>
      <w:r>
        <w:t xml:space="preserve">PubMed NLM API: Retrieve disease mechanism and prior therapeutic attempt literature</w:t>
      </w:r>
    </w:p>
    <w:p>
      <w:pPr>
        <w:spacing w:after="120" w:line="360"/>
      </w:pPr>
      <w:r>
        <w:t xml:space="preserve">Ensembl VEP: Predict variant impact on protein structure and splice sites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Which CACNA1A mutations are most common in episodic ataxia type 2 and are they gain-of-function or loss-of-function? (N/A)</w:t>
      </w:r>
    </w:p>
    <w:p>
      <w:pPr>
        <w:spacing w:after="120" w:line="360"/>
      </w:pPr>
      <w:r>
        <w:t xml:space="preserve">What are the P/Q-type calcium channel roles in cerebellar physiology and how do loss-of-function variants impair motor control? (N/A)</w:t>
      </w:r>
    </w:p>
    <w:p>
      <w:pPr>
        <w:spacing w:after="120" w:line="360"/>
      </w:pPr>
      <w:r>
        <w:t xml:space="preserve">Which GRIN2B mutations cause neurodevelopmental disorder and do they show gain-of-function toxicity?</w:t>
      </w:r>
    </w:p>
    <w:p>
      <w:pPr>
        <w:spacing w:after="120" w:line="360"/>
      </w:pPr>
      <w:r>
        <w:t xml:space="preserve">What is the prevalence of dominant-negative effects versus haploinsufficiency in GRIN2B disease?</w:t>
      </w:r>
    </w:p>
    <w:p>
      <w:pPr>
        <w:spacing w:after="120" w:line="360"/>
      </w:pPr>
      <w:r>
        <w:t xml:space="preserve">Summarize existing animal models and patient-derived neurons showing target engagement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Comprehensive variant-to-phenotype map with functional class assignments</w:t>
      </w:r>
    </w:p>
    <w:p>
      <w:pPr>
        <w:spacing w:after="120" w:line="360"/>
      </w:pPr>
      <w:r>
        <w:t xml:space="preserve">Curated list of tier-1 pathogenic variants meeting strict criteria</w:t>
      </w:r>
    </w:p>
    <w:p>
      <w:pPr>
        <w:spacing w:after="120" w:line="360"/>
      </w:pPr>
      <w:r>
        <w:t xml:space="preserve">Literature summary of therapeutic attempts (prior ASOs, prior small molecules)</w:t>
      </w:r>
    </w:p>
    <w:p>
      <w:pPr>
        <w:spacing w:after="120" w:line="360"/>
      </w:pPr>
      <w:r>
        <w:t xml:space="preserve">Quiver EP assay readouts showing target perturbation phenotypes</w:t>
      </w:r>
    </w:p>
    <w:p>
      <w:pPr>
        <w:spacing w:after="120" w:line="360"/>
      </w:pPr>
      <w:r>
        <w:t xml:space="preserve">Functional domain map highlighting mutation hotspots and mechanistic insights</w:t>
      </w:r>
    </w:p>
    <w:p>
      <w:pPr>
        <w:spacing w:after="120" w:line="360"/>
      </w:pPr>
      <w:r>
        <w:t xml:space="preserve">Clinical severity scoring and patient stratification strategy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Tab-delimited variant table with functional class, frequency, publications, and Quiver phenotype assignments.</w:t>
      </w:r>
    </w:p>
    <w:p>
      <w:pPr>
        <w:pStyle w:val="Heading2"/>
        <w:spacing w:after="240" w:before="240"/>
      </w:pPr>
      <w:r>
        <w:t xml:space="preserve">Stage 2: Small Molecule Target &amp; Chemical Space Definition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Systematically score small molecule feasibility versus ASO approach for GRIN2B.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GRIN2B structural models and allosteric modulation sites</w:t>
      </w:r>
    </w:p>
    <w:p>
      <w:pPr>
        <w:spacing w:after="120" w:line="360"/>
      </w:pPr>
      <w:r>
        <w:t xml:space="preserve">Quiver compound library (~3,500 molecules tested on NMDA receptor contexts)</w:t>
      </w:r>
    </w:p>
    <w:p>
      <w:pPr>
        <w:spacing w:after="120" w:line="360"/>
      </w:pPr>
      <w:r>
        <w:t xml:space="preserve">Small molecule modality comparison matrix (NAMs, channel blockers, allosteric modulators)</w:t>
      </w:r>
    </w:p>
    <w:p>
      <w:pPr>
        <w:spacing w:after="120" w:line="360"/>
      </w:pPr>
      <w:r>
        <w:t xml:space="preserve">ASO design feasibility assessment (exon skipping targets, antisense sites)</w:t>
      </w:r>
    </w:p>
    <w:p>
      <w:pPr>
        <w:spacing w:after="120" w:line="360"/>
      </w:pPr>
      <w:r>
        <w:t xml:space="preserve">Regulatory pathway precedents (antisense drugs like Spinraza, Zolgensma vs small mol ion channel drugs)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PDBe &amp; RCSB PDB: Retrieve GRIN2B/GluN2B NMDA receptor structures for modulation site identification</w:t>
      </w:r>
    </w:p>
    <w:p>
      <w:pPr>
        <w:spacing w:after="120" w:line="360"/>
      </w:pPr>
      <w:r>
        <w:t xml:space="preserve">Quiver Compound Library: Search for NMDA receptor modulators and screen against GluN2B-perturbed phenotypes</w:t>
      </w:r>
    </w:p>
    <w:p>
      <w:pPr>
        <w:spacing w:after="120" w:line="360"/>
      </w:pPr>
      <w:r>
        <w:t xml:space="preserve">ASO Design Tools (GeneTools, ISIS): Predict antisense sequences targeting GRIN2B exons and splice sites</w:t>
      </w:r>
    </w:p>
    <w:p>
      <w:pPr>
        <w:spacing w:after="120" w:line="360"/>
      </w:pPr>
      <w:r>
        <w:t xml:space="preserve">Oligonucleotide Property DB: Model ASO pharmacokinetics, stability, and CNS penetrance</w:t>
      </w:r>
    </w:p>
    <w:p>
      <w:pPr>
        <w:spacing w:after="120" w:line="360"/>
      </w:pPr>
      <w:r>
        <w:t xml:space="preserve">Regulatory Database (FDA, EMA): Map antisense vs small molecule approval precedent for neurological disorders</w:t>
      </w:r>
    </w:p>
    <w:p>
      <w:pPr>
        <w:spacing w:after="120" w:line="360"/>
      </w:pPr>
      <w:r>
        <w:t xml:space="preserve">Phenobot (Quiver proprietary): Classify compounds by modality and GRIN2B-specific phenotypic effects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Which GRIN2B-selective negative allosteric modulators are available and do they show efficacy in preclinical models?</w:t>
      </w:r>
    </w:p>
    <w:p>
      <w:pPr>
        <w:spacing w:after="120" w:line="360"/>
      </w:pPr>
      <w:r>
        <w:t xml:space="preserve">Can antisense oligonucleotides achieve exon skipping or allele-specific silencing of dominant-negative GRIN2B mutations?</w:t>
      </w:r>
    </w:p>
    <w:p>
      <w:pPr>
        <w:spacing w:after="120" w:line="360"/>
      </w:pPr>
      <w:r>
        <w:t xml:space="preserve">What is the estimated manufacturing timeline and cost for ASO vs small molecule approaches?</w:t>
      </w:r>
    </w:p>
    <w:p>
      <w:pPr>
        <w:spacing w:after="120" w:line="360"/>
      </w:pPr>
      <w:r>
        <w:t xml:space="preserve">How does BBB penetrance compare for small molecule GluN2B modulators vs systemically delivered ASOs?</w:t>
      </w:r>
    </w:p>
    <w:p>
      <w:pPr>
        <w:spacing w:after="120" w:line="360"/>
      </w:pPr>
      <w:r>
        <w:t xml:space="preserve">What regulatory precedent exists for ASO neurodevelopmental disorder therapies vs small molecule NMDA modulators?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Modality comparison scorecard: ASO vs small molecule across efficacy, selectivity, BBB penetrance, durability</w:t>
      </w:r>
    </w:p>
    <w:p>
      <w:pPr>
        <w:spacing w:after="120" w:line="360"/>
      </w:pPr>
      <w:r>
        <w:t xml:space="preserve">Prioritized ASO sequences targeting GRIN2B exons with predicted on-/off-target effects</w:t>
      </w:r>
    </w:p>
    <w:p>
      <w:pPr>
        <w:spacing w:after="120" w:line="360"/>
      </w:pPr>
      <w:r>
        <w:t xml:space="preserve">Small molecule hit compounds and predicted allosteric modulation profiles</w:t>
      </w:r>
    </w:p>
    <w:p>
      <w:pPr>
        <w:spacing w:after="120" w:line="360"/>
      </w:pPr>
      <w:r>
        <w:t xml:space="preserve">Manufacturing complexity and timeline estimates for each modality</w:t>
      </w:r>
    </w:p>
    <w:p>
      <w:pPr>
        <w:spacing w:after="120" w:line="360"/>
      </w:pPr>
      <w:r>
        <w:t xml:space="preserve">Regulatory pathway analysis with precedent approvals</w:t>
      </w:r>
    </w:p>
    <w:p>
      <w:pPr>
        <w:spacing w:after="120" w:line="360"/>
      </w:pPr>
      <w:r>
        <w:t xml:space="preserve">Recommendation: dominant modality selection with rationale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Comparison matrix (rows: efficacy, selectivity, BBB penetrance, durability, mfg timeline, reg pathway; columns: ASO modality, small molecule NAM, small molecule blocker).</w:t>
      </w:r>
    </w:p>
    <w:p>
      <w:pPr>
        <w:pStyle w:val="Heading2"/>
        <w:spacing w:after="240" w:before="240"/>
      </w:pPr>
      <w:r>
        <w:t xml:space="preserve">Stage 3: Quiver EP Phenotypic Screening &amp; Validation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Use Quiver's native EP CRISPR atlas and compound library to functionally validate target engagement and compound efficacy.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Quiver EP CRISPR atlas: CACNA1A/GRIN2B perturbation phenotypes (500+ features per neuron)</w:t>
      </w:r>
    </w:p>
    <w:p>
      <w:pPr>
        <w:spacing w:after="120" w:line="360"/>
      </w:pPr>
      <w:r>
        <w:t xml:space="preserve">Human iPSC-derived neurons engineered with disease-causing variants</w:t>
      </w:r>
    </w:p>
    <w:p>
      <w:pPr>
        <w:spacing w:after="120" w:line="360"/>
      </w:pPr>
      <w:r>
        <w:t xml:space="preserve">Quiver compound library (~3,500 molecules) with pre-scored EP activity data</w:t>
      </w:r>
    </w:p>
    <w:p>
      <w:pPr>
        <w:spacing w:after="120" w:line="360"/>
      </w:pPr>
      <w:r>
        <w:t xml:space="preserve">Negative controls (off-target calcium channels, unrelated genes)</w:t>
      </w:r>
    </w:p>
    <w:p>
      <w:pPr>
        <w:spacing w:after="120" w:line="360"/>
      </w:pPr>
      <w:r>
        <w:t xml:space="preserve">Positive controls (known CACNA1A/GRIN2B modulators from literature)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Quiver Phenotypic Platform: High-throughput automated electrophysiology assays on iPSC neurons</w:t>
      </w:r>
    </w:p>
    <w:p>
      <w:pPr>
        <w:spacing w:after="120" w:line="360"/>
      </w:pPr>
      <w:r>
        <w:t xml:space="preserve">CRISPR Gene Editing (Cas9, base editors): Engineer disease variants into iPSC lines and measure rescue by compounds</w:t>
      </w:r>
    </w:p>
    <w:p>
      <w:pPr>
        <w:spacing w:after="120" w:line="360"/>
      </w:pPr>
      <w:r>
        <w:t xml:space="preserve">Multi-electrode array (MEA): Record network-level activity and identify circuit-level phenotypes</w:t>
      </w:r>
    </w:p>
    <w:p>
      <w:pPr>
        <w:spacing w:after="120" w:line="360"/>
      </w:pPr>
      <w:r>
        <w:t xml:space="preserve">Patch-clamp electrophysiology: Validate single-channel properties and rectification for ion channels</w:t>
      </w:r>
    </w:p>
    <w:p>
      <w:pPr>
        <w:spacing w:after="120" w:line="360"/>
      </w:pPr>
      <w:r>
        <w:t xml:space="preserve">Image-based phenotyping (calcium imaging): Secondary validation of calcium dynamics in presence of compounds</w:t>
      </w:r>
    </w:p>
    <w:p>
      <w:pPr>
        <w:spacing w:after="120" w:line="360"/>
      </w:pPr>
      <w:r>
        <w:t xml:space="preserve">Phenobot: ML-based phenotype classification linking compound activity to disease rectification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What is the baseline electrophysiological phenotype of CACNA1A-deficient (Pipeline 188) / GRIN2B-mutant (Pipeline 189) neurons vs WT?</w:t>
      </w:r>
    </w:p>
    <w:p>
      <w:pPr>
        <w:spacing w:after="120" w:line="360"/>
      </w:pPr>
      <w:r>
        <w:t xml:space="preserve">Which Quiver compounds rescue the disease phenotype most completely?</w:t>
      </w:r>
    </w:p>
    <w:p>
      <w:pPr>
        <w:spacing w:after="120" w:line="360"/>
      </w:pPr>
      <w:r>
        <w:t xml:space="preserve">Do lead compounds show selectivity for disease variant over wild-type?</w:t>
      </w:r>
    </w:p>
    <w:p>
      <w:pPr>
        <w:spacing w:after="120" w:line="360"/>
      </w:pPr>
      <w:r>
        <w:t xml:space="preserve">What is the dose-response curve and EC50 for top compounds in native neuron context?</w:t>
      </w:r>
    </w:p>
    <w:p>
      <w:pPr>
        <w:spacing w:after="120" w:line="360"/>
      </w:pPr>
      <w:r>
        <w:t xml:space="preserve">Are there unexpected off-target neuronal effects (e.g., changes to other ion channels, neurotransmitter release)?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Phenotypic signature of CACNA1A/GRIN2B disease in Quiver assays (quantified feature set)</w:t>
      </w:r>
    </w:p>
    <w:p>
      <w:pPr>
        <w:spacing w:after="120" w:line="360"/>
      </w:pPr>
      <w:r>
        <w:t xml:space="preserve">Dose-response curves for lead compounds showing phenotype rescue (EC50, Hill coefficient)</w:t>
      </w:r>
    </w:p>
    <w:p>
      <w:pPr>
        <w:spacing w:after="120" w:line="360"/>
      </w:pPr>
      <w:r>
        <w:t xml:space="preserve">Selectivity assessment: target variant vs WT vs other ion channels</w:t>
      </w:r>
    </w:p>
    <w:p>
      <w:pPr>
        <w:spacing w:after="120" w:line="360"/>
      </w:pPr>
      <w:r>
        <w:t xml:space="preserve">Machine learning model predicting compound efficacy from chemical structure</w:t>
      </w:r>
    </w:p>
    <w:p>
      <w:pPr>
        <w:spacing w:after="120" w:line="360"/>
      </w:pPr>
      <w:r>
        <w:t xml:space="preserve">Secondary assays validating mechanism (calcium imaging, MEA network phenotypes)</w:t>
      </w:r>
    </w:p>
    <w:p>
      <w:pPr>
        <w:spacing w:after="120" w:line="360"/>
      </w:pPr>
      <w:r>
        <w:t xml:space="preserve">Hit compound ranking and advancement criteria to chemistry optimization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Interactive dashboard with heatmaps of phenotype rescue vs compound dose; downloadable .csv with feature loadings and ML predictions.</w:t>
      </w:r>
    </w:p>
    <w:p>
      <w:pPr>
        <w:pStyle w:val="Heading2"/>
        <w:spacing w:after="240" w:before="240"/>
      </w:pPr>
      <w:r>
        <w:t xml:space="preserve">Stage 4: Chemistry Optimization &amp; Medicinal Chemistry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Iteratively optimize lead compounds for target potency, selectivity, and PK/ADME properties aligned with BBB penetrance and CNS drug-likeness.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Hit compounds from Quiver phenotypic screening</w:t>
      </w:r>
    </w:p>
    <w:p>
      <w:pPr>
        <w:spacing w:after="120" w:line="360"/>
      </w:pPr>
      <w:r>
        <w:t xml:space="preserve">Structure-activity relationship (SAR) insights from literature</w:t>
      </w:r>
    </w:p>
    <w:p>
      <w:pPr>
        <w:spacing w:after="120" w:line="360"/>
      </w:pPr>
      <w:r>
        <w:t xml:space="preserve">Target binding models (docking, molecular dynamics simulations)</w:t>
      </w:r>
    </w:p>
    <w:p>
      <w:pPr>
        <w:spacing w:after="120" w:line="360"/>
      </w:pPr>
      <w:r>
        <w:t xml:space="preserve">ADME prediction tools (CLogP, TPSA, solubility, metabolic stability)</w:t>
      </w:r>
    </w:p>
    <w:p>
      <w:pPr>
        <w:spacing w:after="120" w:line="360"/>
      </w:pPr>
      <w:r>
        <w:t xml:space="preserve">Synthetic feasibility assessment and cost-of-goods analysis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MOE / Schrödinger Suite: Molecular docking, ligand binding prediction, virtual screening</w:t>
      </w:r>
    </w:p>
    <w:p>
      <w:pPr>
        <w:spacing w:after="120" w:line="360"/>
      </w:pPr>
      <w:r>
        <w:t xml:space="preserve">Glide / IFD: Induced fit docking for allosteric modulation site prediction</w:t>
      </w:r>
    </w:p>
    <w:p>
      <w:pPr>
        <w:spacing w:after="120" w:line="360"/>
      </w:pPr>
      <w:r>
        <w:t xml:space="preserve">ADMET Predictor / StarDrop: Predict solubility, LogP, metabolic clearance, CYP inhibition</w:t>
      </w:r>
    </w:p>
    <w:p>
      <w:pPr>
        <w:spacing w:after="120" w:line="360"/>
      </w:pPr>
      <w:r>
        <w:t xml:space="preserve">Synthetic Route Planner (Retrosynthesis AI): Design scalable syntheses and estimate manufacturing feasibility</w:t>
      </w:r>
    </w:p>
    <w:p>
      <w:pPr>
        <w:spacing w:after="120" w:line="360"/>
      </w:pPr>
      <w:r>
        <w:t xml:space="preserve">Parallel Chemistry / HTS: Synthesize and test analogs iteratively against Quiver phenotypes</w:t>
      </w:r>
    </w:p>
    <w:p>
      <w:pPr>
        <w:spacing w:after="120" w:line="360"/>
      </w:pPr>
      <w:r>
        <w:t xml:space="preserve">MDCK-MDR1 &amp; BBB-in-vitro models: Confirm BBB penetrance and P-gp substrate status of optimized leads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What are the key SAR motifs driving CACNA1A/GRIN2B selectivity and potency?</w:t>
      </w:r>
    </w:p>
    <w:p>
      <w:pPr>
        <w:spacing w:after="120" w:line="360"/>
      </w:pPr>
      <w:r>
        <w:t xml:space="preserve">Can we maintain BBB penetrance while improving target potency?</w:t>
      </w:r>
    </w:p>
    <w:p>
      <w:pPr>
        <w:spacing w:after="120" w:line="360"/>
      </w:pPr>
      <w:r>
        <w:t xml:space="preserve">Which chemical modifications reduce P-gp efflux and improve brain exposure?</w:t>
      </w:r>
    </w:p>
    <w:p>
      <w:pPr>
        <w:spacing w:after="120" w:line="360"/>
      </w:pPr>
      <w:r>
        <w:t xml:space="preserve">What is the optimal synthetic route for scale-up to GMP production?</w:t>
      </w:r>
    </w:p>
    <w:p>
      <w:pPr>
        <w:spacing w:after="120" w:line="360"/>
      </w:pPr>
      <w:r>
        <w:t xml:space="preserve">Do lead analogs show acceptable metabolic stability in liver microsome assays?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Optimized lead compound structure with binding mode and predicted IC50</w:t>
      </w:r>
    </w:p>
    <w:p>
      <w:pPr>
        <w:spacing w:after="120" w:line="360"/>
      </w:pPr>
      <w:r>
        <w:t xml:space="preserve">SAR summary highlighting critical pharmacophore elements</w:t>
      </w:r>
    </w:p>
    <w:p>
      <w:pPr>
        <w:spacing w:after="120" w:line="360"/>
      </w:pPr>
      <w:r>
        <w:t xml:space="preserve">ADME/PK property predictions (LogP, TPSA, solubility, CYP inhibition)</w:t>
      </w:r>
    </w:p>
    <w:p>
      <w:pPr>
        <w:spacing w:after="120" w:line="360"/>
      </w:pPr>
      <w:r>
        <w:t xml:space="preserve">BBB penetrance confirmation via MDCK-MDR1 or in vivo imaging</w:t>
      </w:r>
    </w:p>
    <w:p>
      <w:pPr>
        <w:spacing w:after="120" w:line="360"/>
      </w:pPr>
      <w:r>
        <w:t xml:space="preserve">Synthetic route optimization and cost-of-goods estimate</w:t>
      </w:r>
    </w:p>
    <w:p>
      <w:pPr>
        <w:spacing w:after="120" w:line="360"/>
      </w:pPr>
      <w:r>
        <w:t xml:space="preserve">Recommendation for IND-enabling toxicology studies and lead selection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Medicinal chemistry report with structures, binding poses, SAR tables, and ADME predictions; synthesis route diagrams.</w:t>
      </w:r>
    </w:p>
    <w:p>
      <w:pPr>
        <w:pStyle w:val="Heading2"/>
        <w:spacing w:after="240" w:before="240"/>
      </w:pPr>
      <w:r>
        <w:t xml:space="preserve">Stage 5: In Vivo Efficacy &amp; Toxicology Model Selection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Validate lead compounds in disease-relevant animal models and assess safety profile prior to IND application.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Optimized lead compounds from medicinal chemistry stage</w:t>
      </w:r>
    </w:p>
    <w:p>
      <w:pPr>
        <w:spacing w:after="120" w:line="360"/>
      </w:pPr>
      <w:r>
        <w:t xml:space="preserve">Disease-relevant mouse/zebrafish models carrying CACNA1A/GRIN2B mutations</w:t>
      </w:r>
    </w:p>
    <w:p>
      <w:pPr>
        <w:spacing w:after="120" w:line="360"/>
      </w:pPr>
      <w:r>
        <w:t xml:space="preserve">GLP toxicology study protocols (single-dose, repeat-dose, cardiovascular safety)</w:t>
      </w:r>
    </w:p>
    <w:p>
      <w:pPr>
        <w:spacing w:after="120" w:line="360"/>
      </w:pPr>
      <w:r>
        <w:t xml:space="preserve">Pharmacokinetic sampling design and bioanalytical methods</w:t>
      </w:r>
    </w:p>
    <w:p>
      <w:pPr>
        <w:spacing w:after="120" w:line="360"/>
      </w:pPr>
      <w:r>
        <w:t xml:space="preserve">Mechanism-of-action validation approaches (electrophysiology, imaging)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Disease Model Animals (CACNA1A-KO mice, GRIN2B-mutant lines): Phenotypic readouts: tremor, ataxia, seizure threshold; motor learning in CACNA1A</w:t>
      </w:r>
    </w:p>
    <w:p>
      <w:pPr>
        <w:spacing w:after="120" w:line="360"/>
      </w:pPr>
      <w:r>
        <w:t xml:space="preserve">Zebrafish models: Rapid in vivo screening of compounds for motor phenotype rescue and toxicity</w:t>
      </w:r>
    </w:p>
    <w:p>
      <w:pPr>
        <w:spacing w:after="120" w:line="360"/>
      </w:pPr>
      <w:r>
        <w:t xml:space="preserve">PK/PD Sampling &amp; LC-MS/MS: Measure compound concentration in plasma, brain, and target tissue</w:t>
      </w:r>
    </w:p>
    <w:p>
      <w:pPr>
        <w:spacing w:after="120" w:line="360"/>
      </w:pPr>
      <w:r>
        <w:t xml:space="preserve">Behavioral Testing: Rotarod, open field, Morris water maze, conditioned fear (disease-relevant outcomes)</w:t>
      </w:r>
    </w:p>
    <w:p>
      <w:pPr>
        <w:spacing w:after="120" w:line="360"/>
      </w:pPr>
      <w:r>
        <w:t xml:space="preserve">Cardiovascular Safety (telemetry, ECG): Monitor heart rate, blood pressure, QT interval for off-target cardiac ion channel effects</w:t>
      </w:r>
    </w:p>
    <w:p>
      <w:pPr>
        <w:spacing w:after="120" w:line="360"/>
      </w:pPr>
      <w:r>
        <w:t xml:space="preserve">Neuropathology: Histology, immunofluorescence of brain tissue for neuroinflammation, axonal damage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Does lead compound rescue motor phenotypes in CACNA1A-mutant mice? (N/A)</w:t>
      </w:r>
    </w:p>
    <w:p>
      <w:pPr>
        <w:spacing w:after="120" w:line="360"/>
      </w:pPr>
      <w:r>
        <w:t xml:space="preserve">What is the brain-to-plasma concentration ratio and evidence of BBB penetration?</w:t>
      </w:r>
    </w:p>
    <w:p>
      <w:pPr>
        <w:spacing w:after="120" w:line="360"/>
      </w:pPr>
      <w:r>
        <w:t xml:space="preserve">Are there any cardiovascular liabilities in acute or chronic dosing?</w:t>
      </w:r>
    </w:p>
    <w:p>
      <w:pPr>
        <w:spacing w:after="120" w:line="360"/>
      </w:pPr>
      <w:r>
        <w:t xml:space="preserve">Does the compound show acceptable metabolic stability and clearance in mice?</w:t>
      </w:r>
    </w:p>
    <w:p>
      <w:pPr>
        <w:spacing w:after="120" w:line="360"/>
      </w:pPr>
      <w:r>
        <w:t xml:space="preserve">What dose and exposure level are required for efficacy vs safety in animal models?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In vivo efficacy summary: disease phenotype rescue with dose-response and durability</w:t>
      </w:r>
    </w:p>
    <w:p>
      <w:pPr>
        <w:spacing w:after="120" w:line="360"/>
      </w:pPr>
      <w:r>
        <w:t xml:space="preserve">Pharmacokinetic profile: Cmax, Tmax, T1/2, brain/plasma ratio, clearance</w:t>
      </w:r>
    </w:p>
    <w:p>
      <w:pPr>
        <w:spacing w:after="120" w:line="360"/>
      </w:pPr>
      <w:r>
        <w:t xml:space="preserve">Toxicology findings: organ weights, clinical pathology, histopathology, safety margin</w:t>
      </w:r>
    </w:p>
    <w:p>
      <w:pPr>
        <w:spacing w:after="120" w:line="360"/>
      </w:pPr>
      <w:r>
        <w:t xml:space="preserve">Cardiovascular safety assessment and predicted human safety risk</w:t>
      </w:r>
    </w:p>
    <w:p>
      <w:pPr>
        <w:spacing w:after="120" w:line="360"/>
      </w:pPr>
      <w:r>
        <w:t xml:space="preserve">Mechanism-of-action validation (target engagement in brain tissue)</w:t>
      </w:r>
    </w:p>
    <w:p>
      <w:pPr>
        <w:spacing w:after="120" w:line="360"/>
      </w:pPr>
      <w:r>
        <w:t xml:space="preserve">IND-enabling study readiness assessment and recommended studies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In vivo study reports with tables of behavioral outcomes, PK curves, and toxicology summary; recommendations for IND package.</w:t>
      </w:r>
    </w:p>
    <w:p>
      <w:pPr>
        <w:pStyle w:val="Heading2"/>
        <w:spacing w:after="240" w:before="240"/>
      </w:pPr>
      <w:r>
        <w:t xml:space="preserve">Stage 6: Clinical Development Planning &amp; Regulatory Strategy</w:t>
      </w:r>
    </w:p>
    <w:p>
      <w:pPr>
        <w:spacing w:after="120" w:line="360"/>
      </w:pPr>
      <w:r>
        <w:rPr>
          <w:b/>
          <w:bCs/>
        </w:rPr>
        <w:t xml:space="preserve">Purpose: </w:t>
      </w:r>
      <w:r>
        <w:t xml:space="preserve">Develop a comprehensive IND application and clinical trial strategy aligned with regulatory expectations for rare neurological disorders.</w:t>
      </w:r>
    </w:p>
    <w:p>
      <w:pPr>
        <w:spacing w:after="120" w:line="360"/>
      </w:pPr>
      <w:r>
        <w:rPr>
          <w:b/>
          <w:bCs/>
        </w:rPr>
        <w:t xml:space="preserve">Inputs:</w:t>
      </w:r>
    </w:p>
    <w:p>
      <w:pPr>
        <w:spacing w:after="120" w:line="360"/>
      </w:pPr>
      <w:r>
        <w:t xml:space="preserve">Completed preclinical package (target validation, chemistry, in vivo efficacy/tox)</w:t>
      </w:r>
    </w:p>
    <w:p>
      <w:pPr>
        <w:spacing w:after="120" w:line="360"/>
      </w:pPr>
      <w:r>
        <w:t xml:space="preserve">Patient natural history and outcome measure literature</w:t>
      </w:r>
    </w:p>
    <w:p>
      <w:pPr>
        <w:spacing w:after="120" w:line="360"/>
      </w:pPr>
      <w:r>
        <w:t xml:space="preserve">Regulatory guidance for rare neurodevelopmental disorders (FDA, EMA)</w:t>
      </w:r>
    </w:p>
    <w:p>
      <w:pPr>
        <w:spacing w:after="120" w:line="360"/>
      </w:pPr>
      <w:r>
        <w:t xml:space="preserve">Similar approved therapies and their clinical development paths</w:t>
      </w:r>
    </w:p>
    <w:p>
      <w:pPr>
        <w:spacing w:after="120" w:line="360"/>
      </w:pPr>
      <w:r>
        <w:t xml:space="preserve">Biomarker and surrogate endpoint validation studies (if available)</w:t>
      </w:r>
    </w:p>
    <w:p>
      <w:pPr>
        <w:spacing w:after="120" w:line="360"/>
      </w:pPr>
      <w:r>
        <w:rPr>
          <w:b/>
          <w:bCs/>
        </w:rPr>
        <w:t xml:space="preserve">Tools &amp; Databases Called:</w:t>
      </w:r>
    </w:p>
    <w:p>
      <w:pPr>
        <w:spacing w:after="120" w:line="360"/>
      </w:pPr>
      <w:r>
        <w:t xml:space="preserve">IND Application Builder: Compile CMC, pharmacology, toxicology, and clinical data into FDA-compliant IND format</w:t>
      </w:r>
    </w:p>
    <w:p>
      <w:pPr>
        <w:spacing w:after="120" w:line="360"/>
      </w:pPr>
      <w:r>
        <w:t xml:space="preserve">Rare Disease Guidance (FDA OrphanNet): Access expedited pathways: orphan drug designation, breakthrough therapy</w:t>
      </w:r>
    </w:p>
    <w:p>
      <w:pPr>
        <w:spacing w:after="120" w:line="360"/>
      </w:pPr>
      <w:r>
        <w:t xml:space="preserve">Clinical Outcome Measures Library: Identify validated neurological scales (ataxia severity, developmental quotient)</w:t>
      </w:r>
    </w:p>
    <w:p>
      <w:pPr>
        <w:spacing w:after="120" w:line="360"/>
      </w:pPr>
      <w:r>
        <w:t xml:space="preserve">Pharmacokinetic/Pharmacodynamic Modeling (NONMEM): Predict human PK/PD and simulate optimal dosing regimens</w:t>
      </w:r>
    </w:p>
    <w:p>
      <w:pPr>
        <w:spacing w:after="120" w:line="360"/>
      </w:pPr>
      <w:r>
        <w:t xml:space="preserve">Biomarker Development: Plan studies linking biomarkers (CSF GRIN2B levels, motor imaging) to clinical efficacy</w:t>
      </w:r>
    </w:p>
    <w:p>
      <w:pPr>
        <w:spacing w:after="120" w:line="360"/>
      </w:pPr>
      <w:r>
        <w:t xml:space="preserve">Health Economics &amp; Patient Engagement: Assess patient population size, willingness to enroll, healthcare burden justification</w:t>
      </w:r>
    </w:p>
    <w:p>
      <w:pPr>
        <w:spacing w:after="120" w:line="360"/>
      </w:pPr>
      <w:r>
        <w:rPr>
          <w:b/>
          <w:bCs/>
        </w:rPr>
        <w:t xml:space="preserve">Exemplary Sub-Prompts:</w:t>
      </w:r>
    </w:p>
    <w:p>
      <w:pPr>
        <w:spacing w:after="120" w:line="360"/>
      </w:pPr>
      <w:r>
        <w:t xml:space="preserve">What is the target patient population size and unmet medical need?</w:t>
      </w:r>
    </w:p>
    <w:p>
      <w:pPr>
        <w:spacing w:after="120" w:line="360"/>
      </w:pPr>
      <w:r>
        <w:t xml:space="preserve">Which natural history biomarkers (imaging, CSF, genetic) correlate with clinical severity?</w:t>
      </w:r>
    </w:p>
    <w:p>
      <w:pPr>
        <w:spacing w:after="120" w:line="360"/>
      </w:pPr>
      <w:r>
        <w:t xml:space="preserve">Can we qualify a surrogate endpoint (e.g., tremor amplitude on accelerometry) for Phase 2 efficacy?</w:t>
      </w:r>
    </w:p>
    <w:p>
      <w:pPr>
        <w:spacing w:after="120" w:line="360"/>
      </w:pPr>
      <w:r>
        <w:t xml:space="preserve">What is the optimal Phase 1 dose escalation schema based on PK/PD modeling?</w:t>
      </w:r>
    </w:p>
    <w:p>
      <w:pPr>
        <w:spacing w:after="120" w:line="360"/>
      </w:pPr>
      <w:r>
        <w:t xml:space="preserve">Should we pursue orphan drug designation and breakthrough therapy pathway?</w:t>
      </w:r>
    </w:p>
    <w:p>
      <w:pPr>
        <w:spacing w:after="120" w:line="360"/>
      </w:pPr>
      <w:r>
        <w:rPr>
          <w:b/>
          <w:bCs/>
        </w:rPr>
        <w:t xml:space="preserve">Expected Outputs:</w:t>
      </w:r>
    </w:p>
    <w:p>
      <w:pPr>
        <w:spacing w:after="120" w:line="360"/>
      </w:pPr>
      <w:r>
        <w:t xml:space="preserve">Regulatory strategy document (IND vs EMA CTA pathway, timelines)</w:t>
      </w:r>
    </w:p>
    <w:p>
      <w:pPr>
        <w:spacing w:after="120" w:line="360"/>
      </w:pPr>
      <w:r>
        <w:t xml:space="preserve">Phase 1 clinical trial protocol (dose escalation, safety/tolerability endpoints)</w:t>
      </w:r>
    </w:p>
    <w:p>
      <w:pPr>
        <w:spacing w:after="120" w:line="360"/>
      </w:pPr>
      <w:r>
        <w:t xml:space="preserve">Phase 2 trial design (primary/secondary endpoints, inclusion/exclusion criteria, biomarkers)</w:t>
      </w:r>
    </w:p>
    <w:p>
      <w:pPr>
        <w:spacing w:after="120" w:line="360"/>
      </w:pPr>
      <w:r>
        <w:t xml:space="preserve">IND application package assembly checklist</w:t>
      </w:r>
    </w:p>
    <w:p>
      <w:pPr>
        <w:spacing w:after="120" w:line="360"/>
      </w:pPr>
      <w:r>
        <w:t xml:space="preserve">Safety monitoring plan and stopping rules for rare disease context</w:t>
      </w:r>
    </w:p>
    <w:p>
      <w:pPr>
        <w:spacing w:after="120" w:line="360"/>
      </w:pPr>
      <w:r>
        <w:t xml:space="preserve">Accelerated approval or breakthrough pathway justification document</w:t>
      </w:r>
    </w:p>
    <w:p>
      <w:pPr>
        <w:spacing w:after="120" w:line="360"/>
      </w:pPr>
      <w:r>
        <w:rPr>
          <w:b/>
          <w:bCs/>
        </w:rPr>
        <w:t xml:space="preserve">Format: </w:t>
      </w:r>
      <w:r>
        <w:t xml:space="preserve">Regulatory strategy memo and Phase 1/2 trial design synopsis; IND application assembly checklist.</w:t>
      </w:r>
    </w:p>
    <w:p>
      <w:pPr>
        <w:pStyle w:val="Heading2"/>
        <w:spacing w:after="240" w:before="240"/>
      </w:pPr>
      <w:r>
        <w:t xml:space="preserve">Tools &amp; Databases Summary</w:t>
      </w:r>
    </w:p>
    <w:p>
      <w:pPr>
        <w:spacing w:after="120" w:line="360"/>
      </w:pPr>
      <w:r>
        <w:t xml:space="preserve">ClinVar: Pathogenic variant annotation and assertion levels</w:t>
      </w:r>
    </w:p>
    <w:p>
      <w:pPr>
        <w:spacing w:after="120" w:line="360"/>
      </w:pPr>
      <w:r>
        <w:t xml:space="preserve">gnomAD: Population frequency filtering and variant prevalence</w:t>
      </w:r>
    </w:p>
    <w:p>
      <w:pPr>
        <w:spacing w:after="120" w:line="360"/>
      </w:pPr>
      <w:r>
        <w:t xml:space="preserve">OMIM &amp; Gene Cards: Phenotypic spectrum and inheritance pattern curation</w:t>
      </w:r>
    </w:p>
    <w:p>
      <w:pPr>
        <w:spacing w:after="120" w:line="360"/>
      </w:pPr>
      <w:r>
        <w:t xml:space="preserve">Quiver EP CRISPR Atlas: Native electrophysiology phenotypes for 18k+ gene perturbations</w:t>
      </w:r>
    </w:p>
    <w:p>
      <w:pPr>
        <w:spacing w:after="120" w:line="360"/>
      </w:pPr>
      <w:r>
        <w:t xml:space="preserve">Quiver Compound Library: ~3,500 small molecules pre-screened in EP assays</w:t>
      </w:r>
    </w:p>
    <w:p>
      <w:pPr>
        <w:spacing w:after="120" w:line="360"/>
      </w:pPr>
      <w:r>
        <w:t xml:space="preserve">PubMed NLM API: Literature retrieval and natural language processing for disease mechanisms</w:t>
      </w:r>
    </w:p>
    <w:p>
      <w:pPr>
        <w:spacing w:after="120" w:line="360"/>
      </w:pPr>
      <w:r>
        <w:t xml:space="preserve">Ensembl VEP: Variant effect prediction and splice site annotation</w:t>
      </w:r>
    </w:p>
    <w:p>
      <w:pPr>
        <w:spacing w:after="120" w:line="360"/>
      </w:pPr>
      <w:r>
        <w:t xml:space="preserve">PDBe &amp; AlphaFold: Protein structure retrieval and AlphaFold2 modeling</w:t>
      </w:r>
    </w:p>
    <w:p>
      <w:pPr>
        <w:spacing w:after="120" w:line="360"/>
      </w:pPr>
      <w:r>
        <w:t xml:space="preserve">ChEMBL &amp; PubChem: Prior ion channel modulators and public compound data</w:t>
      </w:r>
    </w:p>
    <w:p>
      <w:pPr>
        <w:spacing w:after="120" w:line="360"/>
      </w:pPr>
      <w:r>
        <w:t xml:space="preserve">Phenobot: Proprietary Quiver ML-based phenotype classification and compound efficacy prediction</w:t>
      </w:r>
    </w:p>
    <w:p>
      <w:pPr>
        <w:spacing w:after="120" w:line="360"/>
      </w:pPr>
      <w:r>
        <w:t xml:space="preserve">MOE / Schrödinger Suite: Molecular docking and ligand-binding predictions</w:t>
      </w:r>
    </w:p>
    <w:p>
      <w:pPr>
        <w:spacing w:after="120" w:line="360"/>
      </w:pPr>
      <w:r>
        <w:t xml:space="preserve">ADMET Predictor / StarDrop: ADME property prediction and BBB penetrance scoring</w:t>
      </w:r>
    </w:p>
    <w:p>
      <w:pPr>
        <w:spacing w:after="120" w:line="360"/>
      </w:pPr>
      <w:r>
        <w:t xml:space="preserve">LC-MS/MS &amp; Bioanalytical Methods: Pharmacokinetic compound quantification in plasma and tissue</w:t>
      </w:r>
    </w:p>
    <w:p>
      <w:pPr>
        <w:spacing w:after="120" w:line="360"/>
      </w:pPr>
      <w:r>
        <w:t xml:space="preserve">IND Application Builder: FDA-compliant regulatory documentation assembly</w:t>
      </w:r>
    </w:p>
    <w:p>
      <w:pPr>
        <w:spacing w:after="120" w:line="360"/>
      </w:pPr>
      <w:r>
        <w:t xml:space="preserve">NONMEM / PKPDsim: Pharmacokinetic and pharmacodynamic modeling and human dose prediction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2026-03-02T16:58:58.366Z</dcterms:created>
  <dcterms:modified xsi:type="dcterms:W3CDTF">2026-03-02T16:58:58.366Z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