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line="360"/>
      </w:pPr>
      <w:r>
        <w:rPr>
          <w:rFonts w:ascii="Arial" w:cs="Arial" w:eastAsia="Arial" w:hAnsi="Arial"/>
          <w:b/>
          <w:bCs/>
          <w:sz w:val="32"/>
          <w:szCs w:val="32"/>
        </w:rPr>
        <w:t xml:space="preserve">Sapphire Pipeline Workflow</w:t>
      </w:r>
    </w:p>
    <w:p>
      <w:pPr>
        <w:pStyle w:val="Heading2"/>
        <w:spacing w:after="100" w:line="360"/>
      </w:pPr>
      <w:r>
        <w:rPr>
          <w:rFonts w:ascii="Arial" w:cs="Arial" w:eastAsia="Arial" w:hAnsi="Arial"/>
          <w:b/>
          <w:bCs/>
          <w:sz w:val="28"/>
          <w:szCs w:val="28"/>
        </w:rPr>
        <w:t xml:space="preserve">Prompt: "For FOXG1 syndrome, find multi-modal rescue candidates across EP and transcriptomics."</w:t>
      </w:r>
    </w:p>
    <w:p>
      <w:pPr>
        <w:spacing w:after="100" w:line="360"/>
      </w:pPr>
      <w:r>
        <w:rPr>
          <w:rFonts w:ascii="Arial" w:cs="Arial" w:eastAsia="Arial" w:hAnsi="Arial"/>
          <w:sz w:val="24"/>
          <w:szCs w:val="24"/>
        </w:rPr>
        <w:t xml:space="preserve">This pipeline systematically discovers therapeutic rescue candidates for FOXG1 syndrome by integrating electrophysiological phenotypes with transcriptomic data. FOXG1, a forkhead transcription factor critical for forebrain development, is mutated in congenital Rett variant and related neurodevelopmental disorders. The approach leverages Quiver's EP CRISPR atlas to identify genes whose perturbation rescues abnormal neuronal firing patterns, then validates these findings against transcriptomics signatures to ensure biological coherence and multi-modal support for therapeutic intervention.</w:t>
      </w:r>
    </w:p>
    <w:p>
      <w:pPr>
        <w:pStyle w:val="Heading2"/>
        <w:spacing w:after="100" w:line="360"/>
      </w:pPr>
      <w:r>
        <w:rPr>
          <w:rFonts w:ascii="Arial" w:cs="Arial" w:eastAsia="Arial" w:hAnsi="Arial"/>
          <w:b/>
          <w:bCs/>
          <w:sz w:val="28"/>
          <w:szCs w:val="28"/>
        </w:rPr>
        <w:t xml:space="preserve">Pipeline Overview</w:t>
      </w:r>
    </w:p>
    <w:p>
      <w:pPr>
        <w:spacing w:after="100" w:line="360"/>
      </w:pPr>
      <w:r>
        <w:rPr>
          <w:rFonts w:ascii="Arial" w:cs="Arial" w:eastAsia="Arial" w:hAnsi="Arial"/>
          <w:sz w:val="24"/>
          <w:szCs w:val="24"/>
        </w:rPr>
        <w:t xml:space="preserve">The FOXG1 syndrome rescue pipeline employs a sequential multi-modal strategy: (1) phenotypic characterization of FOXG1-deficient neurons via EP, (2) identification of candidate rescue genes from the EP atlas, (3) transcriptomic validation and mechanism exploration, (4) functional testing in disease models, (5) chemical space prioritization, and (6) clinical translation assessment. Each stage integrates quantitative metrics, statistical thresholds, and domain expertise to rank and advance the most promising candidates while maintaining scientific rigor and therapeutic potential.</w:t>
      </w:r>
    </w:p>
    <w:p>
      <w:pPr>
        <w:spacing w:after="100" w:line="360"/>
      </w:pPr>
      <w:r>
        <w:rPr>
          <w:rFonts w:ascii="Arial" w:cs="Arial" w:eastAsia="Arial" w:hAnsi="Arial"/>
          <w:sz w:val="24"/>
          <w:szCs w:val="24"/>
        </w:rPr>
        <w:t xml:space="preserve">Success depends on leveraging both the ~18,000 gene perturbation records and 500+ electrophysiological features per neuron in the Quiver atlas, combined with cross-validation via transcriptomic signatures to ensure that identified rescue candidates address root-cause pathology rather than symptomatic features alone.</w:t>
      </w:r>
    </w:p>
    <w:p>
      <w:pPr>
        <w:pStyle w:val="Heading2"/>
        <w:spacing w:after="100" w:line="360"/>
      </w:pPr>
      <w:r>
        <w:rPr>
          <w:rFonts w:ascii="Arial" w:cs="Arial" w:eastAsia="Arial" w:hAnsi="Arial"/>
          <w:b/>
          <w:bCs/>
          <w:sz w:val="28"/>
          <w:szCs w:val="28"/>
        </w:rPr>
        <w:t xml:space="preserve">Stage 1: Phenotypic Characterization of FOXG1-Deficient Neurons</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Define the electrophysiological signature of FOXG1-deficient neurons and quantify deviation from WT controls across multiple EP features.</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FOXG1-deficient iPSC-derived cortical neurons (patient-derived or isogenic control lines)</w:t>
      </w:r>
    </w:p>
    <w:p>
      <w:pPr>
        <w:pStyle w:val="ListParagraph"/>
        <w:numPr>
          <w:ilvl w:val="0"/>
          <w:numId w:val="1"/>
        </w:numPr>
        <w:spacing w:after="80" w:line="360"/>
      </w:pPr>
      <w:r>
        <w:rPr>
          <w:rFonts w:ascii="Arial" w:cs="Arial" w:eastAsia="Arial" w:hAnsi="Arial"/>
          <w:sz w:val="24"/>
          <w:szCs w:val="24"/>
        </w:rPr>
        <w:t xml:space="preserve">Wild-type control neuron electrophysiology data from the Quiver atlas</w:t>
      </w:r>
    </w:p>
    <w:p>
      <w:pPr>
        <w:pStyle w:val="ListParagraph"/>
        <w:numPr>
          <w:ilvl w:val="0"/>
          <w:numId w:val="1"/>
        </w:numPr>
        <w:spacing w:after="80" w:line="360"/>
      </w:pPr>
      <w:r>
        <w:rPr>
          <w:rFonts w:ascii="Arial" w:cs="Arial" w:eastAsia="Arial" w:hAnsi="Arial"/>
          <w:sz w:val="24"/>
          <w:szCs w:val="24"/>
        </w:rPr>
        <w:t xml:space="preserve">Multi-electrode array (MEA) recordings or whole-cell patch-clamp data</w:t>
      </w:r>
    </w:p>
    <w:p>
      <w:pPr>
        <w:pStyle w:val="ListParagraph"/>
        <w:numPr>
          <w:ilvl w:val="0"/>
          <w:numId w:val="1"/>
        </w:numPr>
        <w:spacing w:after="80" w:line="360"/>
      </w:pPr>
      <w:r>
        <w:rPr>
          <w:rFonts w:ascii="Arial" w:cs="Arial" w:eastAsia="Arial" w:hAnsi="Arial"/>
          <w:sz w:val="24"/>
          <w:szCs w:val="24"/>
        </w:rPr>
        <w:t xml:space="preserve">Feature extraction parameters: action potential threshold, firing rate, spike latency, AP width, AHP amplitude</w:t>
      </w:r>
    </w:p>
    <w:p>
      <w:pPr>
        <w:pStyle w:val="ListParagraph"/>
        <w:numPr>
          <w:ilvl w:val="0"/>
          <w:numId w:val="1"/>
        </w:numPr>
        <w:spacing w:after="80" w:line="360"/>
      </w:pPr>
      <w:r>
        <w:rPr>
          <w:rFonts w:ascii="Arial" w:cs="Arial" w:eastAsia="Arial" w:hAnsi="Arial"/>
          <w:sz w:val="24"/>
          <w:szCs w:val="24"/>
        </w:rPr>
        <w:t xml:space="preserve">Statistical thresholds for defining significant deviation (p &lt; 0.05, fold-change &gt; 1.5)</w:t>
      </w:r>
    </w:p>
    <w:p>
      <w:pPr>
        <w:pStyle w:val="ListParagraph"/>
        <w:numPr>
          <w:ilvl w:val="0"/>
          <w:numId w:val="1"/>
        </w:numPr>
        <w:spacing w:after="80" w:line="360"/>
      </w:pPr>
      <w:r>
        <w:rPr>
          <w:rFonts w:ascii="Arial" w:cs="Arial" w:eastAsia="Arial" w:hAnsi="Arial"/>
          <w:sz w:val="24"/>
          <w:szCs w:val="24"/>
        </w:rPr>
        <w:t xml:space="preserve">Disease severity phenotypes (mild, moderate, severe mutations)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Quiver EP CRISPR Atlas (18k+ gene perturbations, 500+ features per neuron)</w:t>
      </w:r>
    </w:p>
    <w:p>
      <w:pPr>
        <w:pStyle w:val="ListParagraph"/>
        <w:numPr>
          <w:ilvl w:val="0"/>
          <w:numId w:val="1"/>
        </w:numPr>
        <w:spacing w:after="80" w:line="360"/>
      </w:pPr>
      <w:r>
        <w:rPr>
          <w:rFonts w:ascii="Arial" w:cs="Arial" w:eastAsia="Arial" w:hAnsi="Arial"/>
          <w:sz w:val="24"/>
          <w:szCs w:val="24"/>
        </w:rPr>
        <w:t xml:space="preserve">MEA analysis software (e.g., Neuroexplorer, Spike2, or custom spike sorting)</w:t>
      </w:r>
    </w:p>
    <w:p>
      <w:pPr>
        <w:pStyle w:val="ListParagraph"/>
        <w:numPr>
          <w:ilvl w:val="0"/>
          <w:numId w:val="1"/>
        </w:numPr>
        <w:spacing w:after="80" w:line="360"/>
      </w:pPr>
      <w:r>
        <w:rPr>
          <w:rFonts w:ascii="Arial" w:cs="Arial" w:eastAsia="Arial" w:hAnsi="Arial"/>
          <w:sz w:val="24"/>
          <w:szCs w:val="24"/>
        </w:rPr>
        <w:t xml:space="preserve">Electrophysiology feature extraction pipeline (Python: Neo, Elephant, or equivalent)</w:t>
      </w:r>
    </w:p>
    <w:p>
      <w:pPr>
        <w:pStyle w:val="ListParagraph"/>
        <w:numPr>
          <w:ilvl w:val="0"/>
          <w:numId w:val="1"/>
        </w:numPr>
        <w:spacing w:after="80" w:line="360"/>
      </w:pPr>
      <w:r>
        <w:rPr>
          <w:rFonts w:ascii="Arial" w:cs="Arial" w:eastAsia="Arial" w:hAnsi="Arial"/>
          <w:sz w:val="24"/>
          <w:szCs w:val="24"/>
        </w:rPr>
        <w:t xml:space="preserve">Statistical testing suite (R/Python: scipy.stats, limma, or DESeq2-equivalent for EP)</w:t>
      </w:r>
    </w:p>
    <w:p>
      <w:pPr>
        <w:pStyle w:val="ListParagraph"/>
        <w:numPr>
          <w:ilvl w:val="0"/>
          <w:numId w:val="1"/>
        </w:numPr>
        <w:spacing w:after="80" w:line="360"/>
      </w:pPr>
      <w:r>
        <w:rPr>
          <w:rFonts w:ascii="Arial" w:cs="Arial" w:eastAsia="Arial" w:hAnsi="Arial"/>
          <w:sz w:val="24"/>
          <w:szCs w:val="24"/>
        </w:rPr>
        <w:t xml:space="preserve">Machine learning clustering (K-means, hierarchical clustering to identify phenotypic subtypes)</w:t>
      </w:r>
    </w:p>
    <w:p>
      <w:pPr>
        <w:pStyle w:val="ListParagraph"/>
        <w:numPr>
          <w:ilvl w:val="0"/>
          <w:numId w:val="1"/>
        </w:numPr>
        <w:spacing w:after="80" w:line="360"/>
      </w:pPr>
      <w:r>
        <w:rPr>
          <w:rFonts w:ascii="Arial" w:cs="Arial" w:eastAsia="Arial" w:hAnsi="Arial"/>
          <w:sz w:val="24"/>
          <w:szCs w:val="24"/>
        </w:rPr>
        <w:t xml:space="preserve">Visualization tools (R: ggplot2, plotly; Python: matplotlib, seaborn)</w:t>
      </w:r>
    </w:p>
    <w:p>
      <w:pPr>
        <w:pStyle w:val="ListParagraph"/>
        <w:numPr>
          <w:ilvl w:val="0"/>
          <w:numId w:val="1"/>
        </w:numPr>
        <w:spacing w:after="80" w:line="360"/>
      </w:pPr>
      <w:r>
        <w:rPr>
          <w:rFonts w:ascii="Arial" w:cs="Arial" w:eastAsia="Arial" w:hAnsi="Arial"/>
          <w:sz w:val="24"/>
          <w:szCs w:val="24"/>
        </w:rPr>
        <w:t xml:space="preserve">Literature mining for FOXG1-specific phenotypic knowledge</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Analyze whole-cell patch-clamp recordings from FOXG1-deficient vs. WT cortical neurons. Quantify action potential properties, firing dynamics, and input resistance. Identify the top 5 most-altered features and their effect sizes.</w:t>
      </w:r>
    </w:p>
    <w:p>
      <w:pPr>
        <w:pStyle w:val="ListParagraph"/>
        <w:numPr>
          <w:ilvl w:val="0"/>
          <w:numId w:val="1"/>
        </w:numPr>
        <w:spacing w:after="80" w:line="360"/>
      </w:pPr>
      <w:r>
        <w:rPr>
          <w:rFonts w:ascii="Arial" w:cs="Arial" w:eastAsia="Arial" w:hAnsi="Arial"/>
          <w:sz w:val="24"/>
          <w:szCs w:val="24"/>
        </w:rPr>
        <w:t xml:space="preserve">Generate a heatmap of EP features across the patient-derived FOXG1 neuron population. Cluster by phenotypic similarity and highlight features with highest inter-individual variability.</w:t>
      </w:r>
    </w:p>
    <w:p>
      <w:pPr>
        <w:pStyle w:val="ListParagraph"/>
        <w:numPr>
          <w:ilvl w:val="0"/>
          <w:numId w:val="1"/>
        </w:numPr>
        <w:spacing w:after="80" w:line="360"/>
      </w:pPr>
      <w:r>
        <w:rPr>
          <w:rFonts w:ascii="Arial" w:cs="Arial" w:eastAsia="Arial" w:hAnsi="Arial"/>
          <w:sz w:val="24"/>
          <w:szCs w:val="24"/>
        </w:rPr>
        <w:t xml:space="preserve">Compare resting membrane potential, rheobase, and spike frequency-current relationships between FOXG1-deficient and WT neurons. Determine if deficient neurons are hyper- or hypo-excitable.</w:t>
      </w:r>
    </w:p>
    <w:p>
      <w:pPr>
        <w:pStyle w:val="ListParagraph"/>
        <w:numPr>
          <w:ilvl w:val="0"/>
          <w:numId w:val="1"/>
        </w:numPr>
        <w:spacing w:after="80" w:line="360"/>
      </w:pPr>
      <w:r>
        <w:rPr>
          <w:rFonts w:ascii="Arial" w:cs="Arial" w:eastAsia="Arial" w:hAnsi="Arial"/>
          <w:sz w:val="24"/>
          <w:szCs w:val="24"/>
        </w:rPr>
        <w:t xml:space="preserve">Perform principal component analysis (PCA) on the 500-feature EP dataset for FOXG1 neurons. Which PCs capture 80% of variance? Are FOXG1-deficient neurons distinct from WT in PCA space?</w:t>
      </w:r>
    </w:p>
    <w:p>
      <w:pPr>
        <w:pStyle w:val="ListParagraph"/>
        <w:numPr>
          <w:ilvl w:val="0"/>
          <w:numId w:val="1"/>
        </w:numPr>
        <w:spacing w:after="80" w:line="360"/>
      </w:pPr>
      <w:r>
        <w:rPr>
          <w:rFonts w:ascii="Arial" w:cs="Arial" w:eastAsia="Arial" w:hAnsi="Arial"/>
          <w:sz w:val="24"/>
          <w:szCs w:val="24"/>
        </w:rPr>
        <w:t xml:space="preserve">Extract and rank the top 10 EP features that best discriminate FOXG1-deficient from control neurons using random forest feature importance or SHAP values.</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quantified electrophysiological signature document including effect sizes, statistical significance, feature importance rankings, and visual comparisons (heatmaps, scatter plots, PCA) of FOXG1-deficient vs. WT neurons.</w:t>
      </w:r>
    </w:p>
    <w:p>
      <w:pPr>
        <w:pStyle w:val="ListParagraph"/>
        <w:numPr>
          <w:ilvl w:val="0"/>
          <w:numId w:val="1"/>
        </w:numPr>
        <w:spacing w:after="80" w:line="360"/>
      </w:pPr>
      <w:r>
        <w:rPr>
          <w:rFonts w:ascii="Arial" w:cs="Arial" w:eastAsia="Arial" w:hAnsi="Arial"/>
          <w:sz w:val="24"/>
          <w:szCs w:val="24"/>
        </w:rPr>
        <w:t xml:space="preserve">Ranked list of abnormal EP features with magnitude of deviation and biological interpretation</w:t>
      </w:r>
    </w:p>
    <w:p>
      <w:pPr>
        <w:pStyle w:val="ListParagraph"/>
        <w:numPr>
          <w:ilvl w:val="0"/>
          <w:numId w:val="1"/>
        </w:numPr>
        <w:spacing w:after="80" w:line="360"/>
      </w:pPr>
      <w:r>
        <w:rPr>
          <w:rFonts w:ascii="Arial" w:cs="Arial" w:eastAsia="Arial" w:hAnsi="Arial"/>
          <w:sz w:val="24"/>
          <w:szCs w:val="24"/>
        </w:rPr>
        <w:t xml:space="preserve">Phenotypic subtype classification (if applicable) with severity stratification</w:t>
      </w:r>
    </w:p>
    <w:p>
      <w:pPr>
        <w:pStyle w:val="ListParagraph"/>
        <w:numPr>
          <w:ilvl w:val="0"/>
          <w:numId w:val="1"/>
        </w:numPr>
        <w:spacing w:after="80" w:line="360"/>
      </w:pPr>
      <w:r>
        <w:rPr>
          <w:rFonts w:ascii="Arial" w:cs="Arial" w:eastAsia="Arial" w:hAnsi="Arial"/>
          <w:sz w:val="24"/>
          <w:szCs w:val="24"/>
        </w:rPr>
        <w:t xml:space="preserve">Baseline disease metrics (e.g., firing rate deviation: +40%, AP width: -15%)</w:t>
      </w:r>
    </w:p>
    <w:p>
      <w:pPr>
        <w:pStyle w:val="ListParagraph"/>
        <w:numPr>
          <w:ilvl w:val="0"/>
          <w:numId w:val="1"/>
        </w:numPr>
        <w:spacing w:after="80" w:line="360"/>
      </w:pPr>
      <w:r>
        <w:rPr>
          <w:rFonts w:ascii="Arial" w:cs="Arial" w:eastAsia="Arial" w:hAnsi="Arial"/>
          <w:sz w:val="24"/>
          <w:szCs w:val="24"/>
        </w:rPr>
        <w:t xml:space="preserve">PCA and clustering visualizations showing FOXG1 neuron distinctness</w:t>
      </w:r>
    </w:p>
    <w:p>
      <w:pPr>
        <w:pStyle w:val="ListParagraph"/>
        <w:numPr>
          <w:ilvl w:val="0"/>
          <w:numId w:val="1"/>
        </w:numPr>
        <w:spacing w:after="80" w:line="360"/>
      </w:pPr>
      <w:r>
        <w:rPr>
          <w:rFonts w:ascii="Arial" w:cs="Arial" w:eastAsia="Arial" w:hAnsi="Arial"/>
          <w:sz w:val="24"/>
          <w:szCs w:val="24"/>
        </w:rPr>
        <w:t xml:space="preserve">Statistical test results and multiple hypothesis correction summaries</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Structured report with tables of feature statistics, p-values, effect sizes, and high-resolution figures (300 dpi minimum).</w:t>
      </w:r>
    </w:p>
    <w:p>
      <w:pPr>
        <w:pStyle w:val="Heading2"/>
        <w:spacing w:after="100" w:line="360"/>
      </w:pPr>
      <w:r>
        <w:rPr>
          <w:rFonts w:ascii="Arial" w:cs="Arial" w:eastAsia="Arial" w:hAnsi="Arial"/>
          <w:b/>
          <w:bCs/>
          <w:sz w:val="28"/>
          <w:szCs w:val="28"/>
        </w:rPr>
        <w:t xml:space="preserve">Stage 2: EP-Based Rescue Gene Nomination</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Query the Quiver EP CRISPR atlas to identify genes whose knockdown or overexpression reverses (or reduces) the abnormal FOXG1-deficient EP phenotype.</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FOXG1-deficient phenotypic signature from Stage 1 (ranked list of abnormal features)</w:t>
      </w:r>
    </w:p>
    <w:p>
      <w:pPr>
        <w:pStyle w:val="ListParagraph"/>
        <w:numPr>
          <w:ilvl w:val="0"/>
          <w:numId w:val="1"/>
        </w:numPr>
        <w:spacing w:after="80" w:line="360"/>
      </w:pPr>
      <w:r>
        <w:rPr>
          <w:rFonts w:ascii="Arial" w:cs="Arial" w:eastAsia="Arial" w:hAnsi="Arial"/>
          <w:sz w:val="24"/>
          <w:szCs w:val="24"/>
        </w:rPr>
        <w:t xml:space="preserve">Quiver EP CRISPR atlas with ~18,000 perturbation records</w:t>
      </w:r>
    </w:p>
    <w:p>
      <w:pPr>
        <w:pStyle w:val="ListParagraph"/>
        <w:numPr>
          <w:ilvl w:val="0"/>
          <w:numId w:val="1"/>
        </w:numPr>
        <w:spacing w:after="80" w:line="360"/>
      </w:pPr>
      <w:r>
        <w:rPr>
          <w:rFonts w:ascii="Arial" w:cs="Arial" w:eastAsia="Arial" w:hAnsi="Arial"/>
          <w:sz w:val="24"/>
          <w:szCs w:val="24"/>
        </w:rPr>
        <w:t xml:space="preserve">Phenotypic matching criteria: direction of rescue (e.g., if FOXG1-deficient neurons are hyperexcitable, seek genes whose knockdown reduces firing)</w:t>
      </w:r>
    </w:p>
    <w:p>
      <w:pPr>
        <w:pStyle w:val="ListParagraph"/>
        <w:numPr>
          <w:ilvl w:val="0"/>
          <w:numId w:val="1"/>
        </w:numPr>
        <w:spacing w:after="80" w:line="360"/>
      </w:pPr>
      <w:r>
        <w:rPr>
          <w:rFonts w:ascii="Arial" w:cs="Arial" w:eastAsia="Arial" w:hAnsi="Arial"/>
          <w:sz w:val="24"/>
          <w:szCs w:val="24"/>
        </w:rPr>
        <w:t xml:space="preserve">Statistical threshold for rescue success (e.g., phenotype shifted &gt;50% toward WT, p &lt; 0.01)</w:t>
      </w:r>
    </w:p>
    <w:p>
      <w:pPr>
        <w:pStyle w:val="ListParagraph"/>
        <w:numPr>
          <w:ilvl w:val="0"/>
          <w:numId w:val="1"/>
        </w:numPr>
        <w:spacing w:after="80" w:line="360"/>
      </w:pPr>
      <w:r>
        <w:rPr>
          <w:rFonts w:ascii="Arial" w:cs="Arial" w:eastAsia="Arial" w:hAnsi="Arial"/>
          <w:sz w:val="24"/>
          <w:szCs w:val="24"/>
        </w:rPr>
        <w:t xml:space="preserve">Functional pathway knowledge (TF networks, chromatin remodeling, ion channels, synaptic genes)</w:t>
      </w:r>
    </w:p>
    <w:p>
      <w:pPr>
        <w:pStyle w:val="ListParagraph"/>
        <w:numPr>
          <w:ilvl w:val="0"/>
          <w:numId w:val="1"/>
        </w:numPr>
        <w:spacing w:after="80" w:line="360"/>
      </w:pPr>
      <w:r>
        <w:rPr>
          <w:rFonts w:ascii="Arial" w:cs="Arial" w:eastAsia="Arial" w:hAnsi="Arial"/>
          <w:sz w:val="24"/>
          <w:szCs w:val="24"/>
        </w:rPr>
        <w:t xml:space="preserve">Prior FOXG1 interactome data (protein-protein interactions, ChIP-seq targets)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Quiver EP CRISPR Atlas with full gene-perturbation phenotype matrix</w:t>
      </w:r>
    </w:p>
    <w:p>
      <w:pPr>
        <w:pStyle w:val="ListParagraph"/>
        <w:numPr>
          <w:ilvl w:val="0"/>
          <w:numId w:val="1"/>
        </w:numPr>
        <w:spacing w:after="80" w:line="360"/>
      </w:pPr>
      <w:r>
        <w:rPr>
          <w:rFonts w:ascii="Arial" w:cs="Arial" w:eastAsia="Arial" w:hAnsi="Arial"/>
          <w:sz w:val="24"/>
          <w:szCs w:val="24"/>
        </w:rPr>
        <w:t xml:space="preserve">Phenotypic distance metrics (Euclidean distance, cosine similarity, or custom disease-distance algorithms)</w:t>
      </w:r>
    </w:p>
    <w:p>
      <w:pPr>
        <w:pStyle w:val="ListParagraph"/>
        <w:numPr>
          <w:ilvl w:val="0"/>
          <w:numId w:val="1"/>
        </w:numPr>
        <w:spacing w:after="80" w:line="360"/>
      </w:pPr>
      <w:r>
        <w:rPr>
          <w:rFonts w:ascii="Arial" w:cs="Arial" w:eastAsia="Arial" w:hAnsi="Arial"/>
          <w:sz w:val="24"/>
          <w:szCs w:val="24"/>
        </w:rPr>
        <w:t xml:space="preserve">Gene ontology and pathway databases (GO, KEGG, Reactome, STRING for protein interactions)</w:t>
      </w:r>
    </w:p>
    <w:p>
      <w:pPr>
        <w:pStyle w:val="ListParagraph"/>
        <w:numPr>
          <w:ilvl w:val="0"/>
          <w:numId w:val="1"/>
        </w:numPr>
        <w:spacing w:after="80" w:line="360"/>
      </w:pPr>
      <w:r>
        <w:rPr>
          <w:rFonts w:ascii="Arial" w:cs="Arial" w:eastAsia="Arial" w:hAnsi="Arial"/>
          <w:sz w:val="24"/>
          <w:szCs w:val="24"/>
        </w:rPr>
        <w:t xml:space="preserve">FOXG1 ChIP-seq and transcriptomic databases (GEO, ENCODE, or tissue-specific sources)</w:t>
      </w:r>
    </w:p>
    <w:p>
      <w:pPr>
        <w:pStyle w:val="ListParagraph"/>
        <w:numPr>
          <w:ilvl w:val="0"/>
          <w:numId w:val="1"/>
        </w:numPr>
        <w:spacing w:after="80" w:line="360"/>
      </w:pPr>
      <w:r>
        <w:rPr>
          <w:rFonts w:ascii="Arial" w:cs="Arial" w:eastAsia="Arial" w:hAnsi="Arial"/>
          <w:sz w:val="24"/>
          <w:szCs w:val="24"/>
        </w:rPr>
        <w:t xml:space="preserve">Literature mining and text-based drug target discovery tools</w:t>
      </w:r>
    </w:p>
    <w:p>
      <w:pPr>
        <w:pStyle w:val="ListParagraph"/>
        <w:numPr>
          <w:ilvl w:val="0"/>
          <w:numId w:val="1"/>
        </w:numPr>
        <w:spacing w:after="80" w:line="360"/>
      </w:pPr>
      <w:r>
        <w:rPr>
          <w:rFonts w:ascii="Arial" w:cs="Arial" w:eastAsia="Arial" w:hAnsi="Arial"/>
          <w:sz w:val="24"/>
          <w:szCs w:val="24"/>
        </w:rPr>
        <w:t xml:space="preserve">Ranking algorithms (e.g., NDCG, iterative scoring based on multiple criteria)</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Compare the FOXG1-deficient EP signature to all 18,000 perturbed genes in the Quiver atlas. Identify genes whose perturbation phenotype is most opposite to FOXG1-deficient (rescue direction). Rank top 100 candidates by phenotypic distance.</w:t>
      </w:r>
    </w:p>
    <w:p>
      <w:pPr>
        <w:pStyle w:val="ListParagraph"/>
        <w:numPr>
          <w:ilvl w:val="0"/>
          <w:numId w:val="1"/>
        </w:numPr>
        <w:spacing w:after="80" w:line="360"/>
      </w:pPr>
      <w:r>
        <w:rPr>
          <w:rFonts w:ascii="Arial" w:cs="Arial" w:eastAsia="Arial" w:hAnsi="Arial"/>
          <w:sz w:val="24"/>
          <w:szCs w:val="24"/>
        </w:rPr>
        <w:t xml:space="preserve">Among the top rescue gene candidates, filter for those enriched in forebrain development pathways, transcriptional regulation, or chromatin remodeling. Prioritize genes with ChIP-seq evidence of FOXG1 binding or co-expression with FOXG1 targets.</w:t>
      </w:r>
    </w:p>
    <w:p>
      <w:pPr>
        <w:pStyle w:val="ListParagraph"/>
        <w:numPr>
          <w:ilvl w:val="0"/>
          <w:numId w:val="1"/>
        </w:numPr>
        <w:spacing w:after="80" w:line="360"/>
      </w:pPr>
      <w:r>
        <w:rPr>
          <w:rFonts w:ascii="Arial" w:cs="Arial" w:eastAsia="Arial" w:hAnsi="Arial"/>
          <w:sz w:val="24"/>
          <w:szCs w:val="24"/>
        </w:rPr>
        <w:t xml:space="preserve">Perform multi-feature rescue scoring: for each gene, calculate the fraction of abnormal FOXG1 features that are rescued by perturbation. Rank by rescue breadth (features rescued) and depth (magnitude of rescue per feature).</w:t>
      </w:r>
    </w:p>
    <w:p>
      <w:pPr>
        <w:pStyle w:val="ListParagraph"/>
        <w:numPr>
          <w:ilvl w:val="0"/>
          <w:numId w:val="1"/>
        </w:numPr>
        <w:spacing w:after="80" w:line="360"/>
      </w:pPr>
      <w:r>
        <w:rPr>
          <w:rFonts w:ascii="Arial" w:cs="Arial" w:eastAsia="Arial" w:hAnsi="Arial"/>
          <w:sz w:val="24"/>
          <w:szCs w:val="24"/>
        </w:rPr>
        <w:t xml:space="preserve">Cross-validate rescue gene nominations against known FOXG1 pathway members (SOX2, EMX1, PAX6). Are these genes in the top candidates? If not, investigate why.</w:t>
      </w:r>
    </w:p>
    <w:p>
      <w:pPr>
        <w:pStyle w:val="ListParagraph"/>
        <w:numPr>
          <w:ilvl w:val="0"/>
          <w:numId w:val="1"/>
        </w:numPr>
        <w:spacing w:after="80" w:line="360"/>
      </w:pPr>
      <w:r>
        <w:rPr>
          <w:rFonts w:ascii="Arial" w:cs="Arial" w:eastAsia="Arial" w:hAnsi="Arial"/>
          <w:sz w:val="24"/>
          <w:szCs w:val="24"/>
        </w:rPr>
        <w:t xml:space="preserve">Generate a network diagram showing FOXG1, top 20 rescue candidates, and predicted functional interactions. Highlight candidates with lowest off-target risk.</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prioritized list of EP-based rescue gene candidates with phenotypic rescue metrics, ranking scores, pathway annotations, and predicted mechanisms.</w:t>
      </w:r>
    </w:p>
    <w:p>
      <w:pPr>
        <w:pStyle w:val="ListParagraph"/>
        <w:numPr>
          <w:ilvl w:val="0"/>
          <w:numId w:val="1"/>
        </w:numPr>
        <w:spacing w:after="80" w:line="360"/>
      </w:pPr>
      <w:r>
        <w:rPr>
          <w:rFonts w:ascii="Arial" w:cs="Arial" w:eastAsia="Arial" w:hAnsi="Arial"/>
          <w:sz w:val="24"/>
          <w:szCs w:val="24"/>
        </w:rPr>
        <w:t xml:space="preserve">Top 100 EP rescue candidate genes ranked by phenotypic distance and rescue magnitude</w:t>
      </w:r>
    </w:p>
    <w:p>
      <w:pPr>
        <w:pStyle w:val="ListParagraph"/>
        <w:numPr>
          <w:ilvl w:val="0"/>
          <w:numId w:val="1"/>
        </w:numPr>
        <w:spacing w:after="80" w:line="360"/>
      </w:pPr>
      <w:r>
        <w:rPr>
          <w:rFonts w:ascii="Arial" w:cs="Arial" w:eastAsia="Arial" w:hAnsi="Arial"/>
          <w:sz w:val="24"/>
          <w:szCs w:val="24"/>
        </w:rPr>
        <w:t xml:space="preserve">For each top 20 candidate: rescue score, direction of perturbation (KD vs OE), features rescued, pathway annotations</w:t>
      </w:r>
    </w:p>
    <w:p>
      <w:pPr>
        <w:pStyle w:val="ListParagraph"/>
        <w:numPr>
          <w:ilvl w:val="0"/>
          <w:numId w:val="1"/>
        </w:numPr>
        <w:spacing w:after="80" w:line="360"/>
      </w:pPr>
      <w:r>
        <w:rPr>
          <w:rFonts w:ascii="Arial" w:cs="Arial" w:eastAsia="Arial" w:hAnsi="Arial"/>
          <w:sz w:val="24"/>
          <w:szCs w:val="24"/>
        </w:rPr>
        <w:t xml:space="preserve">Multi-criteria ranking considering rescue breadth, depth, pathway enrichment, and off-target risk</w:t>
      </w:r>
    </w:p>
    <w:p>
      <w:pPr>
        <w:pStyle w:val="ListParagraph"/>
        <w:numPr>
          <w:ilvl w:val="0"/>
          <w:numId w:val="1"/>
        </w:numPr>
        <w:spacing w:after="80" w:line="360"/>
      </w:pPr>
      <w:r>
        <w:rPr>
          <w:rFonts w:ascii="Arial" w:cs="Arial" w:eastAsia="Arial" w:hAnsi="Arial"/>
          <w:sz w:val="24"/>
          <w:szCs w:val="24"/>
        </w:rPr>
        <w:t xml:space="preserve">FOXG1 interaction network with predicted functional relationships</w:t>
      </w:r>
    </w:p>
    <w:p>
      <w:pPr>
        <w:pStyle w:val="ListParagraph"/>
        <w:numPr>
          <w:ilvl w:val="0"/>
          <w:numId w:val="1"/>
        </w:numPr>
        <w:spacing w:after="80" w:line="360"/>
      </w:pPr>
      <w:r>
        <w:rPr>
          <w:rFonts w:ascii="Arial" w:cs="Arial" w:eastAsia="Arial" w:hAnsi="Arial"/>
          <w:sz w:val="24"/>
          <w:szCs w:val="24"/>
        </w:rPr>
        <w:t xml:space="preserve">Confidence scores and sensitivity analyses for ranking</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Ranked candidate table (gene name, rescue score, direction, features rescued, pathways, confidence), network visualizations, and summary statistics.</w:t>
      </w:r>
    </w:p>
    <w:p>
      <w:pPr>
        <w:pStyle w:val="Heading2"/>
        <w:spacing w:after="100" w:line="360"/>
      </w:pPr>
      <w:r>
        <w:rPr>
          <w:rFonts w:ascii="Arial" w:cs="Arial" w:eastAsia="Arial" w:hAnsi="Arial"/>
          <w:b/>
          <w:bCs/>
          <w:sz w:val="28"/>
          <w:szCs w:val="28"/>
        </w:rPr>
        <w:t xml:space="preserve">Stage 3: Transcriptomic Validation and Mechanism Elucidation</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Validate EP-based rescue candidates using transcriptomic data; confirm that gene perturbation causes predicted transcriptomic changes and that these are consistent with FOXG1 biology.</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EP-based rescue gene list from Stage 2 (top 50-100 candidates)</w:t>
      </w:r>
    </w:p>
    <w:p>
      <w:pPr>
        <w:pStyle w:val="ListParagraph"/>
        <w:numPr>
          <w:ilvl w:val="0"/>
          <w:numId w:val="1"/>
        </w:numPr>
        <w:spacing w:after="80" w:line="360"/>
      </w:pPr>
      <w:r>
        <w:rPr>
          <w:rFonts w:ascii="Arial" w:cs="Arial" w:eastAsia="Arial" w:hAnsi="Arial"/>
          <w:sz w:val="24"/>
          <w:szCs w:val="24"/>
        </w:rPr>
        <w:t xml:space="preserve">FOXG1-deficient neuron transcriptomics (RNA-seq, single-cell RNA-seq, or microarray data)</w:t>
      </w:r>
    </w:p>
    <w:p>
      <w:pPr>
        <w:pStyle w:val="ListParagraph"/>
        <w:numPr>
          <w:ilvl w:val="0"/>
          <w:numId w:val="1"/>
        </w:numPr>
        <w:spacing w:after="80" w:line="360"/>
      </w:pPr>
      <w:r>
        <w:rPr>
          <w:rFonts w:ascii="Arial" w:cs="Arial" w:eastAsia="Arial" w:hAnsi="Arial"/>
          <w:sz w:val="24"/>
          <w:szCs w:val="24"/>
        </w:rPr>
        <w:t xml:space="preserve">Perturbation-specific transcriptomics for candidate genes (from Quiver or public databases)</w:t>
      </w:r>
    </w:p>
    <w:p>
      <w:pPr>
        <w:pStyle w:val="ListParagraph"/>
        <w:numPr>
          <w:ilvl w:val="0"/>
          <w:numId w:val="1"/>
        </w:numPr>
        <w:spacing w:after="80" w:line="360"/>
      </w:pPr>
      <w:r>
        <w:rPr>
          <w:rFonts w:ascii="Arial" w:cs="Arial" w:eastAsia="Arial" w:hAnsi="Arial"/>
          <w:sz w:val="24"/>
          <w:szCs w:val="24"/>
        </w:rPr>
        <w:t xml:space="preserve">FOXG1 ChIP-seq peaks and known transcriptional targets</w:t>
      </w:r>
    </w:p>
    <w:p>
      <w:pPr>
        <w:pStyle w:val="ListParagraph"/>
        <w:numPr>
          <w:ilvl w:val="0"/>
          <w:numId w:val="1"/>
        </w:numPr>
        <w:spacing w:after="80" w:line="360"/>
      </w:pPr>
      <w:r>
        <w:rPr>
          <w:rFonts w:ascii="Arial" w:cs="Arial" w:eastAsia="Arial" w:hAnsi="Arial"/>
          <w:sz w:val="24"/>
          <w:szCs w:val="24"/>
        </w:rPr>
        <w:t xml:space="preserve">Forebrain development gene signatures (e.g., cortical patterning genes, neural progenitor markers)</w:t>
      </w:r>
    </w:p>
    <w:p>
      <w:pPr>
        <w:pStyle w:val="ListParagraph"/>
        <w:numPr>
          <w:ilvl w:val="0"/>
          <w:numId w:val="1"/>
        </w:numPr>
        <w:spacing w:after="80" w:line="360"/>
      </w:pPr>
      <w:r>
        <w:rPr>
          <w:rFonts w:ascii="Arial" w:cs="Arial" w:eastAsia="Arial" w:hAnsi="Arial"/>
          <w:sz w:val="24"/>
          <w:szCs w:val="24"/>
        </w:rPr>
        <w:t xml:space="preserve">Co-expression networks and functional gene modules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RNA-seq analysis pipeline (alignment, quantification, normalization: STAR, HTSeq, or kallisto)</w:t>
      </w:r>
    </w:p>
    <w:p>
      <w:pPr>
        <w:pStyle w:val="ListParagraph"/>
        <w:numPr>
          <w:ilvl w:val="0"/>
          <w:numId w:val="1"/>
        </w:numPr>
        <w:spacing w:after="80" w:line="360"/>
      </w:pPr>
      <w:r>
        <w:rPr>
          <w:rFonts w:ascii="Arial" w:cs="Arial" w:eastAsia="Arial" w:hAnsi="Arial"/>
          <w:sz w:val="24"/>
          <w:szCs w:val="24"/>
        </w:rPr>
        <w:t xml:space="preserve">Differential expression testing (DESeq2, edgeR, limma-voom for bulk; Seurat, scanpy for scRNA-seq)</w:t>
      </w:r>
    </w:p>
    <w:p>
      <w:pPr>
        <w:pStyle w:val="ListParagraph"/>
        <w:numPr>
          <w:ilvl w:val="0"/>
          <w:numId w:val="1"/>
        </w:numPr>
        <w:spacing w:after="80" w:line="360"/>
      </w:pPr>
      <w:r>
        <w:rPr>
          <w:rFonts w:ascii="Arial" w:cs="Arial" w:eastAsia="Arial" w:hAnsi="Arial"/>
          <w:sz w:val="24"/>
          <w:szCs w:val="24"/>
        </w:rPr>
        <w:t xml:space="preserve">Gene signature scoring tools (GSVA, ssGSEA, AUCell for pathway/module scoring)</w:t>
      </w:r>
    </w:p>
    <w:p>
      <w:pPr>
        <w:pStyle w:val="ListParagraph"/>
        <w:numPr>
          <w:ilvl w:val="0"/>
          <w:numId w:val="1"/>
        </w:numPr>
        <w:spacing w:after="80" w:line="360"/>
      </w:pPr>
      <w:r>
        <w:rPr>
          <w:rFonts w:ascii="Arial" w:cs="Arial" w:eastAsia="Arial" w:hAnsi="Arial"/>
          <w:sz w:val="24"/>
          <w:szCs w:val="24"/>
        </w:rPr>
        <w:t xml:space="preserve">ChIP-seq peak annotation and motif analysis (HOMER, MEME, BED tools)</w:t>
      </w:r>
    </w:p>
    <w:p>
      <w:pPr>
        <w:pStyle w:val="ListParagraph"/>
        <w:numPr>
          <w:ilvl w:val="0"/>
          <w:numId w:val="1"/>
        </w:numPr>
        <w:spacing w:after="80" w:line="360"/>
      </w:pPr>
      <w:r>
        <w:rPr>
          <w:rFonts w:ascii="Arial" w:cs="Arial" w:eastAsia="Arial" w:hAnsi="Arial"/>
          <w:sz w:val="24"/>
          <w:szCs w:val="24"/>
        </w:rPr>
        <w:t xml:space="preserve">Co-expression network analysis (WGCNA, Cytoscape)</w:t>
      </w:r>
    </w:p>
    <w:p>
      <w:pPr>
        <w:pStyle w:val="ListParagraph"/>
        <w:numPr>
          <w:ilvl w:val="0"/>
          <w:numId w:val="1"/>
        </w:numPr>
        <w:spacing w:after="80" w:line="360"/>
      </w:pPr>
      <w:r>
        <w:rPr>
          <w:rFonts w:ascii="Arial" w:cs="Arial" w:eastAsia="Arial" w:hAnsi="Arial"/>
          <w:sz w:val="24"/>
          <w:szCs w:val="24"/>
        </w:rPr>
        <w:t xml:space="preserve">Causal inference tools (if applicable: Bayesian networks, instrumental variables)</w:t>
      </w:r>
    </w:p>
    <w:p>
      <w:pPr>
        <w:pStyle w:val="ListParagraph"/>
        <w:numPr>
          <w:ilvl w:val="0"/>
          <w:numId w:val="1"/>
        </w:numPr>
        <w:spacing w:after="80" w:line="360"/>
      </w:pPr>
      <w:r>
        <w:rPr>
          <w:rFonts w:ascii="Arial" w:cs="Arial" w:eastAsia="Arial" w:hAnsi="Arial"/>
          <w:sz w:val="24"/>
          <w:szCs w:val="24"/>
        </w:rPr>
        <w:t xml:space="preserve">Literature and database integration (GeneCards, DisGeNET, OMIM for gene-disease links)</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For each top 20 EP rescue candidate, query transcriptomics databases for perturbation-induced expression changes. Do perturbations cause expected directional changes (e.g., if KD rescues, does KD expression data show expected patterns)?</w:t>
      </w:r>
    </w:p>
    <w:p>
      <w:pPr>
        <w:pStyle w:val="ListParagraph"/>
        <w:numPr>
          <w:ilvl w:val="0"/>
          <w:numId w:val="1"/>
        </w:numPr>
        <w:spacing w:after="80" w:line="360"/>
      </w:pPr>
      <w:r>
        <w:rPr>
          <w:rFonts w:ascii="Arial" w:cs="Arial" w:eastAsia="Arial" w:hAnsi="Arial"/>
          <w:sz w:val="24"/>
          <w:szCs w:val="24"/>
        </w:rPr>
        <w:t xml:space="preserve">Compare the transcriptomic signature of FOXG1-deficient neurons to that of control neurons. Identify the most dysregulated genes and pathways. Do these overlap with predicted target genes of the EP rescue candidates?</w:t>
      </w:r>
    </w:p>
    <w:p>
      <w:pPr>
        <w:pStyle w:val="ListParagraph"/>
        <w:numPr>
          <w:ilvl w:val="0"/>
          <w:numId w:val="1"/>
        </w:numPr>
        <w:spacing w:after="80" w:line="360"/>
      </w:pPr>
      <w:r>
        <w:rPr>
          <w:rFonts w:ascii="Arial" w:cs="Arial" w:eastAsia="Arial" w:hAnsi="Arial"/>
          <w:sz w:val="24"/>
          <w:szCs w:val="24"/>
        </w:rPr>
        <w:t xml:space="preserve">For each rescue candidate, perform pathway enrichment analysis on its known transcriptional targets (from ChIP-seq or co-expression). Are rescue candidates enriched for regulating forebrain development, neuronal differentiation, or E/I balance genes?</w:t>
      </w:r>
    </w:p>
    <w:p>
      <w:pPr>
        <w:pStyle w:val="ListParagraph"/>
        <w:numPr>
          <w:ilvl w:val="0"/>
          <w:numId w:val="1"/>
        </w:numPr>
        <w:spacing w:after="80" w:line="360"/>
      </w:pPr>
      <w:r>
        <w:rPr>
          <w:rFonts w:ascii="Arial" w:cs="Arial" w:eastAsia="Arial" w:hAnsi="Arial"/>
          <w:sz w:val="24"/>
          <w:szCs w:val="24"/>
        </w:rPr>
        <w:t xml:space="preserve">Build a transcriptomic co-expression network for FOXG1 neurons. Identify gene modules associated with the abnormal phenotype. Are rescue candidates upstream regulators of disease-associated modules?</w:t>
      </w:r>
    </w:p>
    <w:p>
      <w:pPr>
        <w:pStyle w:val="ListParagraph"/>
        <w:numPr>
          <w:ilvl w:val="0"/>
          <w:numId w:val="1"/>
        </w:numPr>
        <w:spacing w:after="80" w:line="360"/>
      </w:pPr>
      <w:r>
        <w:rPr>
          <w:rFonts w:ascii="Arial" w:cs="Arial" w:eastAsia="Arial" w:hAnsi="Arial"/>
          <w:sz w:val="24"/>
          <w:szCs w:val="24"/>
        </w:rPr>
        <w:t xml:space="preserve">Perform mechanistic prediction: if Candidate Gene X is perturbed, what are its top 50 transcriptional targets? Do these targets include genes that, when perturbed in the EP atlas, also rescue the FOXG1 phenotype?</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validated list of rescue candidates with transcriptomic support, predicted mechanisms, and mechanistic prioritization.</w:t>
      </w:r>
    </w:p>
    <w:p>
      <w:pPr>
        <w:pStyle w:val="ListParagraph"/>
        <w:numPr>
          <w:ilvl w:val="0"/>
          <w:numId w:val="1"/>
        </w:numPr>
        <w:spacing w:after="80" w:line="360"/>
      </w:pPr>
      <w:r>
        <w:rPr>
          <w:rFonts w:ascii="Arial" w:cs="Arial" w:eastAsia="Arial" w:hAnsi="Arial"/>
          <w:sz w:val="24"/>
          <w:szCs w:val="24"/>
        </w:rPr>
        <w:t xml:space="preserve">Validation table showing correlation between EP perturbation effects and transcriptomic changes</w:t>
      </w:r>
    </w:p>
    <w:p>
      <w:pPr>
        <w:pStyle w:val="ListParagraph"/>
        <w:numPr>
          <w:ilvl w:val="0"/>
          <w:numId w:val="1"/>
        </w:numPr>
        <w:spacing w:after="80" w:line="360"/>
      </w:pPr>
      <w:r>
        <w:rPr>
          <w:rFonts w:ascii="Arial" w:cs="Arial" w:eastAsia="Arial" w:hAnsi="Arial"/>
          <w:sz w:val="24"/>
          <w:szCs w:val="24"/>
        </w:rPr>
        <w:t xml:space="preserve">Mechanistic predictions for top 20 candidates (predicted targets, pathway effects, expected phenotypic outcomes)</w:t>
      </w:r>
    </w:p>
    <w:p>
      <w:pPr>
        <w:pStyle w:val="ListParagraph"/>
        <w:numPr>
          <w:ilvl w:val="0"/>
          <w:numId w:val="1"/>
        </w:numPr>
        <w:spacing w:after="80" w:line="360"/>
      </w:pPr>
      <w:r>
        <w:rPr>
          <w:rFonts w:ascii="Arial" w:cs="Arial" w:eastAsia="Arial" w:hAnsi="Arial"/>
          <w:sz w:val="24"/>
          <w:szCs w:val="24"/>
        </w:rPr>
        <w:t xml:space="preserve">Co-expression network analysis with rescue candidates highlighted as hub genes</w:t>
      </w:r>
    </w:p>
    <w:p>
      <w:pPr>
        <w:pStyle w:val="ListParagraph"/>
        <w:numPr>
          <w:ilvl w:val="0"/>
          <w:numId w:val="1"/>
        </w:numPr>
        <w:spacing w:after="80" w:line="360"/>
      </w:pPr>
      <w:r>
        <w:rPr>
          <w:rFonts w:ascii="Arial" w:cs="Arial" w:eastAsia="Arial" w:hAnsi="Arial"/>
          <w:sz w:val="24"/>
          <w:szCs w:val="24"/>
        </w:rPr>
        <w:t xml:space="preserve">Pathway enrichment results for rescue candidate targets</w:t>
      </w:r>
    </w:p>
    <w:p>
      <w:pPr>
        <w:pStyle w:val="ListParagraph"/>
        <w:numPr>
          <w:ilvl w:val="0"/>
          <w:numId w:val="1"/>
        </w:numPr>
        <w:spacing w:after="80" w:line="360"/>
      </w:pPr>
      <w:r>
        <w:rPr>
          <w:rFonts w:ascii="Arial" w:cs="Arial" w:eastAsia="Arial" w:hAnsi="Arial"/>
          <w:sz w:val="24"/>
          <w:szCs w:val="24"/>
        </w:rPr>
        <w:t xml:space="preserve">Transcriptomic module assignments and disease-relevance scoring</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Validation report with mechanistic figures (pathway diagrams, co-expression networks, heatmaps), enrichment tables, and confidence assessments.</w:t>
      </w:r>
    </w:p>
    <w:p>
      <w:pPr>
        <w:pStyle w:val="Heading2"/>
        <w:spacing w:after="100" w:line="360"/>
      </w:pPr>
      <w:r>
        <w:rPr>
          <w:rFonts w:ascii="Arial" w:cs="Arial" w:eastAsia="Arial" w:hAnsi="Arial"/>
          <w:b/>
          <w:bCs/>
          <w:sz w:val="28"/>
          <w:szCs w:val="28"/>
        </w:rPr>
        <w:t xml:space="preserve">Stage 4: Functional Testing in Disease Models</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Experimentally validate top transcriptomic-confirmed rescue candidates in relevant FOXG1 disease models to confirm phenotypic rescue and rule out false positives.</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Top 10-15 transcriptomically validated rescue candidates from Stage 3</w:t>
      </w:r>
    </w:p>
    <w:p>
      <w:pPr>
        <w:pStyle w:val="ListParagraph"/>
        <w:numPr>
          <w:ilvl w:val="0"/>
          <w:numId w:val="1"/>
        </w:numPr>
        <w:spacing w:after="80" w:line="360"/>
      </w:pPr>
      <w:r>
        <w:rPr>
          <w:rFonts w:ascii="Arial" w:cs="Arial" w:eastAsia="Arial" w:hAnsi="Arial"/>
          <w:sz w:val="24"/>
          <w:szCs w:val="24"/>
        </w:rPr>
        <w:t xml:space="preserve">FOXG1-deficient disease model neurons (patient iPSC, mouse FOXG1 KO, or engineered lines)</w:t>
      </w:r>
    </w:p>
    <w:p>
      <w:pPr>
        <w:pStyle w:val="ListParagraph"/>
        <w:numPr>
          <w:ilvl w:val="0"/>
          <w:numId w:val="1"/>
        </w:numPr>
        <w:spacing w:after="80" w:line="360"/>
      </w:pPr>
      <w:r>
        <w:rPr>
          <w:rFonts w:ascii="Arial" w:cs="Arial" w:eastAsia="Arial" w:hAnsi="Arial"/>
          <w:sz w:val="24"/>
          <w:szCs w:val="24"/>
        </w:rPr>
        <w:t xml:space="preserve">Detailed EP and molecular phenotypic assays (whole-cell patch-clamp, MEA, calcium imaging)</w:t>
      </w:r>
    </w:p>
    <w:p>
      <w:pPr>
        <w:pStyle w:val="ListParagraph"/>
        <w:numPr>
          <w:ilvl w:val="0"/>
          <w:numId w:val="1"/>
        </w:numPr>
        <w:spacing w:after="80" w:line="360"/>
      </w:pPr>
      <w:r>
        <w:rPr>
          <w:rFonts w:ascii="Arial" w:cs="Arial" w:eastAsia="Arial" w:hAnsi="Arial"/>
          <w:sz w:val="24"/>
          <w:szCs w:val="24"/>
        </w:rPr>
        <w:t xml:space="preserve">Overexpression/knockdown vectors or CRISPR reagents for candidate genes</w:t>
      </w:r>
    </w:p>
    <w:p>
      <w:pPr>
        <w:pStyle w:val="ListParagraph"/>
        <w:numPr>
          <w:ilvl w:val="0"/>
          <w:numId w:val="1"/>
        </w:numPr>
        <w:spacing w:after="80" w:line="360"/>
      </w:pPr>
      <w:r>
        <w:rPr>
          <w:rFonts w:ascii="Arial" w:cs="Arial" w:eastAsia="Arial" w:hAnsi="Arial"/>
          <w:sz w:val="24"/>
          <w:szCs w:val="24"/>
        </w:rPr>
        <w:t xml:space="preserve">Positive and negative control rescue strategies (e.g., FOXG1 re-expression as positive control)</w:t>
      </w:r>
    </w:p>
    <w:p>
      <w:pPr>
        <w:pStyle w:val="ListParagraph"/>
        <w:numPr>
          <w:ilvl w:val="0"/>
          <w:numId w:val="1"/>
        </w:numPr>
        <w:spacing w:after="80" w:line="360"/>
      </w:pPr>
      <w:r>
        <w:rPr>
          <w:rFonts w:ascii="Arial" w:cs="Arial" w:eastAsia="Arial" w:hAnsi="Arial"/>
          <w:sz w:val="24"/>
          <w:szCs w:val="24"/>
        </w:rPr>
        <w:t xml:space="preserve">Disease readouts and severity metrics (firing rate, AP shape, synchronization, gene expression changes)</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Electrophysiology recording systems (patch-clamp setup with amplifier, digitizer)</w:t>
      </w:r>
    </w:p>
    <w:p>
      <w:pPr>
        <w:pStyle w:val="ListParagraph"/>
        <w:numPr>
          <w:ilvl w:val="0"/>
          <w:numId w:val="1"/>
        </w:numPr>
        <w:spacing w:after="80" w:line="360"/>
      </w:pPr>
      <w:r>
        <w:rPr>
          <w:rFonts w:ascii="Arial" w:cs="Arial" w:eastAsia="Arial" w:hAnsi="Arial"/>
          <w:sz w:val="24"/>
          <w:szCs w:val="24"/>
        </w:rPr>
        <w:t xml:space="preserve">Multi-electrode array systems (e.g., Maestro, Muse, or equivalent)</w:t>
      </w:r>
    </w:p>
    <w:p>
      <w:pPr>
        <w:pStyle w:val="ListParagraph"/>
        <w:numPr>
          <w:ilvl w:val="0"/>
          <w:numId w:val="1"/>
        </w:numPr>
        <w:spacing w:after="80" w:line="360"/>
      </w:pPr>
      <w:r>
        <w:rPr>
          <w:rFonts w:ascii="Arial" w:cs="Arial" w:eastAsia="Arial" w:hAnsi="Arial"/>
          <w:sz w:val="24"/>
          <w:szCs w:val="24"/>
        </w:rPr>
        <w:t xml:space="preserve">Live-cell imaging platforms (confocal, two-photon for calcium/voltage imaging)</w:t>
      </w:r>
    </w:p>
    <w:p>
      <w:pPr>
        <w:pStyle w:val="ListParagraph"/>
        <w:numPr>
          <w:ilvl w:val="0"/>
          <w:numId w:val="1"/>
        </w:numPr>
        <w:spacing w:after="80" w:line="360"/>
      </w:pPr>
      <w:r>
        <w:rPr>
          <w:rFonts w:ascii="Arial" w:cs="Arial" w:eastAsia="Arial" w:hAnsi="Arial"/>
          <w:sz w:val="24"/>
          <w:szCs w:val="24"/>
        </w:rPr>
        <w:t xml:space="preserve">Gene perturbation reagents (lentiviruses, AAV, CRISPR-Cas9, morpholinos)</w:t>
      </w:r>
    </w:p>
    <w:p>
      <w:pPr>
        <w:pStyle w:val="ListParagraph"/>
        <w:numPr>
          <w:ilvl w:val="0"/>
          <w:numId w:val="1"/>
        </w:numPr>
        <w:spacing w:after="80" w:line="360"/>
      </w:pPr>
      <w:r>
        <w:rPr>
          <w:rFonts w:ascii="Arial" w:cs="Arial" w:eastAsia="Arial" w:hAnsi="Arial"/>
          <w:sz w:val="24"/>
          <w:szCs w:val="24"/>
        </w:rPr>
        <w:t xml:space="preserve">Molecular assays (Western blot, qPCR, immunohistochemistry, flow cytometry)</w:t>
      </w:r>
    </w:p>
    <w:p>
      <w:pPr>
        <w:pStyle w:val="ListParagraph"/>
        <w:numPr>
          <w:ilvl w:val="0"/>
          <w:numId w:val="1"/>
        </w:numPr>
        <w:spacing w:after="80" w:line="360"/>
      </w:pPr>
      <w:r>
        <w:rPr>
          <w:rFonts w:ascii="Arial" w:cs="Arial" w:eastAsia="Arial" w:hAnsi="Arial"/>
          <w:sz w:val="24"/>
          <w:szCs w:val="24"/>
        </w:rPr>
        <w:t xml:space="preserve">Data analysis software (custom scripts in Python/R for spike analysis, signal processing)</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In FOXG1-deficient neurons, overexpress Candidate Gene A and perform whole-cell patch-clamp recording. Measure: resting potential, AP threshold, firing rate, input resistance. Calculate the percentage rescue toward WT for each feature.</w:t>
      </w:r>
    </w:p>
    <w:p>
      <w:pPr>
        <w:pStyle w:val="ListParagraph"/>
        <w:numPr>
          <w:ilvl w:val="0"/>
          <w:numId w:val="1"/>
        </w:numPr>
        <w:spacing w:after="80" w:line="360"/>
      </w:pPr>
      <w:r>
        <w:rPr>
          <w:rFonts w:ascii="Arial" w:cs="Arial" w:eastAsia="Arial" w:hAnsi="Arial"/>
          <w:sz w:val="24"/>
          <w:szCs w:val="24"/>
        </w:rPr>
        <w:t xml:space="preserve">Use CRISPR-based knockdown of Candidate Gene B in FOXG1-deficient neurons. Perform MEA recording with stimulation protocols. Quantify changes in evoked firing, burst kinetics, and network-level synchronization. Compare to untreated FOXG1 KO controls.</w:t>
      </w:r>
    </w:p>
    <w:p>
      <w:pPr>
        <w:pStyle w:val="ListParagraph"/>
        <w:numPr>
          <w:ilvl w:val="0"/>
          <w:numId w:val="1"/>
        </w:numPr>
        <w:spacing w:after="80" w:line="360"/>
      </w:pPr>
      <w:r>
        <w:rPr>
          <w:rFonts w:ascii="Arial" w:cs="Arial" w:eastAsia="Arial" w:hAnsi="Arial"/>
          <w:sz w:val="24"/>
          <w:szCs w:val="24"/>
        </w:rPr>
        <w:t xml:space="preserve">For lead rescue candidates (A &amp; B), perform dose-response experiments. At what expression level is rescue achieved? Is there an optimal expression range or do effects plateau?</w:t>
      </w:r>
    </w:p>
    <w:p>
      <w:pPr>
        <w:pStyle w:val="ListParagraph"/>
        <w:numPr>
          <w:ilvl w:val="0"/>
          <w:numId w:val="1"/>
        </w:numPr>
        <w:spacing w:after="80" w:line="360"/>
      </w:pPr>
      <w:r>
        <w:rPr>
          <w:rFonts w:ascii="Arial" w:cs="Arial" w:eastAsia="Arial" w:hAnsi="Arial"/>
          <w:sz w:val="24"/>
          <w:szCs w:val="24"/>
        </w:rPr>
        <w:t xml:space="preserve">Combine Candidate Genes A + B in FOXG1-deficient neurons. Do effects synergize, additivize, or saturate? Measure using multi-electrode arrays.</w:t>
      </w:r>
    </w:p>
    <w:p>
      <w:pPr>
        <w:pStyle w:val="ListParagraph"/>
        <w:numPr>
          <w:ilvl w:val="0"/>
          <w:numId w:val="1"/>
        </w:numPr>
        <w:spacing w:after="80" w:line="360"/>
      </w:pPr>
      <w:r>
        <w:rPr>
          <w:rFonts w:ascii="Arial" w:cs="Arial" w:eastAsia="Arial" w:hAnsi="Arial"/>
          <w:sz w:val="24"/>
          <w:szCs w:val="24"/>
        </w:rPr>
        <w:t xml:space="preserve">Validate molecular changes: if Candidate Gene C is overexpressed in FOXG1 neurons, does expression of its predicted targets change as predicted? Use qPCR and transcriptomics.</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Experimental validation data confirming rescue in disease models with quantified effect sizes and mechanism confirmation.</w:t>
      </w:r>
    </w:p>
    <w:p>
      <w:pPr>
        <w:pStyle w:val="ListParagraph"/>
        <w:numPr>
          <w:ilvl w:val="0"/>
          <w:numId w:val="1"/>
        </w:numPr>
        <w:spacing w:after="80" w:line="360"/>
      </w:pPr>
      <w:r>
        <w:rPr>
          <w:rFonts w:ascii="Arial" w:cs="Arial" w:eastAsia="Arial" w:hAnsi="Arial"/>
          <w:sz w:val="24"/>
          <w:szCs w:val="24"/>
        </w:rPr>
        <w:t xml:space="preserve">Patch-clamp and MEA recording data for all tested candidates (current clamps, voltage clamps, firing rate quantifications)</w:t>
      </w:r>
    </w:p>
    <w:p>
      <w:pPr>
        <w:pStyle w:val="ListParagraph"/>
        <w:numPr>
          <w:ilvl w:val="0"/>
          <w:numId w:val="1"/>
        </w:numPr>
        <w:spacing w:after="80" w:line="360"/>
      </w:pPr>
      <w:r>
        <w:rPr>
          <w:rFonts w:ascii="Arial" w:cs="Arial" w:eastAsia="Arial" w:hAnsi="Arial"/>
          <w:sz w:val="24"/>
          <w:szCs w:val="24"/>
        </w:rPr>
        <w:t xml:space="preserve">Rescue efficiency metrics: percentage of FOXG1 phenotype rescued by each candidate</w:t>
      </w:r>
    </w:p>
    <w:p>
      <w:pPr>
        <w:pStyle w:val="ListParagraph"/>
        <w:numPr>
          <w:ilvl w:val="0"/>
          <w:numId w:val="1"/>
        </w:numPr>
        <w:spacing w:after="80" w:line="360"/>
      </w:pPr>
      <w:r>
        <w:rPr>
          <w:rFonts w:ascii="Arial" w:cs="Arial" w:eastAsia="Arial" w:hAnsi="Arial"/>
          <w:sz w:val="24"/>
          <w:szCs w:val="24"/>
        </w:rPr>
        <w:t xml:space="preserve">Dose-response and synergy data for lead candidates</w:t>
      </w:r>
    </w:p>
    <w:p>
      <w:pPr>
        <w:pStyle w:val="ListParagraph"/>
        <w:numPr>
          <w:ilvl w:val="0"/>
          <w:numId w:val="1"/>
        </w:numPr>
        <w:spacing w:after="80" w:line="360"/>
      </w:pPr>
      <w:r>
        <w:rPr>
          <w:rFonts w:ascii="Arial" w:cs="Arial" w:eastAsia="Arial" w:hAnsi="Arial"/>
          <w:sz w:val="24"/>
          <w:szCs w:val="24"/>
        </w:rPr>
        <w:t xml:space="preserve">Molecular validation confirming predicted targets and pathway effects</w:t>
      </w:r>
    </w:p>
    <w:p>
      <w:pPr>
        <w:pStyle w:val="ListParagraph"/>
        <w:numPr>
          <w:ilvl w:val="0"/>
          <w:numId w:val="1"/>
        </w:numPr>
        <w:spacing w:after="80" w:line="360"/>
      </w:pPr>
      <w:r>
        <w:rPr>
          <w:rFonts w:ascii="Arial" w:cs="Arial" w:eastAsia="Arial" w:hAnsi="Arial"/>
          <w:sz w:val="24"/>
          <w:szCs w:val="24"/>
        </w:rPr>
        <w:t xml:space="preserve">Failure analysis for candidates that don't rescue in functional assays</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Experimental methods section, detailed data tables, representative recordings, statistical analysis of rescue efficiency, and summary figures.</w:t>
      </w:r>
    </w:p>
    <w:p>
      <w:pPr>
        <w:pStyle w:val="Heading2"/>
        <w:spacing w:after="100" w:line="360"/>
      </w:pPr>
      <w:r>
        <w:rPr>
          <w:rFonts w:ascii="Arial" w:cs="Arial" w:eastAsia="Arial" w:hAnsi="Arial"/>
          <w:b/>
          <w:bCs/>
          <w:sz w:val="28"/>
          <w:szCs w:val="28"/>
        </w:rPr>
        <w:t xml:space="preserve">Stage 5: Chemical Space Prioritization and Small-Molecule Identification</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For validated rescue genes with therapeutic potential, identify small-molecule inhibitors, activators, or modulators that recapitulate the genetic rescue phenotype without requiring gene therapy.</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Confirmed rescue genes from Stage 4 (top 3-5 candidates)</w:t>
      </w:r>
    </w:p>
    <w:p>
      <w:pPr>
        <w:pStyle w:val="ListParagraph"/>
        <w:numPr>
          <w:ilvl w:val="0"/>
          <w:numId w:val="1"/>
        </w:numPr>
        <w:spacing w:after="80" w:line="360"/>
      </w:pPr>
      <w:r>
        <w:rPr>
          <w:rFonts w:ascii="Arial" w:cs="Arial" w:eastAsia="Arial" w:hAnsi="Arial"/>
          <w:sz w:val="24"/>
          <w:szCs w:val="24"/>
        </w:rPr>
        <w:t xml:space="preserve">Target protein structural data (Cryo-EM, X-ray, AlphaFold models if available)</w:t>
      </w:r>
    </w:p>
    <w:p>
      <w:pPr>
        <w:pStyle w:val="ListParagraph"/>
        <w:numPr>
          <w:ilvl w:val="0"/>
          <w:numId w:val="1"/>
        </w:numPr>
        <w:spacing w:after="80" w:line="360"/>
      </w:pPr>
      <w:r>
        <w:rPr>
          <w:rFonts w:ascii="Arial" w:cs="Arial" w:eastAsia="Arial" w:hAnsi="Arial"/>
          <w:sz w:val="24"/>
          <w:szCs w:val="24"/>
        </w:rPr>
        <w:t xml:space="preserve">Quiver compound perturbation database (~3,500 compounds with EP phenotypes)</w:t>
      </w:r>
    </w:p>
    <w:p>
      <w:pPr>
        <w:pStyle w:val="ListParagraph"/>
        <w:numPr>
          <w:ilvl w:val="0"/>
          <w:numId w:val="1"/>
        </w:numPr>
        <w:spacing w:after="80" w:line="360"/>
      </w:pPr>
      <w:r>
        <w:rPr>
          <w:rFonts w:ascii="Arial" w:cs="Arial" w:eastAsia="Arial" w:hAnsi="Arial"/>
          <w:sz w:val="24"/>
          <w:szCs w:val="24"/>
        </w:rPr>
        <w:t xml:space="preserve">Chemical libraries and virtual screening tools</w:t>
      </w:r>
    </w:p>
    <w:p>
      <w:pPr>
        <w:pStyle w:val="ListParagraph"/>
        <w:numPr>
          <w:ilvl w:val="0"/>
          <w:numId w:val="1"/>
        </w:numPr>
        <w:spacing w:after="80" w:line="360"/>
      </w:pPr>
      <w:r>
        <w:rPr>
          <w:rFonts w:ascii="Arial" w:cs="Arial" w:eastAsia="Arial" w:hAnsi="Arial"/>
          <w:sz w:val="24"/>
          <w:szCs w:val="24"/>
        </w:rPr>
        <w:t xml:space="preserve">ADME/PK property guidelines and off-target risk assessment thresholds</w:t>
      </w:r>
    </w:p>
    <w:p>
      <w:pPr>
        <w:pStyle w:val="ListParagraph"/>
        <w:numPr>
          <w:ilvl w:val="0"/>
          <w:numId w:val="1"/>
        </w:numPr>
        <w:spacing w:after="80" w:line="360"/>
      </w:pPr>
      <w:r>
        <w:rPr>
          <w:rFonts w:ascii="Arial" w:cs="Arial" w:eastAsia="Arial" w:hAnsi="Arial"/>
          <w:sz w:val="24"/>
          <w:szCs w:val="24"/>
        </w:rPr>
        <w:t xml:space="preserve">Cell permeability and brain blood-barrier (BBB) penetration criteria</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Quiver Compound Perturbation Atlas (~3,500 compounds with EP readouts)</w:t>
      </w:r>
    </w:p>
    <w:p>
      <w:pPr>
        <w:pStyle w:val="ListParagraph"/>
        <w:numPr>
          <w:ilvl w:val="0"/>
          <w:numId w:val="1"/>
        </w:numPr>
        <w:spacing w:after="80" w:line="360"/>
      </w:pPr>
      <w:r>
        <w:rPr>
          <w:rFonts w:ascii="Arial" w:cs="Arial" w:eastAsia="Arial" w:hAnsi="Arial"/>
          <w:sz w:val="24"/>
          <w:szCs w:val="24"/>
        </w:rPr>
        <w:t xml:space="preserve">Structural databases (PDB, AlphaFold, ColabFold)</w:t>
      </w:r>
    </w:p>
    <w:p>
      <w:pPr>
        <w:pStyle w:val="ListParagraph"/>
        <w:numPr>
          <w:ilvl w:val="0"/>
          <w:numId w:val="1"/>
        </w:numPr>
        <w:spacing w:after="80" w:line="360"/>
      </w:pPr>
      <w:r>
        <w:rPr>
          <w:rFonts w:ascii="Arial" w:cs="Arial" w:eastAsia="Arial" w:hAnsi="Arial"/>
          <w:sz w:val="24"/>
          <w:szCs w:val="24"/>
        </w:rPr>
        <w:t xml:space="preserve">Chemical screening databases (ChEMBL, PubChem, DrugBank)</w:t>
      </w:r>
    </w:p>
    <w:p>
      <w:pPr>
        <w:pStyle w:val="ListParagraph"/>
        <w:numPr>
          <w:ilvl w:val="0"/>
          <w:numId w:val="1"/>
        </w:numPr>
        <w:spacing w:after="80" w:line="360"/>
      </w:pPr>
      <w:r>
        <w:rPr>
          <w:rFonts w:ascii="Arial" w:cs="Arial" w:eastAsia="Arial" w:hAnsi="Arial"/>
          <w:sz w:val="24"/>
          <w:szCs w:val="24"/>
        </w:rPr>
        <w:t xml:space="preserve">Virtual screening and docking software (AutoDock, Glide, Maestro, RosettaLigand)</w:t>
      </w:r>
    </w:p>
    <w:p>
      <w:pPr>
        <w:pStyle w:val="ListParagraph"/>
        <w:numPr>
          <w:ilvl w:val="0"/>
          <w:numId w:val="1"/>
        </w:numPr>
        <w:spacing w:after="80" w:line="360"/>
      </w:pPr>
      <w:r>
        <w:rPr>
          <w:rFonts w:ascii="Arial" w:cs="Arial" w:eastAsia="Arial" w:hAnsi="Arial"/>
          <w:sz w:val="24"/>
          <w:szCs w:val="24"/>
        </w:rPr>
        <w:t xml:space="preserve">ADME/PK prediction tools (SwissADME, pkCSM, ADMETlab)</w:t>
      </w:r>
    </w:p>
    <w:p>
      <w:pPr>
        <w:pStyle w:val="ListParagraph"/>
        <w:numPr>
          <w:ilvl w:val="0"/>
          <w:numId w:val="1"/>
        </w:numPr>
        <w:spacing w:after="80" w:line="360"/>
      </w:pPr>
      <w:r>
        <w:rPr>
          <w:rFonts w:ascii="Arial" w:cs="Arial" w:eastAsia="Arial" w:hAnsi="Arial"/>
          <w:sz w:val="24"/>
          <w:szCs w:val="24"/>
        </w:rPr>
        <w:t xml:space="preserve">Off-target prediction (SEA, ChEMBL target predictions)</w:t>
      </w:r>
    </w:p>
    <w:p>
      <w:pPr>
        <w:pStyle w:val="ListParagraph"/>
        <w:numPr>
          <w:ilvl w:val="0"/>
          <w:numId w:val="1"/>
        </w:numPr>
        <w:spacing w:after="80" w:line="360"/>
      </w:pPr>
      <w:r>
        <w:rPr>
          <w:rFonts w:ascii="Arial" w:cs="Arial" w:eastAsia="Arial" w:hAnsi="Arial"/>
          <w:sz w:val="24"/>
          <w:szCs w:val="24"/>
        </w:rPr>
        <w:t xml:space="preserve">Machine learning compound activity models (trained on perturbation data)</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For Rescue Gene X, obtain the protein structure (Cryo-EM or AlphaFold). Identify druggable pockets and domains. Perform high-throughput virtual screening against 10M compound libraries. Rank hits by docking score, ADME properties, and predicted BBB penetration.</w:t>
      </w:r>
    </w:p>
    <w:p>
      <w:pPr>
        <w:pStyle w:val="ListParagraph"/>
        <w:numPr>
          <w:ilvl w:val="0"/>
          <w:numId w:val="1"/>
        </w:numPr>
        <w:spacing w:after="80" w:line="360"/>
      </w:pPr>
      <w:r>
        <w:rPr>
          <w:rFonts w:ascii="Arial" w:cs="Arial" w:eastAsia="Arial" w:hAnsi="Arial"/>
          <w:sz w:val="24"/>
          <w:szCs w:val="24"/>
        </w:rPr>
        <w:t xml:space="preserve">Query the Quiver compound atlas for compounds that phenocopy the genetic perturbation of Rescue Gene Y (e.g., if Y knockdown reduces firing by 30%, find compounds that reduce firing by 25-35%). Rank by effect size and specificity.</w:t>
      </w:r>
    </w:p>
    <w:p>
      <w:pPr>
        <w:pStyle w:val="ListParagraph"/>
        <w:numPr>
          <w:ilvl w:val="0"/>
          <w:numId w:val="1"/>
        </w:numPr>
        <w:spacing w:after="80" w:line="360"/>
      </w:pPr>
      <w:r>
        <w:rPr>
          <w:rFonts w:ascii="Arial" w:cs="Arial" w:eastAsia="Arial" w:hAnsi="Arial"/>
          <w:sz w:val="24"/>
          <w:szCs w:val="24"/>
        </w:rPr>
        <w:t xml:space="preserve">For lead small-molecule candidates, predict off-target activity using SEA and ChEMBL-based methods. Assess risk for cardiac toxicity, CYP450 inhibition, and other safety liabilities.</w:t>
      </w:r>
    </w:p>
    <w:p>
      <w:pPr>
        <w:pStyle w:val="ListParagraph"/>
        <w:numPr>
          <w:ilvl w:val="0"/>
          <w:numId w:val="1"/>
        </w:numPr>
        <w:spacing w:after="80" w:line="360"/>
      </w:pPr>
      <w:r>
        <w:rPr>
          <w:rFonts w:ascii="Arial" w:cs="Arial" w:eastAsia="Arial" w:hAnsi="Arial"/>
          <w:sz w:val="24"/>
          <w:szCs w:val="24"/>
        </w:rPr>
        <w:t xml:space="preserve">Perform in silico ADME/PK analysis on lead compounds. Can they cross the BBB? What is predicted human bioavailability? Suggest synthetic modifications to improve properties if needed.</w:t>
      </w:r>
    </w:p>
    <w:p>
      <w:pPr>
        <w:pStyle w:val="ListParagraph"/>
        <w:numPr>
          <w:ilvl w:val="0"/>
          <w:numId w:val="1"/>
        </w:numPr>
        <w:spacing w:after="80" w:line="360"/>
      </w:pPr>
      <w:r>
        <w:rPr>
          <w:rFonts w:ascii="Arial" w:cs="Arial" w:eastAsia="Arial" w:hAnsi="Arial"/>
          <w:sz w:val="24"/>
          <w:szCs w:val="24"/>
        </w:rPr>
        <w:t xml:space="preserve">Compare the phenotypic effect size and selectivity of the best small-molecule candidates to known therapeutic compounds in the FOXG1 space (e.g., any published FOXG1 therapeutics or related CNS drugs).</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shortlist of lead small-molecule compounds with complete characterization and progression criteria for medicinal chemistry.</w:t>
      </w:r>
    </w:p>
    <w:p>
      <w:pPr>
        <w:pStyle w:val="ListParagraph"/>
        <w:numPr>
          <w:ilvl w:val="0"/>
          <w:numId w:val="1"/>
        </w:numPr>
        <w:spacing w:after="80" w:line="360"/>
      </w:pPr>
      <w:r>
        <w:rPr>
          <w:rFonts w:ascii="Arial" w:cs="Arial" w:eastAsia="Arial" w:hAnsi="Arial"/>
          <w:sz w:val="24"/>
          <w:szCs w:val="24"/>
        </w:rPr>
        <w:t xml:space="preserve">Top 10-20 virtual screening hits with docking scores and predicted mechanisms</w:t>
      </w:r>
    </w:p>
    <w:p>
      <w:pPr>
        <w:pStyle w:val="ListParagraph"/>
        <w:numPr>
          <w:ilvl w:val="0"/>
          <w:numId w:val="1"/>
        </w:numPr>
        <w:spacing w:after="80" w:line="360"/>
      </w:pPr>
      <w:r>
        <w:rPr>
          <w:rFonts w:ascii="Arial" w:cs="Arial" w:eastAsia="Arial" w:hAnsi="Arial"/>
          <w:sz w:val="24"/>
          <w:szCs w:val="24"/>
        </w:rPr>
        <w:t xml:space="preserve">Compound activity matching table (compounds from Quiver atlas that phenocopy genetic rescue)</w:t>
      </w:r>
    </w:p>
    <w:p>
      <w:pPr>
        <w:pStyle w:val="ListParagraph"/>
        <w:numPr>
          <w:ilvl w:val="0"/>
          <w:numId w:val="1"/>
        </w:numPr>
        <w:spacing w:after="80" w:line="360"/>
      </w:pPr>
      <w:r>
        <w:rPr>
          <w:rFonts w:ascii="Arial" w:cs="Arial" w:eastAsia="Arial" w:hAnsi="Arial"/>
          <w:sz w:val="24"/>
          <w:szCs w:val="24"/>
        </w:rPr>
        <w:t xml:space="preserve">ADME/PK property tables and BBB penetration predictions</w:t>
      </w:r>
    </w:p>
    <w:p>
      <w:pPr>
        <w:pStyle w:val="ListParagraph"/>
        <w:numPr>
          <w:ilvl w:val="0"/>
          <w:numId w:val="1"/>
        </w:numPr>
        <w:spacing w:after="80" w:line="360"/>
      </w:pPr>
      <w:r>
        <w:rPr>
          <w:rFonts w:ascii="Arial" w:cs="Arial" w:eastAsia="Arial" w:hAnsi="Arial"/>
          <w:sz w:val="24"/>
          <w:szCs w:val="24"/>
        </w:rPr>
        <w:t xml:space="preserve">Off-target risk assessment and safety liability predictions</w:t>
      </w:r>
    </w:p>
    <w:p>
      <w:pPr>
        <w:pStyle w:val="ListParagraph"/>
        <w:numPr>
          <w:ilvl w:val="0"/>
          <w:numId w:val="1"/>
        </w:numPr>
        <w:spacing w:after="80" w:line="360"/>
      </w:pPr>
      <w:r>
        <w:rPr>
          <w:rFonts w:ascii="Arial" w:cs="Arial" w:eastAsia="Arial" w:hAnsi="Arial"/>
          <w:sz w:val="24"/>
          <w:szCs w:val="24"/>
        </w:rPr>
        <w:t xml:space="preserve">Synthetic modification suggestions to improve lead compounds</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Detailed compound profile sheets with structures, docking poses, ADME summaries, and medicinal chemistry recommendations.</w:t>
      </w:r>
    </w:p>
    <w:p>
      <w:pPr>
        <w:pStyle w:val="Heading2"/>
        <w:spacing w:after="100" w:line="360"/>
      </w:pPr>
      <w:r>
        <w:rPr>
          <w:rFonts w:ascii="Arial" w:cs="Arial" w:eastAsia="Arial" w:hAnsi="Arial"/>
          <w:b/>
          <w:bCs/>
          <w:sz w:val="28"/>
          <w:szCs w:val="28"/>
        </w:rPr>
        <w:t xml:space="preserve">Stage 6: Clinical Translation Assessment and Go/No-Go Decision</w:t>
      </w:r>
    </w:p>
    <w:p>
      <w:pPr>
        <w:spacing w:after="100" w:line="360"/>
      </w:pPr>
      <w:r>
        <w:rPr>
          <w:rFonts w:ascii="Arial" w:cs="Arial" w:eastAsia="Arial" w:hAnsi="Arial"/>
          <w:b/>
          <w:bCs/>
          <w:sz w:val="24"/>
          <w:szCs w:val="24"/>
        </w:rPr>
        <w:t xml:space="preserve">Purpose:</w:t>
      </w:r>
      <w:r>
        <w:rPr>
          <w:rFonts w:ascii="Arial" w:cs="Arial" w:eastAsia="Arial" w:hAnsi="Arial"/>
          <w:b w:val="false"/>
          <w:bCs w:val="false"/>
          <w:sz w:val="24"/>
          <w:szCs w:val="24"/>
        </w:rPr>
        <w:t xml:space="preserve"> Evaluate the therapeutic potential, regulatory pathway, and go/no-go criteria for clinical advancement of lead small-molecule or genetic rescue candidates for FOXG1 syndrome.</w:t>
      </w:r>
    </w:p>
    <w:p>
      <w:pPr>
        <w:spacing w:after="100" w:line="360"/>
      </w:pPr>
      <w:r>
        <w:rPr>
          <w:rFonts w:ascii="Arial" w:cs="Arial" w:eastAsia="Arial" w:hAnsi="Arial"/>
          <w:b/>
          <w:bCs/>
          <w:sz w:val="24"/>
          <w:szCs w:val="24"/>
        </w:rPr>
        <w:t xml:space="preserve">Inputs:</w:t>
      </w:r>
    </w:p>
    <w:p>
      <w:pPr>
        <w:pStyle w:val="ListParagraph"/>
        <w:numPr>
          <w:ilvl w:val="0"/>
          <w:numId w:val="1"/>
        </w:numPr>
        <w:spacing w:after="80" w:line="360"/>
      </w:pPr>
      <w:r>
        <w:rPr>
          <w:rFonts w:ascii="Arial" w:cs="Arial" w:eastAsia="Arial" w:hAnsi="Arial"/>
          <w:sz w:val="24"/>
          <w:szCs w:val="24"/>
        </w:rPr>
        <w:t xml:space="preserve">Lead small-molecule compounds from Stage 5 or validated genetic rescue genes from Stage 4</w:t>
      </w:r>
    </w:p>
    <w:p>
      <w:pPr>
        <w:pStyle w:val="ListParagraph"/>
        <w:numPr>
          <w:ilvl w:val="0"/>
          <w:numId w:val="1"/>
        </w:numPr>
        <w:spacing w:after="80" w:line="360"/>
      </w:pPr>
      <w:r>
        <w:rPr>
          <w:rFonts w:ascii="Arial" w:cs="Arial" w:eastAsia="Arial" w:hAnsi="Arial"/>
          <w:sz w:val="24"/>
          <w:szCs w:val="24"/>
        </w:rPr>
        <w:t xml:space="preserve">Efficacy data: EP rescue magnitude, rescue breadth across features, consistency in disease models</w:t>
      </w:r>
    </w:p>
    <w:p>
      <w:pPr>
        <w:pStyle w:val="ListParagraph"/>
        <w:numPr>
          <w:ilvl w:val="0"/>
          <w:numId w:val="1"/>
        </w:numPr>
        <w:spacing w:after="80" w:line="360"/>
      </w:pPr>
      <w:r>
        <w:rPr>
          <w:rFonts w:ascii="Arial" w:cs="Arial" w:eastAsia="Arial" w:hAnsi="Arial"/>
          <w:sz w:val="24"/>
          <w:szCs w:val="24"/>
        </w:rPr>
        <w:t xml:space="preserve">Safety and ADME profiles: off-target risk, toxicity predictions, PK properties, BBB penetration</w:t>
      </w:r>
    </w:p>
    <w:p>
      <w:pPr>
        <w:pStyle w:val="ListParagraph"/>
        <w:numPr>
          <w:ilvl w:val="0"/>
          <w:numId w:val="1"/>
        </w:numPr>
        <w:spacing w:after="80" w:line="360"/>
      </w:pPr>
      <w:r>
        <w:rPr>
          <w:rFonts w:ascii="Arial" w:cs="Arial" w:eastAsia="Arial" w:hAnsi="Arial"/>
          <w:sz w:val="24"/>
          <w:szCs w:val="24"/>
        </w:rPr>
        <w:t xml:space="preserve">Competitive landscape analysis: existing FOXG1/Rett treatments, clinical trial status</w:t>
      </w:r>
    </w:p>
    <w:p>
      <w:pPr>
        <w:pStyle w:val="ListParagraph"/>
        <w:numPr>
          <w:ilvl w:val="0"/>
          <w:numId w:val="1"/>
        </w:numPr>
        <w:spacing w:after="80" w:line="360"/>
      </w:pPr>
      <w:r>
        <w:rPr>
          <w:rFonts w:ascii="Arial" w:cs="Arial" w:eastAsia="Arial" w:hAnsi="Arial"/>
          <w:sz w:val="24"/>
          <w:szCs w:val="24"/>
        </w:rPr>
        <w:t xml:space="preserve">Regulatory guidelines: FDA guidance for neurodevelopmental disorders, Orphan Drug status</w:t>
      </w:r>
    </w:p>
    <w:p>
      <w:pPr>
        <w:pStyle w:val="ListParagraph"/>
        <w:numPr>
          <w:ilvl w:val="0"/>
          <w:numId w:val="1"/>
        </w:numPr>
        <w:spacing w:after="80" w:line="360"/>
      </w:pPr>
      <w:r>
        <w:rPr>
          <w:rFonts w:ascii="Arial" w:cs="Arial" w:eastAsia="Arial" w:hAnsi="Arial"/>
          <w:sz w:val="24"/>
          <w:szCs w:val="24"/>
        </w:rPr>
        <w:t xml:space="preserve">Clinical trial design considerations: patient stratification, biomarkers, dose-response</w:t>
      </w:r>
    </w:p>
    <w:p>
      <w:pPr>
        <w:spacing w:after="100" w:line="360"/>
      </w:pPr>
      <w:r>
        <w:rPr>
          <w:rFonts w:ascii="Arial" w:cs="Arial" w:eastAsia="Arial" w:hAnsi="Arial"/>
          <w:b/>
          <w:bCs/>
          <w:sz w:val="24"/>
          <w:szCs w:val="24"/>
        </w:rPr>
        <w:t xml:space="preserve">Tools &amp; Databases Called:</w:t>
      </w:r>
    </w:p>
    <w:p>
      <w:pPr>
        <w:pStyle w:val="ListParagraph"/>
        <w:numPr>
          <w:ilvl w:val="0"/>
          <w:numId w:val="1"/>
        </w:numPr>
        <w:spacing w:after="80" w:line="360"/>
      </w:pPr>
      <w:r>
        <w:rPr>
          <w:rFonts w:ascii="Arial" w:cs="Arial" w:eastAsia="Arial" w:hAnsi="Arial"/>
          <w:sz w:val="24"/>
          <w:szCs w:val="24"/>
        </w:rPr>
        <w:t xml:space="preserve">Clinical trial databases (ClinicalTrials.gov, WHO ICTRP for Rett/FOXG1 trials)</w:t>
      </w:r>
    </w:p>
    <w:p>
      <w:pPr>
        <w:pStyle w:val="ListParagraph"/>
        <w:numPr>
          <w:ilvl w:val="0"/>
          <w:numId w:val="1"/>
        </w:numPr>
        <w:spacing w:after="80" w:line="360"/>
      </w:pPr>
      <w:r>
        <w:rPr>
          <w:rFonts w:ascii="Arial" w:cs="Arial" w:eastAsia="Arial" w:hAnsi="Arial"/>
          <w:sz w:val="24"/>
          <w:szCs w:val="24"/>
        </w:rPr>
        <w:t xml:space="preserve">Regulatory guidance documents (FDA neurodevelopmental disorder guidance)</w:t>
      </w:r>
    </w:p>
    <w:p>
      <w:pPr>
        <w:pStyle w:val="ListParagraph"/>
        <w:numPr>
          <w:ilvl w:val="0"/>
          <w:numId w:val="1"/>
        </w:numPr>
        <w:spacing w:after="80" w:line="360"/>
      </w:pPr>
      <w:r>
        <w:rPr>
          <w:rFonts w:ascii="Arial" w:cs="Arial" w:eastAsia="Arial" w:hAnsi="Arial"/>
          <w:sz w:val="24"/>
          <w:szCs w:val="24"/>
        </w:rPr>
        <w:t xml:space="preserve">Patent landscape databases (Google Patents, Espacenet, USPTO)</w:t>
      </w:r>
    </w:p>
    <w:p>
      <w:pPr>
        <w:pStyle w:val="ListParagraph"/>
        <w:numPr>
          <w:ilvl w:val="0"/>
          <w:numId w:val="1"/>
        </w:numPr>
        <w:spacing w:after="80" w:line="360"/>
      </w:pPr>
      <w:r>
        <w:rPr>
          <w:rFonts w:ascii="Arial" w:cs="Arial" w:eastAsia="Arial" w:hAnsi="Arial"/>
          <w:sz w:val="24"/>
          <w:szCs w:val="24"/>
        </w:rPr>
        <w:t xml:space="preserve">Disease natural history studies and biomarker literature</w:t>
      </w:r>
    </w:p>
    <w:p>
      <w:pPr>
        <w:pStyle w:val="ListParagraph"/>
        <w:numPr>
          <w:ilvl w:val="0"/>
          <w:numId w:val="1"/>
        </w:numPr>
        <w:spacing w:after="80" w:line="360"/>
      </w:pPr>
      <w:r>
        <w:rPr>
          <w:rFonts w:ascii="Arial" w:cs="Arial" w:eastAsia="Arial" w:hAnsi="Arial"/>
          <w:sz w:val="24"/>
          <w:szCs w:val="24"/>
        </w:rPr>
        <w:t xml:space="preserve">Cost-benefit and economic analysis tools</w:t>
      </w:r>
    </w:p>
    <w:p>
      <w:pPr>
        <w:pStyle w:val="ListParagraph"/>
        <w:numPr>
          <w:ilvl w:val="0"/>
          <w:numId w:val="1"/>
        </w:numPr>
        <w:spacing w:after="80" w:line="360"/>
      </w:pPr>
      <w:r>
        <w:rPr>
          <w:rFonts w:ascii="Arial" w:cs="Arial" w:eastAsia="Arial" w:hAnsi="Arial"/>
          <w:sz w:val="24"/>
          <w:szCs w:val="24"/>
        </w:rPr>
        <w:t xml:space="preserve">Scientific literature mining and competitive intelligence tools</w:t>
      </w:r>
    </w:p>
    <w:p>
      <w:pPr>
        <w:spacing w:after="100" w:line="360"/>
      </w:pPr>
      <w:r>
        <w:rPr>
          <w:rFonts w:ascii="Arial" w:cs="Arial" w:eastAsia="Arial" w:hAnsi="Arial"/>
          <w:b/>
          <w:bCs/>
          <w:sz w:val="24"/>
          <w:szCs w:val="24"/>
        </w:rPr>
        <w:t xml:space="preserve">Exemplary Sub-Prompts:</w:t>
      </w:r>
    </w:p>
    <w:p>
      <w:pPr>
        <w:pStyle w:val="ListParagraph"/>
        <w:numPr>
          <w:ilvl w:val="0"/>
          <w:numId w:val="1"/>
        </w:numPr>
        <w:spacing w:after="80" w:line="360"/>
      </w:pPr>
      <w:r>
        <w:rPr>
          <w:rFonts w:ascii="Arial" w:cs="Arial" w:eastAsia="Arial" w:hAnsi="Arial"/>
          <w:sz w:val="24"/>
          <w:szCs w:val="24"/>
        </w:rPr>
        <w:t xml:space="preserve">Synthesize efficacy data: summarize the magnitude and breadth of phenotypic rescue, consistency across models, and comparison to natural history. Does the candidate meet the "clinically meaningful" threshold for the target population?</w:t>
      </w:r>
    </w:p>
    <w:p>
      <w:pPr>
        <w:pStyle w:val="ListParagraph"/>
        <w:numPr>
          <w:ilvl w:val="0"/>
          <w:numId w:val="1"/>
        </w:numPr>
        <w:spacing w:after="80" w:line="360"/>
      </w:pPr>
      <w:r>
        <w:rPr>
          <w:rFonts w:ascii="Arial" w:cs="Arial" w:eastAsia="Arial" w:hAnsi="Arial"/>
          <w:sz w:val="24"/>
          <w:szCs w:val="24"/>
        </w:rPr>
        <w:t xml:space="preserve">Compile safety concerns: aggregate off-target risk, predicted toxicity, ADME issues, and BBB penetration. Are there major red flags or manageable risks?</w:t>
      </w:r>
    </w:p>
    <w:p>
      <w:pPr>
        <w:pStyle w:val="ListParagraph"/>
        <w:numPr>
          <w:ilvl w:val="0"/>
          <w:numId w:val="1"/>
        </w:numPr>
        <w:spacing w:after="80" w:line="360"/>
      </w:pPr>
      <w:r>
        <w:rPr>
          <w:rFonts w:ascii="Arial" w:cs="Arial" w:eastAsia="Arial" w:hAnsi="Arial"/>
          <w:sz w:val="24"/>
          <w:szCs w:val="24"/>
        </w:rPr>
        <w:t xml:space="preserve">Analyze competitive landscape: What other FOXG1/Rett therapeutics are in clinical trials? What is their mechanism and trial status? How does our lead candidate differentiate (efficacy, safety, timeline)?</w:t>
      </w:r>
    </w:p>
    <w:p>
      <w:pPr>
        <w:pStyle w:val="ListParagraph"/>
        <w:numPr>
          <w:ilvl w:val="0"/>
          <w:numId w:val="1"/>
        </w:numPr>
        <w:spacing w:after="80" w:line="360"/>
      </w:pPr>
      <w:r>
        <w:rPr>
          <w:rFonts w:ascii="Arial" w:cs="Arial" w:eastAsia="Arial" w:hAnsi="Arial"/>
          <w:sz w:val="24"/>
          <w:szCs w:val="24"/>
        </w:rPr>
        <w:t xml:space="preserve">Propose clinical trial design: patient stratification (FOXG1 genotype, age, severity), primary and secondary endpoints, dosing strategy, biomarkers. What are the go/no-go criteria?</w:t>
      </w:r>
    </w:p>
    <w:p>
      <w:pPr>
        <w:pStyle w:val="ListParagraph"/>
        <w:numPr>
          <w:ilvl w:val="0"/>
          <w:numId w:val="1"/>
        </w:numPr>
        <w:spacing w:after="80" w:line="360"/>
      </w:pPr>
      <w:r>
        <w:rPr>
          <w:rFonts w:ascii="Arial" w:cs="Arial" w:eastAsia="Arial" w:hAnsi="Arial"/>
          <w:sz w:val="24"/>
          <w:szCs w:val="24"/>
        </w:rPr>
        <w:t xml:space="preserve">Assess Orphan Drug eligibility and potential pathway to accelerated approval. What clinical, regulatory, or preclinical evidence is needed to meet these milestones?</w:t>
      </w:r>
    </w:p>
    <w:p>
      <w:pPr>
        <w:spacing w:after="100" w:line="360"/>
      </w:pPr>
      <w:r>
        <w:rPr>
          <w:rFonts w:ascii="Arial" w:cs="Arial" w:eastAsia="Arial" w:hAnsi="Arial"/>
          <w:b/>
          <w:bCs/>
          <w:sz w:val="24"/>
          <w:szCs w:val="24"/>
        </w:rPr>
        <w:t xml:space="preserve">Expected Outputs:</w:t>
      </w:r>
      <w:r>
        <w:rPr>
          <w:rFonts w:ascii="Arial" w:cs="Arial" w:eastAsia="Arial" w:hAnsi="Arial"/>
          <w:b w:val="false"/>
          <w:bCs w:val="false"/>
          <w:sz w:val="24"/>
          <w:szCs w:val="24"/>
        </w:rPr>
        <w:t xml:space="preserve"> A comprehensive clinical translation assessment with go/no-go recommendation and therapeutic development roadmap.</w:t>
      </w:r>
    </w:p>
    <w:p>
      <w:pPr>
        <w:pStyle w:val="ListParagraph"/>
        <w:numPr>
          <w:ilvl w:val="0"/>
          <w:numId w:val="1"/>
        </w:numPr>
        <w:spacing w:after="80" w:line="360"/>
      </w:pPr>
      <w:r>
        <w:rPr>
          <w:rFonts w:ascii="Arial" w:cs="Arial" w:eastAsia="Arial" w:hAnsi="Arial"/>
          <w:sz w:val="24"/>
          <w:szCs w:val="24"/>
        </w:rPr>
        <w:t xml:space="preserve">Executive summary: lead candidate identity, mechanism, efficacy summary, safety profile, competitive position</w:t>
      </w:r>
    </w:p>
    <w:p>
      <w:pPr>
        <w:pStyle w:val="ListParagraph"/>
        <w:numPr>
          <w:ilvl w:val="0"/>
          <w:numId w:val="1"/>
        </w:numPr>
        <w:spacing w:after="80" w:line="360"/>
      </w:pPr>
      <w:r>
        <w:rPr>
          <w:rFonts w:ascii="Arial" w:cs="Arial" w:eastAsia="Arial" w:hAnsi="Arial"/>
          <w:sz w:val="24"/>
          <w:szCs w:val="24"/>
        </w:rPr>
        <w:t xml:space="preserve">Efficacy dossier: phenotypic rescue metrics, consistency across models, biological plausibility</w:t>
      </w:r>
    </w:p>
    <w:p>
      <w:pPr>
        <w:pStyle w:val="ListParagraph"/>
        <w:numPr>
          <w:ilvl w:val="0"/>
          <w:numId w:val="1"/>
        </w:numPr>
        <w:spacing w:after="80" w:line="360"/>
      </w:pPr>
      <w:r>
        <w:rPr>
          <w:rFonts w:ascii="Arial" w:cs="Arial" w:eastAsia="Arial" w:hAnsi="Arial"/>
          <w:sz w:val="24"/>
          <w:szCs w:val="24"/>
        </w:rPr>
        <w:t xml:space="preserve">Safety and ADME dossier: off-target predictions, toxicity concerns, PK profile, BBB penetration</w:t>
      </w:r>
    </w:p>
    <w:p>
      <w:pPr>
        <w:pStyle w:val="ListParagraph"/>
        <w:numPr>
          <w:ilvl w:val="0"/>
          <w:numId w:val="1"/>
        </w:numPr>
        <w:spacing w:after="80" w:line="360"/>
      </w:pPr>
      <w:r>
        <w:rPr>
          <w:rFonts w:ascii="Arial" w:cs="Arial" w:eastAsia="Arial" w:hAnsi="Arial"/>
          <w:sz w:val="24"/>
          <w:szCs w:val="24"/>
        </w:rPr>
        <w:t xml:space="preserve">Competitive landscape analysis and differentiation summary</w:t>
      </w:r>
    </w:p>
    <w:p>
      <w:pPr>
        <w:pStyle w:val="ListParagraph"/>
        <w:numPr>
          <w:ilvl w:val="0"/>
          <w:numId w:val="1"/>
        </w:numPr>
        <w:spacing w:after="80" w:line="360"/>
      </w:pPr>
      <w:r>
        <w:rPr>
          <w:rFonts w:ascii="Arial" w:cs="Arial" w:eastAsia="Arial" w:hAnsi="Arial"/>
          <w:sz w:val="24"/>
          <w:szCs w:val="24"/>
        </w:rPr>
        <w:t xml:space="preserve">Proposed clinical trial design with go/no-go decision criteria</w:t>
      </w:r>
    </w:p>
    <w:p>
      <w:pPr>
        <w:pStyle w:val="ListParagraph"/>
        <w:numPr>
          <w:ilvl w:val="0"/>
          <w:numId w:val="1"/>
        </w:numPr>
        <w:spacing w:after="80" w:line="360"/>
      </w:pPr>
      <w:r>
        <w:rPr>
          <w:rFonts w:ascii="Arial" w:cs="Arial" w:eastAsia="Arial" w:hAnsi="Arial"/>
          <w:sz w:val="24"/>
          <w:szCs w:val="24"/>
        </w:rPr>
        <w:t xml:space="preserve">Regulatory pathway assessment (Orphan Drug, accelerated approval eligibility)</w:t>
      </w:r>
    </w:p>
    <w:p>
      <w:pPr>
        <w:spacing w:after="100" w:line="360"/>
      </w:pPr>
      <w:r>
        <w:rPr>
          <w:rFonts w:ascii="Arial" w:cs="Arial" w:eastAsia="Arial" w:hAnsi="Arial"/>
          <w:b/>
          <w:bCs/>
          <w:sz w:val="24"/>
          <w:szCs w:val="24"/>
        </w:rPr>
        <w:t xml:space="preserve">Format:</w:t>
      </w:r>
      <w:r>
        <w:rPr>
          <w:rFonts w:ascii="Arial" w:cs="Arial" w:eastAsia="Arial" w:hAnsi="Arial"/>
          <w:b w:val="false"/>
          <w:bCs w:val="false"/>
          <w:sz w:val="24"/>
          <w:szCs w:val="24"/>
        </w:rPr>
        <w:t xml:space="preserve"> Comprehensive therapeutic development briefing with executive summary, detailed sections, figures, and regulatory roadmap. Suitable for presentation to Quiver leadership and advisory boards.</w:t>
      </w:r>
    </w:p>
    <w:p>
      <w:pPr>
        <w:pStyle w:val="Heading2"/>
        <w:spacing w:after="100" w:line="360"/>
      </w:pPr>
      <w:r>
        <w:rPr>
          <w:rFonts w:ascii="Arial" w:cs="Arial" w:eastAsia="Arial" w:hAnsi="Arial"/>
          <w:b/>
          <w:bCs/>
          <w:sz w:val="28"/>
          <w:szCs w:val="28"/>
        </w:rPr>
        <w:t xml:space="preserve">Tools &amp; Databases Summary</w:t>
      </w:r>
    </w:p>
    <w:p>
      <w:pPr>
        <w:pStyle w:val="ListParagraph"/>
        <w:numPr>
          <w:ilvl w:val="0"/>
          <w:numId w:val="1"/>
        </w:numPr>
        <w:spacing w:after="80" w:line="360"/>
      </w:pPr>
      <w:r>
        <w:rPr>
          <w:rFonts w:ascii="Arial" w:cs="Arial" w:eastAsia="Arial" w:hAnsi="Arial"/>
          <w:sz w:val="24"/>
          <w:szCs w:val="24"/>
        </w:rPr>
        <w:t xml:space="preserve">Quiver EP CRISPR Atlas: ~18,000 gene perturbations with 500+ electrophysiological features per neuron</w:t>
      </w:r>
    </w:p>
    <w:p>
      <w:pPr>
        <w:pStyle w:val="ListParagraph"/>
        <w:numPr>
          <w:ilvl w:val="0"/>
          <w:numId w:val="1"/>
        </w:numPr>
        <w:spacing w:after="80" w:line="360"/>
      </w:pPr>
      <w:r>
        <w:rPr>
          <w:rFonts w:ascii="Arial" w:cs="Arial" w:eastAsia="Arial" w:hAnsi="Arial"/>
          <w:sz w:val="24"/>
          <w:szCs w:val="24"/>
        </w:rPr>
        <w:t xml:space="preserve">Quiver Compound Perturbation Database: ~3,500 compounds with quantified EP phenotypes</w:t>
      </w:r>
    </w:p>
    <w:p>
      <w:pPr>
        <w:pStyle w:val="ListParagraph"/>
        <w:numPr>
          <w:ilvl w:val="0"/>
          <w:numId w:val="1"/>
        </w:numPr>
        <w:spacing w:after="80" w:line="360"/>
      </w:pPr>
      <w:r>
        <w:rPr>
          <w:rFonts w:ascii="Arial" w:cs="Arial" w:eastAsia="Arial" w:hAnsi="Arial"/>
          <w:sz w:val="24"/>
          <w:szCs w:val="24"/>
        </w:rPr>
        <w:t xml:space="preserve">Multi-electrode array (MEA) systems: Maestro, Muse, or equivalent neuronal activity recording</w:t>
      </w:r>
    </w:p>
    <w:p>
      <w:pPr>
        <w:pStyle w:val="ListParagraph"/>
        <w:numPr>
          <w:ilvl w:val="0"/>
          <w:numId w:val="1"/>
        </w:numPr>
        <w:spacing w:after="80" w:line="360"/>
      </w:pPr>
      <w:r>
        <w:rPr>
          <w:rFonts w:ascii="Arial" w:cs="Arial" w:eastAsia="Arial" w:hAnsi="Arial"/>
          <w:sz w:val="24"/>
          <w:szCs w:val="24"/>
        </w:rPr>
        <w:t xml:space="preserve">Patch-clamp electrophysiology rigs with amplifiers and digitizers for whole-cell and single-channel recording</w:t>
      </w:r>
    </w:p>
    <w:p>
      <w:pPr>
        <w:pStyle w:val="ListParagraph"/>
        <w:numPr>
          <w:ilvl w:val="0"/>
          <w:numId w:val="1"/>
        </w:numPr>
        <w:spacing w:after="80" w:line="360"/>
      </w:pPr>
      <w:r>
        <w:rPr>
          <w:rFonts w:ascii="Arial" w:cs="Arial" w:eastAsia="Arial" w:hAnsi="Arial"/>
          <w:sz w:val="24"/>
          <w:szCs w:val="24"/>
        </w:rPr>
        <w:t xml:space="preserve">RNA-seq and scRNA-seq analysis pipelines: STAR, HTSeq, kallisto, Seurat, scanpy</w:t>
      </w:r>
    </w:p>
    <w:p>
      <w:pPr>
        <w:pStyle w:val="ListParagraph"/>
        <w:numPr>
          <w:ilvl w:val="0"/>
          <w:numId w:val="1"/>
        </w:numPr>
        <w:spacing w:after="80" w:line="360"/>
      </w:pPr>
      <w:r>
        <w:rPr>
          <w:rFonts w:ascii="Arial" w:cs="Arial" w:eastAsia="Arial" w:hAnsi="Arial"/>
          <w:sz w:val="24"/>
          <w:szCs w:val="24"/>
        </w:rPr>
        <w:t xml:space="preserve">Differential expression and gene signature tools: DESeq2, edgeR, limma, GSVA, ssGSEA</w:t>
      </w:r>
    </w:p>
    <w:p>
      <w:pPr>
        <w:pStyle w:val="ListParagraph"/>
        <w:numPr>
          <w:ilvl w:val="0"/>
          <w:numId w:val="1"/>
        </w:numPr>
        <w:spacing w:after="80" w:line="360"/>
      </w:pPr>
      <w:r>
        <w:rPr>
          <w:rFonts w:ascii="Arial" w:cs="Arial" w:eastAsia="Arial" w:hAnsi="Arial"/>
          <w:sz w:val="24"/>
          <w:szCs w:val="24"/>
        </w:rPr>
        <w:t xml:space="preserve">Gene ontology and pathway databases: GO, KEGG, Reactome, String for protein interactions</w:t>
      </w:r>
    </w:p>
    <w:p>
      <w:pPr>
        <w:pStyle w:val="ListParagraph"/>
        <w:numPr>
          <w:ilvl w:val="0"/>
          <w:numId w:val="1"/>
        </w:numPr>
        <w:spacing w:after="80" w:line="360"/>
      </w:pPr>
      <w:r>
        <w:rPr>
          <w:rFonts w:ascii="Arial" w:cs="Arial" w:eastAsia="Arial" w:hAnsi="Arial"/>
          <w:sz w:val="24"/>
          <w:szCs w:val="24"/>
        </w:rPr>
        <w:t xml:space="preserve">FOXG1 ChIP-seq and transcriptomic databases: GEO, ENCODE, tissue-specific RNA-seq resources</w:t>
      </w:r>
    </w:p>
    <w:p>
      <w:pPr>
        <w:pStyle w:val="ListParagraph"/>
        <w:numPr>
          <w:ilvl w:val="0"/>
          <w:numId w:val="1"/>
        </w:numPr>
        <w:spacing w:after="80" w:line="360"/>
      </w:pPr>
      <w:r>
        <w:rPr>
          <w:rFonts w:ascii="Arial" w:cs="Arial" w:eastAsia="Arial" w:hAnsi="Arial"/>
          <w:sz w:val="24"/>
          <w:szCs w:val="24"/>
        </w:rPr>
        <w:t xml:space="preserve">Protein structure and modeling: PDB, AlphaFold, Cryo-EM databases, ColabFold</w:t>
      </w:r>
    </w:p>
    <w:p>
      <w:pPr>
        <w:pStyle w:val="ListParagraph"/>
        <w:numPr>
          <w:ilvl w:val="0"/>
          <w:numId w:val="1"/>
        </w:numPr>
        <w:spacing w:after="80" w:line="360"/>
      </w:pPr>
      <w:r>
        <w:rPr>
          <w:rFonts w:ascii="Arial" w:cs="Arial" w:eastAsia="Arial" w:hAnsi="Arial"/>
          <w:sz w:val="24"/>
          <w:szCs w:val="24"/>
        </w:rPr>
        <w:t xml:space="preserve">Virtual screening and docking: AutoDock, Glide, Maestro, RosettaLigand</w:t>
      </w:r>
    </w:p>
    <w:p>
      <w:pPr>
        <w:pStyle w:val="ListParagraph"/>
        <w:numPr>
          <w:ilvl w:val="0"/>
          <w:numId w:val="1"/>
        </w:numPr>
        <w:spacing w:after="80" w:line="360"/>
      </w:pPr>
      <w:r>
        <w:rPr>
          <w:rFonts w:ascii="Arial" w:cs="Arial" w:eastAsia="Arial" w:hAnsi="Arial"/>
          <w:sz w:val="24"/>
          <w:szCs w:val="24"/>
        </w:rPr>
        <w:t xml:space="preserve">ADME/PK prediction: SwissADME, pkCSM, ADMETlab for drug-likeness and bioavailability</w:t>
      </w:r>
    </w:p>
    <w:p>
      <w:pPr>
        <w:pStyle w:val="ListParagraph"/>
        <w:numPr>
          <w:ilvl w:val="0"/>
          <w:numId w:val="1"/>
        </w:numPr>
        <w:spacing w:after="80" w:line="360"/>
      </w:pPr>
      <w:r>
        <w:rPr>
          <w:rFonts w:ascii="Arial" w:cs="Arial" w:eastAsia="Arial" w:hAnsi="Arial"/>
          <w:sz w:val="24"/>
          <w:szCs w:val="24"/>
        </w:rPr>
        <w:t xml:space="preserve">Off-target prediction tools: SEA, ChEMBL, pkCSM for safety and selectivity assessment</w:t>
      </w:r>
    </w:p>
    <w:p>
      <w:pPr>
        <w:pStyle w:val="ListParagraph"/>
        <w:numPr>
          <w:ilvl w:val="0"/>
          <w:numId w:val="1"/>
        </w:numPr>
        <w:spacing w:after="80" w:line="360"/>
      </w:pPr>
      <w:r>
        <w:rPr>
          <w:rFonts w:ascii="Arial" w:cs="Arial" w:eastAsia="Arial" w:hAnsi="Arial"/>
          <w:sz w:val="24"/>
          <w:szCs w:val="24"/>
        </w:rPr>
        <w:t xml:space="preserve">Chemical databases: ChEMBL, PubChem, DrugBank, ZINC</w:t>
      </w:r>
    </w:p>
    <w:p>
      <w:pPr>
        <w:pStyle w:val="ListParagraph"/>
        <w:numPr>
          <w:ilvl w:val="0"/>
          <w:numId w:val="1"/>
        </w:numPr>
        <w:spacing w:after="80" w:line="360"/>
      </w:pPr>
      <w:r>
        <w:rPr>
          <w:rFonts w:ascii="Arial" w:cs="Arial" w:eastAsia="Arial" w:hAnsi="Arial"/>
          <w:sz w:val="24"/>
          <w:szCs w:val="24"/>
        </w:rPr>
        <w:t xml:space="preserve">Clinical trial and regulatory databases: ClinicalTrials.gov, FDA guidance documents</w:t>
      </w:r>
    </w:p>
    <w:p>
      <w:pPr>
        <w:pStyle w:val="ListParagraph"/>
        <w:numPr>
          <w:ilvl w:val="0"/>
          <w:numId w:val="1"/>
        </w:numPr>
        <w:spacing w:after="80" w:line="360"/>
      </w:pPr>
      <w:r>
        <w:rPr>
          <w:rFonts w:ascii="Arial" w:cs="Arial" w:eastAsia="Arial" w:hAnsi="Arial"/>
          <w:sz w:val="24"/>
          <w:szCs w:val="24"/>
        </w:rPr>
        <w:t xml:space="preserve">Machine learning and statistical tools: Python (scipy, scikit-learn, TensorFlow), R (limma, DESeq2)</w:t>
      </w:r>
    </w:p>
    <w:p>
      <w:pPr>
        <w:pStyle w:val="ListParagraph"/>
        <w:numPr>
          <w:ilvl w:val="0"/>
          <w:numId w:val="1"/>
        </w:numPr>
        <w:spacing w:after="80" w:line="360"/>
      </w:pPr>
      <w:r>
        <w:rPr>
          <w:rFonts w:ascii="Arial" w:cs="Arial" w:eastAsia="Arial" w:hAnsi="Arial"/>
          <w:sz w:val="24"/>
          <w:szCs w:val="24"/>
        </w:rPr>
        <w:t xml:space="preserve">Visualization and network tools: ggplot2, plotly, Cytoscape for pathway and interaction networks</w:t>
      </w:r>
    </w:p>
    <w:p>
      <w:pPr>
        <w:pStyle w:val="ListParagraph"/>
        <w:numPr>
          <w:ilvl w:val="0"/>
          <w:numId w:val="1"/>
        </w:numPr>
        <w:spacing w:after="80" w:line="360"/>
      </w:pPr>
      <w:r>
        <w:rPr>
          <w:rFonts w:ascii="Arial" w:cs="Arial" w:eastAsia="Arial" w:hAnsi="Arial"/>
          <w:sz w:val="24"/>
          <w:szCs w:val="24"/>
        </w:rPr>
        <w:t xml:space="preserve">Literature mining and competitive intelligence: Google Scholar, PubMed, patent databases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2026-03-03T13:27:57.251Z</dcterms:created>
  <dcterms:modified xsi:type="dcterms:W3CDTF">2026-03-03T13:27:57.251Z</dcterms:modified>
</cp:coreProperties>
</file>

<file path=docProps/custom.xml><?xml version="1.0" encoding="utf-8"?>
<Properties xmlns="http://schemas.openxmlformats.org/officeDocument/2006/custom-properties" xmlns:vt="http://schemas.openxmlformats.org/officeDocument/2006/docPropsVTypes"/>
</file>