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spacing w:after="100" w:line="360"/>
      </w:pPr>
      <w:r>
        <w:rPr>
          <w:rFonts w:ascii="Arial" w:cs="Arial" w:eastAsia="Arial" w:hAnsi="Arial"/>
          <w:b/>
          <w:bCs/>
          <w:sz w:val="32"/>
          <w:szCs w:val="32"/>
        </w:rPr>
        <w:t xml:space="preserve">Sapphire Pipeline Workflow</w:t>
      </w:r>
    </w:p>
    <w:p>
      <w:pPr>
        <w:pStyle w:val="Heading2"/>
        <w:spacing w:after="100" w:line="360"/>
      </w:pPr>
      <w:r>
        <w:rPr>
          <w:rFonts w:ascii="Arial" w:cs="Arial" w:eastAsia="Arial" w:hAnsi="Arial"/>
          <w:b/>
          <w:bCs/>
          <w:sz w:val="28"/>
          <w:szCs w:val="28"/>
        </w:rPr>
        <w:t xml:space="preserve">Prompt: "Identify small molecules correcting CNTNAP2-associated hyperexcitability."</w:t>
      </w:r>
    </w:p>
    <w:p>
      <w:pPr>
        <w:spacing w:after="100" w:line="360"/>
      </w:pPr>
      <w:r>
        <w:rPr>
          <w:rFonts w:ascii="Arial" w:cs="Arial" w:eastAsia="Arial" w:hAnsi="Arial"/>
          <w:sz w:val="24"/>
          <w:szCs w:val="24"/>
        </w:rPr>
        <w:t xml:space="preserve">This pipeline discovers small-molecule therapeutics that reverse neuronal hyperexcitability caused by CNTNAP2 (contactin-associated protein-like 2) loss-of-function. CNTNAP2 mutations cause autism spectrum disorder (ASD), focal epilepsy, and developmental delay through increased neuronal excitability and disrupted excitatory-inhibitory (E/I) balance. The approach integrates electrophysiological screening, mechanistic validation, and chemical optimization to identify lead compounds that restore normal firing patterns and synaptic homeostasis.</w:t>
      </w:r>
    </w:p>
    <w:p>
      <w:pPr>
        <w:pStyle w:val="Heading2"/>
        <w:spacing w:after="100" w:line="360"/>
      </w:pPr>
      <w:r>
        <w:rPr>
          <w:rFonts w:ascii="Arial" w:cs="Arial" w:eastAsia="Arial" w:hAnsi="Arial"/>
          <w:b/>
          <w:bCs/>
          <w:sz w:val="28"/>
          <w:szCs w:val="28"/>
        </w:rPr>
        <w:t xml:space="preserve">Pipeline Overview</w:t>
      </w:r>
    </w:p>
    <w:p>
      <w:pPr>
        <w:spacing w:after="100" w:line="360"/>
      </w:pPr>
      <w:r>
        <w:rPr>
          <w:rFonts w:ascii="Arial" w:cs="Arial" w:eastAsia="Arial" w:hAnsi="Arial"/>
          <w:sz w:val="24"/>
          <w:szCs w:val="24"/>
        </w:rPr>
        <w:t xml:space="preserve">The CNTNAP2 hyperexcitability correction pipeline employs a systematic multi-stage strategy: (1) characterize the CNTNAP2-deficient hyperexcitable phenotype via high-throughput EP, (2) conduct an unbiased screen of the Quiver compound database to identify hyperexcitability suppressors, (3) mechanistic validation via transcriptomics and target deconvolution, (4) dose-response and selectivity characterization, (5) in vitro disease model testing, and (6) lead optimization for clinical development. This approach leverages Quiver's 3,500-compound dataset with quantified EP phenotypes to rapidly identify therapeutic candidates without requiring target hypothesis upfront.</w:t>
      </w:r>
    </w:p>
    <w:p>
      <w:pPr>
        <w:spacing w:after="100" w:line="360"/>
      </w:pPr>
      <w:r>
        <w:rPr>
          <w:rFonts w:ascii="Arial" w:cs="Arial" w:eastAsia="Arial" w:hAnsi="Arial"/>
          <w:sz w:val="24"/>
          <w:szCs w:val="24"/>
        </w:rPr>
        <w:t xml:space="preserve">Success requires careful phenotypic matching: compounds must specifically reduce firing rate and restore E/I balance in CNTNAP2-deficient neurons without global neuronal depression, off-target effects, or toxicity. The pipeline prioritizes compounds with broad rescue potential, favorable ADME properties, and mechanistic coherence with CNTNAP2 biology.</w:t>
      </w:r>
    </w:p>
    <w:p>
      <w:pPr>
        <w:pStyle w:val="Heading2"/>
        <w:spacing w:after="100" w:line="360"/>
      </w:pPr>
      <w:r>
        <w:rPr>
          <w:rFonts w:ascii="Arial" w:cs="Arial" w:eastAsia="Arial" w:hAnsi="Arial"/>
          <w:b/>
          <w:bCs/>
          <w:sz w:val="28"/>
          <w:szCs w:val="28"/>
        </w:rPr>
        <w:t xml:space="preserve">Stage 1: CNTNAP2-Deficient Hyperexcitability Phenotyping</w:t>
      </w:r>
    </w:p>
    <w:p>
      <w:pPr>
        <w:spacing w:after="100" w:line="360"/>
      </w:pPr>
      <w:r>
        <w:rPr>
          <w:rFonts w:ascii="Arial" w:cs="Arial" w:eastAsia="Arial" w:hAnsi="Arial"/>
          <w:b/>
          <w:bCs/>
          <w:sz w:val="24"/>
          <w:szCs w:val="24"/>
        </w:rPr>
        <w:t xml:space="preserve">Purpose:</w:t>
      </w:r>
      <w:r>
        <w:rPr>
          <w:rFonts w:ascii="Arial" w:cs="Arial" w:eastAsia="Arial" w:hAnsi="Arial"/>
          <w:b w:val="false"/>
          <w:bCs w:val="false"/>
          <w:sz w:val="24"/>
          <w:szCs w:val="24"/>
        </w:rPr>
        <w:t xml:space="preserve"> Quantify the neuronal hyperexcitability signature of CNTNAP2-deficient neurons and establish phenotypic benchmarks for compound screening.</w:t>
      </w:r>
    </w:p>
    <w:p>
      <w:pPr>
        <w:spacing w:after="100" w:line="360"/>
      </w:pPr>
      <w:r>
        <w:rPr>
          <w:rFonts w:ascii="Arial" w:cs="Arial" w:eastAsia="Arial" w:hAnsi="Arial"/>
          <w:b/>
          <w:bCs/>
          <w:sz w:val="24"/>
          <w:szCs w:val="24"/>
        </w:rPr>
        <w:t xml:space="preserve">Inputs:</w:t>
      </w:r>
    </w:p>
    <w:p>
      <w:pPr>
        <w:pStyle w:val="ListParagraph"/>
        <w:numPr>
          <w:ilvl w:val="0"/>
          <w:numId w:val="1"/>
        </w:numPr>
        <w:spacing w:after="80" w:line="360"/>
      </w:pPr>
      <w:r>
        <w:rPr>
          <w:rFonts w:ascii="Arial" w:cs="Arial" w:eastAsia="Arial" w:hAnsi="Arial"/>
          <w:sz w:val="24"/>
          <w:szCs w:val="24"/>
        </w:rPr>
        <w:t xml:space="preserve">CNTNAP2-deficient iPSC-derived or engineered neurons (patient-derived lines, CRISPR KO, or transient knockdown models)</w:t>
      </w:r>
    </w:p>
    <w:p>
      <w:pPr>
        <w:pStyle w:val="ListParagraph"/>
        <w:numPr>
          <w:ilvl w:val="0"/>
          <w:numId w:val="1"/>
        </w:numPr>
        <w:spacing w:after="80" w:line="360"/>
      </w:pPr>
      <w:r>
        <w:rPr>
          <w:rFonts w:ascii="Arial" w:cs="Arial" w:eastAsia="Arial" w:hAnsi="Arial"/>
          <w:sz w:val="24"/>
          <w:szCs w:val="24"/>
        </w:rPr>
        <w:t xml:space="preserve">Wild-type control neurons from isogenic backgrounds or Quiver atlas baseline data</w:t>
      </w:r>
    </w:p>
    <w:p>
      <w:pPr>
        <w:pStyle w:val="ListParagraph"/>
        <w:numPr>
          <w:ilvl w:val="0"/>
          <w:numId w:val="1"/>
        </w:numPr>
        <w:spacing w:after="80" w:line="360"/>
      </w:pPr>
      <w:r>
        <w:rPr>
          <w:rFonts w:ascii="Arial" w:cs="Arial" w:eastAsia="Arial" w:hAnsi="Arial"/>
          <w:sz w:val="24"/>
          <w:szCs w:val="24"/>
        </w:rPr>
        <w:t xml:space="preserve">Multi-electrode array (MEA) recording setup for high-throughput EP phenotyping</w:t>
      </w:r>
    </w:p>
    <w:p>
      <w:pPr>
        <w:pStyle w:val="ListParagraph"/>
        <w:numPr>
          <w:ilvl w:val="0"/>
          <w:numId w:val="1"/>
        </w:numPr>
        <w:spacing w:after="80" w:line="360"/>
      </w:pPr>
      <w:r>
        <w:rPr>
          <w:rFonts w:ascii="Arial" w:cs="Arial" w:eastAsia="Arial" w:hAnsi="Arial"/>
          <w:sz w:val="24"/>
          <w:szCs w:val="24"/>
        </w:rPr>
        <w:t xml:space="preserve">EP feature set: spontaneous firing rate, burst frequency, burst duration, interburst interval, spike amplitude, action potential kinetics</w:t>
      </w:r>
    </w:p>
    <w:p>
      <w:pPr>
        <w:pStyle w:val="ListParagraph"/>
        <w:numPr>
          <w:ilvl w:val="0"/>
          <w:numId w:val="1"/>
        </w:numPr>
        <w:spacing w:after="80" w:line="360"/>
      </w:pPr>
      <w:r>
        <w:rPr>
          <w:rFonts w:ascii="Arial" w:cs="Arial" w:eastAsia="Arial" w:hAnsi="Arial"/>
          <w:sz w:val="24"/>
          <w:szCs w:val="24"/>
        </w:rPr>
        <w:t xml:space="preserve">Synaptic properties: network synchronization, cross-correlation of firing patterns, connectivity metrics</w:t>
      </w:r>
    </w:p>
    <w:p>
      <w:pPr>
        <w:pStyle w:val="ListParagraph"/>
        <w:numPr>
          <w:ilvl w:val="0"/>
          <w:numId w:val="1"/>
        </w:numPr>
        <w:spacing w:after="80" w:line="360"/>
      </w:pPr>
      <w:r>
        <w:rPr>
          <w:rFonts w:ascii="Arial" w:cs="Arial" w:eastAsia="Arial" w:hAnsi="Arial"/>
          <w:sz w:val="24"/>
          <w:szCs w:val="24"/>
        </w:rPr>
        <w:t xml:space="preserve">Stimulation protocols: evoked responses, input-output relationships, short-term plasticity (paired-pulse)</w:t>
      </w:r>
    </w:p>
    <w:p>
      <w:pPr>
        <w:pStyle w:val="ListParagraph"/>
        <w:numPr>
          <w:ilvl w:val="0"/>
          <w:numId w:val="1"/>
        </w:numPr>
        <w:spacing w:after="80" w:line="360"/>
      </w:pPr>
      <w:r>
        <w:rPr>
          <w:rFonts w:ascii="Arial" w:cs="Arial" w:eastAsia="Arial" w:hAnsi="Arial"/>
          <w:sz w:val="24"/>
          <w:szCs w:val="24"/>
        </w:rPr>
        <w:t xml:space="preserve">Statistical thresholds for defining hyperexcitability (fold-change &gt;1.5× WT, p &lt; 0.05)</w:t>
      </w:r>
    </w:p>
    <w:p>
      <w:pPr>
        <w:spacing w:after="100" w:line="360"/>
      </w:pPr>
      <w:r>
        <w:rPr>
          <w:rFonts w:ascii="Arial" w:cs="Arial" w:eastAsia="Arial" w:hAnsi="Arial"/>
          <w:b/>
          <w:bCs/>
          <w:sz w:val="24"/>
          <w:szCs w:val="24"/>
        </w:rPr>
        <w:t xml:space="preserve">Tools &amp; Databases Called:</w:t>
      </w:r>
    </w:p>
    <w:p>
      <w:pPr>
        <w:pStyle w:val="ListParagraph"/>
        <w:numPr>
          <w:ilvl w:val="0"/>
          <w:numId w:val="1"/>
        </w:numPr>
        <w:spacing w:after="80" w:line="360"/>
      </w:pPr>
      <w:r>
        <w:rPr>
          <w:rFonts w:ascii="Arial" w:cs="Arial" w:eastAsia="Arial" w:hAnsi="Arial"/>
          <w:sz w:val="24"/>
          <w:szCs w:val="24"/>
        </w:rPr>
        <w:t xml:space="preserve">Quiver EP CRISPR Atlas with CNTNAP2 perturbation data and WT baseline features</w:t>
      </w:r>
    </w:p>
    <w:p>
      <w:pPr>
        <w:pStyle w:val="ListParagraph"/>
        <w:numPr>
          <w:ilvl w:val="0"/>
          <w:numId w:val="1"/>
        </w:numPr>
        <w:spacing w:after="80" w:line="360"/>
      </w:pPr>
      <w:r>
        <w:rPr>
          <w:rFonts w:ascii="Arial" w:cs="Arial" w:eastAsia="Arial" w:hAnsi="Arial"/>
          <w:sz w:val="24"/>
          <w:szCs w:val="24"/>
        </w:rPr>
        <w:t xml:space="preserve">Multi-electrode array systems (Maestro, Muse, or equivalent for 64+ simultaneous neuron recording)</w:t>
      </w:r>
    </w:p>
    <w:p>
      <w:pPr>
        <w:pStyle w:val="ListParagraph"/>
        <w:numPr>
          <w:ilvl w:val="0"/>
          <w:numId w:val="1"/>
        </w:numPr>
        <w:spacing w:after="80" w:line="360"/>
      </w:pPr>
      <w:r>
        <w:rPr>
          <w:rFonts w:ascii="Arial" w:cs="Arial" w:eastAsia="Arial" w:hAnsi="Arial"/>
          <w:sz w:val="24"/>
          <w:szCs w:val="24"/>
        </w:rPr>
        <w:t xml:space="preserve">MEA spike detection and sorting software (custom Python/spike2 pipelines, Neuroexplorer)</w:t>
      </w:r>
    </w:p>
    <w:p>
      <w:pPr>
        <w:pStyle w:val="ListParagraph"/>
        <w:numPr>
          <w:ilvl w:val="0"/>
          <w:numId w:val="1"/>
        </w:numPr>
        <w:spacing w:after="80" w:line="360"/>
      </w:pPr>
      <w:r>
        <w:rPr>
          <w:rFonts w:ascii="Arial" w:cs="Arial" w:eastAsia="Arial" w:hAnsi="Arial"/>
          <w:sz w:val="24"/>
          <w:szCs w:val="24"/>
        </w:rPr>
        <w:t xml:space="preserve">Network analysis tools: graph theory metrics, cross-correlation, synchronization indices</w:t>
      </w:r>
    </w:p>
    <w:p>
      <w:pPr>
        <w:pStyle w:val="ListParagraph"/>
        <w:numPr>
          <w:ilvl w:val="0"/>
          <w:numId w:val="1"/>
        </w:numPr>
        <w:spacing w:after="80" w:line="360"/>
      </w:pPr>
      <w:r>
        <w:rPr>
          <w:rFonts w:ascii="Arial" w:cs="Arial" w:eastAsia="Arial" w:hAnsi="Arial"/>
          <w:sz w:val="24"/>
          <w:szCs w:val="24"/>
        </w:rPr>
        <w:t xml:space="preserve">Statistical software for multi-feature comparison (R: limma; Python: scipy.stats)</w:t>
      </w:r>
    </w:p>
    <w:p>
      <w:pPr>
        <w:pStyle w:val="ListParagraph"/>
        <w:numPr>
          <w:ilvl w:val="0"/>
          <w:numId w:val="1"/>
        </w:numPr>
        <w:spacing w:after="80" w:line="360"/>
      </w:pPr>
      <w:r>
        <w:rPr>
          <w:rFonts w:ascii="Arial" w:cs="Arial" w:eastAsia="Arial" w:hAnsi="Arial"/>
          <w:sz w:val="24"/>
          <w:szCs w:val="24"/>
        </w:rPr>
        <w:t xml:space="preserve">Feature importance and machine learning tools (Python: scikit-learn, XGBoost) for identifying most abnormal features</w:t>
      </w:r>
    </w:p>
    <w:p>
      <w:pPr>
        <w:pStyle w:val="ListParagraph"/>
        <w:numPr>
          <w:ilvl w:val="0"/>
          <w:numId w:val="1"/>
        </w:numPr>
        <w:spacing w:after="80" w:line="360"/>
      </w:pPr>
      <w:r>
        <w:rPr>
          <w:rFonts w:ascii="Arial" w:cs="Arial" w:eastAsia="Arial" w:hAnsi="Arial"/>
          <w:sz w:val="24"/>
          <w:szCs w:val="24"/>
        </w:rPr>
        <w:t xml:space="preserve">Visualization: matplotlib, seaborn, plotly for heatmaps and time-series plots</w:t>
      </w:r>
    </w:p>
    <w:p>
      <w:pPr>
        <w:spacing w:after="100" w:line="360"/>
      </w:pPr>
      <w:r>
        <w:rPr>
          <w:rFonts w:ascii="Arial" w:cs="Arial" w:eastAsia="Arial" w:hAnsi="Arial"/>
          <w:b/>
          <w:bCs/>
          <w:sz w:val="24"/>
          <w:szCs w:val="24"/>
        </w:rPr>
        <w:t xml:space="preserve">Exemplary Sub-Prompts:</w:t>
      </w:r>
    </w:p>
    <w:p>
      <w:pPr>
        <w:pStyle w:val="ListParagraph"/>
        <w:numPr>
          <w:ilvl w:val="0"/>
          <w:numId w:val="1"/>
        </w:numPr>
        <w:spacing w:after="80" w:line="360"/>
      </w:pPr>
      <w:r>
        <w:rPr>
          <w:rFonts w:ascii="Arial" w:cs="Arial" w:eastAsia="Arial" w:hAnsi="Arial"/>
          <w:sz w:val="24"/>
          <w:szCs w:val="24"/>
        </w:rPr>
        <w:t xml:space="preserve">Perform continuous MEA recording (10-15 min) of CNTNAP2-deficient vs. WT neurons. Quantify spontaneous firing rate, burst kinetics (frequency, duration, IBI), spike variability. Calculate fold-change and effect size for each metric.</w:t>
      </w:r>
    </w:p>
    <w:p>
      <w:pPr>
        <w:pStyle w:val="ListParagraph"/>
        <w:numPr>
          <w:ilvl w:val="0"/>
          <w:numId w:val="1"/>
        </w:numPr>
        <w:spacing w:after="80" w:line="360"/>
      </w:pPr>
      <w:r>
        <w:rPr>
          <w:rFonts w:ascii="Arial" w:cs="Arial" w:eastAsia="Arial" w:hAnsi="Arial"/>
          <w:sz w:val="24"/>
          <w:szCs w:val="24"/>
        </w:rPr>
        <w:t xml:space="preserve">Extract the top 10 EP features that best discriminate CNTNAP2-deficient from WT using random forest feature importance. Do these features cluster into themes (e.g., firing rate dynamics vs. synchronization)?</w:t>
      </w:r>
    </w:p>
    <w:p>
      <w:pPr>
        <w:pStyle w:val="ListParagraph"/>
        <w:numPr>
          <w:ilvl w:val="0"/>
          <w:numId w:val="1"/>
        </w:numPr>
        <w:spacing w:after="80" w:line="360"/>
      </w:pPr>
      <w:r>
        <w:rPr>
          <w:rFonts w:ascii="Arial" w:cs="Arial" w:eastAsia="Arial" w:hAnsi="Arial"/>
          <w:sz w:val="24"/>
          <w:szCs w:val="24"/>
        </w:rPr>
        <w:t xml:space="preserve">Analyze network-level properties: cross-correlation matrices, graph-theoretic metrics (degree, clustering coefficient, path length). Are CNTNAP2-deficient networks hyperconnected or hypersynchronized?</w:t>
      </w:r>
    </w:p>
    <w:p>
      <w:pPr>
        <w:pStyle w:val="ListParagraph"/>
        <w:numPr>
          <w:ilvl w:val="0"/>
          <w:numId w:val="1"/>
        </w:numPr>
        <w:spacing w:after="80" w:line="360"/>
      </w:pPr>
      <w:r>
        <w:rPr>
          <w:rFonts w:ascii="Arial" w:cs="Arial" w:eastAsia="Arial" w:hAnsi="Arial"/>
          <w:sz w:val="24"/>
          <w:szCs w:val="24"/>
        </w:rPr>
        <w:t xml:space="preserve">Perform evoked stimulation (current injection or optogenetic) and measure input-output relationships. Is CNTNAP2-deficient excitability intrinsic or network-driven?</w:t>
      </w:r>
    </w:p>
    <w:p>
      <w:pPr>
        <w:pStyle w:val="ListParagraph"/>
        <w:numPr>
          <w:ilvl w:val="0"/>
          <w:numId w:val="1"/>
        </w:numPr>
        <w:spacing w:after="80" w:line="360"/>
      </w:pPr>
      <w:r>
        <w:rPr>
          <w:rFonts w:ascii="Arial" w:cs="Arial" w:eastAsia="Arial" w:hAnsi="Arial"/>
          <w:sz w:val="24"/>
          <w:szCs w:val="24"/>
        </w:rPr>
        <w:t xml:space="preserve">Quantify E/I balance markers if possible: GABAergic transmission strength, AMPAR/NMDAR ratios (if amenable to electrophysiology or imaging). Is the hyperexcitability due to increased excitation, decreased inhibition, or both?</w:t>
      </w:r>
    </w:p>
    <w:p>
      <w:pPr>
        <w:spacing w:after="100" w:line="360"/>
      </w:pPr>
      <w:r>
        <w:rPr>
          <w:rFonts w:ascii="Arial" w:cs="Arial" w:eastAsia="Arial" w:hAnsi="Arial"/>
          <w:b/>
          <w:bCs/>
          <w:sz w:val="24"/>
          <w:szCs w:val="24"/>
        </w:rPr>
        <w:t xml:space="preserve">Expected Outputs:</w:t>
      </w:r>
      <w:r>
        <w:rPr>
          <w:rFonts w:ascii="Arial" w:cs="Arial" w:eastAsia="Arial" w:hAnsi="Arial"/>
          <w:b w:val="false"/>
          <w:bCs w:val="false"/>
          <w:sz w:val="24"/>
          <w:szCs w:val="24"/>
        </w:rPr>
        <w:t xml:space="preserve"> A detailed electrophysiological phenotype characterization defining the CNTNAP2-deficient hyperexcitable state.</w:t>
      </w:r>
    </w:p>
    <w:p>
      <w:pPr>
        <w:pStyle w:val="ListParagraph"/>
        <w:numPr>
          <w:ilvl w:val="0"/>
          <w:numId w:val="1"/>
        </w:numPr>
        <w:spacing w:after="80" w:line="360"/>
      </w:pPr>
      <w:r>
        <w:rPr>
          <w:rFonts w:ascii="Arial" w:cs="Arial" w:eastAsia="Arial" w:hAnsi="Arial"/>
          <w:sz w:val="24"/>
          <w:szCs w:val="24"/>
        </w:rPr>
        <w:t xml:space="preserve">Quantified EP metrics with effect sizes and p-values (firing rate, bursting, synchronization, etc.)</w:t>
      </w:r>
    </w:p>
    <w:p>
      <w:pPr>
        <w:pStyle w:val="ListParagraph"/>
        <w:numPr>
          <w:ilvl w:val="0"/>
          <w:numId w:val="1"/>
        </w:numPr>
        <w:spacing w:after="80" w:line="360"/>
      </w:pPr>
      <w:r>
        <w:rPr>
          <w:rFonts w:ascii="Arial" w:cs="Arial" w:eastAsia="Arial" w:hAnsi="Arial"/>
          <w:sz w:val="24"/>
          <w:szCs w:val="24"/>
        </w:rPr>
        <w:t xml:space="preserve">Feature importance ranking identifying top 10 abnormal features for use as screening benchmarks</w:t>
      </w:r>
    </w:p>
    <w:p>
      <w:pPr>
        <w:pStyle w:val="ListParagraph"/>
        <w:numPr>
          <w:ilvl w:val="0"/>
          <w:numId w:val="1"/>
        </w:numPr>
        <w:spacing w:after="80" w:line="360"/>
      </w:pPr>
      <w:r>
        <w:rPr>
          <w:rFonts w:ascii="Arial" w:cs="Arial" w:eastAsia="Arial" w:hAnsi="Arial"/>
          <w:sz w:val="24"/>
          <w:szCs w:val="24"/>
        </w:rPr>
        <w:t xml:space="preserve">Network-level analysis highlighting hyperconnectivity or hypersynchronization</w:t>
      </w:r>
    </w:p>
    <w:p>
      <w:pPr>
        <w:pStyle w:val="ListParagraph"/>
        <w:numPr>
          <w:ilvl w:val="0"/>
          <w:numId w:val="1"/>
        </w:numPr>
        <w:spacing w:after="80" w:line="360"/>
      </w:pPr>
      <w:r>
        <w:rPr>
          <w:rFonts w:ascii="Arial" w:cs="Arial" w:eastAsia="Arial" w:hAnsi="Arial"/>
          <w:sz w:val="24"/>
          <w:szCs w:val="24"/>
        </w:rPr>
        <w:t xml:space="preserve">E/I balance assessment (if available)</w:t>
      </w:r>
    </w:p>
    <w:p>
      <w:pPr>
        <w:pStyle w:val="ListParagraph"/>
        <w:numPr>
          <w:ilvl w:val="0"/>
          <w:numId w:val="1"/>
        </w:numPr>
        <w:spacing w:after="80" w:line="360"/>
      </w:pPr>
      <w:r>
        <w:rPr>
          <w:rFonts w:ascii="Arial" w:cs="Arial" w:eastAsia="Arial" w:hAnsi="Arial"/>
          <w:sz w:val="24"/>
          <w:szCs w:val="24"/>
        </w:rPr>
        <w:t xml:space="preserve">Dose-response and time-course data for baseline hyperexcitability stability</w:t>
      </w:r>
    </w:p>
    <w:p>
      <w:pPr>
        <w:spacing w:after="100" w:line="360"/>
      </w:pPr>
      <w:r>
        <w:rPr>
          <w:rFonts w:ascii="Arial" w:cs="Arial" w:eastAsia="Arial" w:hAnsi="Arial"/>
          <w:b/>
          <w:bCs/>
          <w:sz w:val="24"/>
          <w:szCs w:val="24"/>
        </w:rPr>
        <w:t xml:space="preserve">Format:</w:t>
      </w:r>
      <w:r>
        <w:rPr>
          <w:rFonts w:ascii="Arial" w:cs="Arial" w:eastAsia="Arial" w:hAnsi="Arial"/>
          <w:b w:val="false"/>
          <w:bCs w:val="false"/>
          <w:sz w:val="24"/>
          <w:szCs w:val="24"/>
        </w:rPr>
        <w:t xml:space="preserve"> Comprehensive phenotyping report with statistical tables, feature heatmaps, time-series examples, and network topology visualizations.</w:t>
      </w:r>
    </w:p>
    <w:p>
      <w:pPr>
        <w:pStyle w:val="Heading2"/>
        <w:spacing w:after="100" w:line="360"/>
      </w:pPr>
      <w:r>
        <w:rPr>
          <w:rFonts w:ascii="Arial" w:cs="Arial" w:eastAsia="Arial" w:hAnsi="Arial"/>
          <w:b/>
          <w:bCs/>
          <w:sz w:val="28"/>
          <w:szCs w:val="28"/>
        </w:rPr>
        <w:t xml:space="preserve">Stage 2: Unbiased Compound Screening Against Hyperexcitability</w:t>
      </w:r>
    </w:p>
    <w:p>
      <w:pPr>
        <w:spacing w:after="100" w:line="360"/>
      </w:pPr>
      <w:r>
        <w:rPr>
          <w:rFonts w:ascii="Arial" w:cs="Arial" w:eastAsia="Arial" w:hAnsi="Arial"/>
          <w:b/>
          <w:bCs/>
          <w:sz w:val="24"/>
          <w:szCs w:val="24"/>
        </w:rPr>
        <w:t xml:space="preserve">Purpose:</w:t>
      </w:r>
      <w:r>
        <w:rPr>
          <w:rFonts w:ascii="Arial" w:cs="Arial" w:eastAsia="Arial" w:hAnsi="Arial"/>
          <w:b w:val="false"/>
          <w:bCs w:val="false"/>
          <w:sz w:val="24"/>
          <w:szCs w:val="24"/>
        </w:rPr>
        <w:t xml:space="preserve"> Screen all ~3,500 compounds in the Quiver database against CNTNAP2-deficient neurons to identify compounds that specifically suppress hyperexcitability without global neuronal depression.</w:t>
      </w:r>
    </w:p>
    <w:p>
      <w:pPr>
        <w:spacing w:after="100" w:line="360"/>
      </w:pPr>
      <w:r>
        <w:rPr>
          <w:rFonts w:ascii="Arial" w:cs="Arial" w:eastAsia="Arial" w:hAnsi="Arial"/>
          <w:b/>
          <w:bCs/>
          <w:sz w:val="24"/>
          <w:szCs w:val="24"/>
        </w:rPr>
        <w:t xml:space="preserve">Inputs:</w:t>
      </w:r>
    </w:p>
    <w:p>
      <w:pPr>
        <w:pStyle w:val="ListParagraph"/>
        <w:numPr>
          <w:ilvl w:val="0"/>
          <w:numId w:val="1"/>
        </w:numPr>
        <w:spacing w:after="80" w:line="360"/>
      </w:pPr>
      <w:r>
        <w:rPr>
          <w:rFonts w:ascii="Arial" w:cs="Arial" w:eastAsia="Arial" w:hAnsi="Arial"/>
          <w:sz w:val="24"/>
          <w:szCs w:val="24"/>
        </w:rPr>
        <w:t xml:space="preserve">CNTNAP2-deficient neurons as established in Stage 1</w:t>
      </w:r>
    </w:p>
    <w:p>
      <w:pPr>
        <w:pStyle w:val="ListParagraph"/>
        <w:numPr>
          <w:ilvl w:val="0"/>
          <w:numId w:val="1"/>
        </w:numPr>
        <w:spacing w:after="80" w:line="360"/>
      </w:pPr>
      <w:r>
        <w:rPr>
          <w:rFonts w:ascii="Arial" w:cs="Arial" w:eastAsia="Arial" w:hAnsi="Arial"/>
          <w:sz w:val="24"/>
          <w:szCs w:val="24"/>
        </w:rPr>
        <w:t xml:space="preserve">Quiver Compound Perturbation Database (~3,500 compounds, each with quantified EP phenotypes)</w:t>
      </w:r>
    </w:p>
    <w:p>
      <w:pPr>
        <w:pStyle w:val="ListParagraph"/>
        <w:numPr>
          <w:ilvl w:val="0"/>
          <w:numId w:val="1"/>
        </w:numPr>
        <w:spacing w:after="80" w:line="360"/>
      </w:pPr>
      <w:r>
        <w:rPr>
          <w:rFonts w:ascii="Arial" w:cs="Arial" w:eastAsia="Arial" w:hAnsi="Arial"/>
          <w:sz w:val="24"/>
          <w:szCs w:val="24"/>
        </w:rPr>
        <w:t xml:space="preserve">Screening metrics: primary readout (firing rate reduction), secondary readouts (burst phenotype, E/I balance, off-target effects)</w:t>
      </w:r>
    </w:p>
    <w:p>
      <w:pPr>
        <w:pStyle w:val="ListParagraph"/>
        <w:numPr>
          <w:ilvl w:val="0"/>
          <w:numId w:val="1"/>
        </w:numPr>
        <w:spacing w:after="80" w:line="360"/>
      </w:pPr>
      <w:r>
        <w:rPr>
          <w:rFonts w:ascii="Arial" w:cs="Arial" w:eastAsia="Arial" w:hAnsi="Arial"/>
          <w:sz w:val="24"/>
          <w:szCs w:val="24"/>
        </w:rPr>
        <w:t xml:space="preserve">Hit selection criteria: &gt;30% reduction in firing rate, preservation of spike shape/amplitude, no signs of global depression</w:t>
      </w:r>
    </w:p>
    <w:p>
      <w:pPr>
        <w:pStyle w:val="ListParagraph"/>
        <w:numPr>
          <w:ilvl w:val="0"/>
          <w:numId w:val="1"/>
        </w:numPr>
        <w:spacing w:after="80" w:line="360"/>
      </w:pPr>
      <w:r>
        <w:rPr>
          <w:rFonts w:ascii="Arial" w:cs="Arial" w:eastAsia="Arial" w:hAnsi="Arial"/>
          <w:sz w:val="24"/>
          <w:szCs w:val="24"/>
        </w:rPr>
        <w:t xml:space="preserve">Positive/negative controls: known hyperexcitability suppressors (e.g., GABA-A agonists, potassium channel openers) and positive controls</w:t>
      </w:r>
    </w:p>
    <w:p>
      <w:pPr>
        <w:pStyle w:val="ListParagraph"/>
        <w:numPr>
          <w:ilvl w:val="0"/>
          <w:numId w:val="1"/>
        </w:numPr>
        <w:spacing w:after="80" w:line="360"/>
      </w:pPr>
      <w:r>
        <w:rPr>
          <w:rFonts w:ascii="Arial" w:cs="Arial" w:eastAsia="Arial" w:hAnsi="Arial"/>
          <w:sz w:val="24"/>
          <w:szCs w:val="24"/>
        </w:rPr>
        <w:t xml:space="preserve">Concentration-response protocol: test compounds at multiple concentrations (e.g., 100 nM to 100 μM)</w:t>
      </w:r>
    </w:p>
    <w:p>
      <w:pPr>
        <w:spacing w:after="100" w:line="360"/>
      </w:pPr>
      <w:r>
        <w:rPr>
          <w:rFonts w:ascii="Arial" w:cs="Arial" w:eastAsia="Arial" w:hAnsi="Arial"/>
          <w:b/>
          <w:bCs/>
          <w:sz w:val="24"/>
          <w:szCs w:val="24"/>
        </w:rPr>
        <w:t xml:space="preserve">Tools &amp; Databases Called:</w:t>
      </w:r>
    </w:p>
    <w:p>
      <w:pPr>
        <w:pStyle w:val="ListParagraph"/>
        <w:numPr>
          <w:ilvl w:val="0"/>
          <w:numId w:val="1"/>
        </w:numPr>
        <w:spacing w:after="80" w:line="360"/>
      </w:pPr>
      <w:r>
        <w:rPr>
          <w:rFonts w:ascii="Arial" w:cs="Arial" w:eastAsia="Arial" w:hAnsi="Arial"/>
          <w:sz w:val="24"/>
          <w:szCs w:val="24"/>
        </w:rPr>
        <w:t xml:space="preserve">Quiver Compound Perturbation Atlas with pre-characterized phenotypic effects of 3,500 compounds</w:t>
      </w:r>
    </w:p>
    <w:p>
      <w:pPr>
        <w:pStyle w:val="ListParagraph"/>
        <w:numPr>
          <w:ilvl w:val="0"/>
          <w:numId w:val="1"/>
        </w:numPr>
        <w:spacing w:after="80" w:line="360"/>
      </w:pPr>
      <w:r>
        <w:rPr>
          <w:rFonts w:ascii="Arial" w:cs="Arial" w:eastAsia="Arial" w:hAnsi="Arial"/>
          <w:sz w:val="24"/>
          <w:szCs w:val="24"/>
        </w:rPr>
        <w:t xml:space="preserve">MEA screening platform (Maestro, Muse) for parallel compound testing on 24-96 well plates</w:t>
      </w:r>
    </w:p>
    <w:p>
      <w:pPr>
        <w:pStyle w:val="ListParagraph"/>
        <w:numPr>
          <w:ilvl w:val="0"/>
          <w:numId w:val="1"/>
        </w:numPr>
        <w:spacing w:after="80" w:line="360"/>
      </w:pPr>
      <w:r>
        <w:rPr>
          <w:rFonts w:ascii="Arial" w:cs="Arial" w:eastAsia="Arial" w:hAnsi="Arial"/>
          <w:sz w:val="24"/>
          <w:szCs w:val="24"/>
        </w:rPr>
        <w:t xml:space="preserve">High-throughput spike detection and analysis (custom Python pipelines, commercial MEA software)</w:t>
      </w:r>
    </w:p>
    <w:p>
      <w:pPr>
        <w:pStyle w:val="ListParagraph"/>
        <w:numPr>
          <w:ilvl w:val="0"/>
          <w:numId w:val="1"/>
        </w:numPr>
        <w:spacing w:after="80" w:line="360"/>
      </w:pPr>
      <w:r>
        <w:rPr>
          <w:rFonts w:ascii="Arial" w:cs="Arial" w:eastAsia="Arial" w:hAnsi="Arial"/>
          <w:sz w:val="24"/>
          <w:szCs w:val="24"/>
        </w:rPr>
        <w:t xml:space="preserve">Phenotypic hit scoring algorithms (e.g., custom distance metrics to define hits)</w:t>
      </w:r>
    </w:p>
    <w:p>
      <w:pPr>
        <w:pStyle w:val="ListParagraph"/>
        <w:numPr>
          <w:ilvl w:val="0"/>
          <w:numId w:val="1"/>
        </w:numPr>
        <w:spacing w:after="80" w:line="360"/>
      </w:pPr>
      <w:r>
        <w:rPr>
          <w:rFonts w:ascii="Arial" w:cs="Arial" w:eastAsia="Arial" w:hAnsi="Arial"/>
          <w:sz w:val="24"/>
          <w:szCs w:val="24"/>
        </w:rPr>
        <w:t xml:space="preserve">Compound library management and LIMS integration for tracking doses and batch information</w:t>
      </w:r>
    </w:p>
    <w:p>
      <w:pPr>
        <w:pStyle w:val="ListParagraph"/>
        <w:numPr>
          <w:ilvl w:val="0"/>
          <w:numId w:val="1"/>
        </w:numPr>
        <w:spacing w:after="80" w:line="360"/>
      </w:pPr>
      <w:r>
        <w:rPr>
          <w:rFonts w:ascii="Arial" w:cs="Arial" w:eastAsia="Arial" w:hAnsi="Arial"/>
          <w:sz w:val="24"/>
          <w:szCs w:val="24"/>
        </w:rPr>
        <w:t xml:space="preserve">Statistical and machine learning tools for hit ranking (Python: scikit-learn, R: limma)</w:t>
      </w:r>
    </w:p>
    <w:p>
      <w:pPr>
        <w:spacing w:after="100" w:line="360"/>
      </w:pPr>
      <w:r>
        <w:rPr>
          <w:rFonts w:ascii="Arial" w:cs="Arial" w:eastAsia="Arial" w:hAnsi="Arial"/>
          <w:b/>
          <w:bCs/>
          <w:sz w:val="24"/>
          <w:szCs w:val="24"/>
        </w:rPr>
        <w:t xml:space="preserve">Exemplary Sub-Prompts:</w:t>
      </w:r>
    </w:p>
    <w:p>
      <w:pPr>
        <w:pStyle w:val="ListParagraph"/>
        <w:numPr>
          <w:ilvl w:val="0"/>
          <w:numId w:val="1"/>
        </w:numPr>
        <w:spacing w:after="80" w:line="360"/>
      </w:pPr>
      <w:r>
        <w:rPr>
          <w:rFonts w:ascii="Arial" w:cs="Arial" w:eastAsia="Arial" w:hAnsi="Arial"/>
          <w:sz w:val="24"/>
          <w:szCs w:val="24"/>
        </w:rPr>
        <w:t xml:space="preserve">Compare the EP phenotype of each compound in the Quiver database when applied to CNTNAP2-deficient neurons. Identify compounds that reduce the top abnormal features (e.g., firing rate) toward WT levels. Rank by 'hyperexcitability suppression score' (fraction of abnormal features normalized).</w:t>
      </w:r>
    </w:p>
    <w:p>
      <w:pPr>
        <w:pStyle w:val="ListParagraph"/>
        <w:numPr>
          <w:ilvl w:val="0"/>
          <w:numId w:val="1"/>
        </w:numPr>
        <w:spacing w:after="80" w:line="360"/>
      </w:pPr>
      <w:r>
        <w:rPr>
          <w:rFonts w:ascii="Arial" w:cs="Arial" w:eastAsia="Arial" w:hAnsi="Arial"/>
          <w:sz w:val="24"/>
          <w:szCs w:val="24"/>
        </w:rPr>
        <w:t xml:space="preserve">Define stringent hit criteria: &gt;30% firing rate reduction + preservation of AP waveform + no increase in dead/unresponsive cells. Apply to all 3,500 compounds. Generate hit list with effect sizes.</w:t>
      </w:r>
    </w:p>
    <w:p>
      <w:pPr>
        <w:pStyle w:val="ListParagraph"/>
        <w:numPr>
          <w:ilvl w:val="0"/>
          <w:numId w:val="1"/>
        </w:numPr>
        <w:spacing w:after="80" w:line="360"/>
      </w:pPr>
      <w:r>
        <w:rPr>
          <w:rFonts w:ascii="Arial" w:cs="Arial" w:eastAsia="Arial" w:hAnsi="Arial"/>
          <w:sz w:val="24"/>
          <w:szCs w:val="24"/>
        </w:rPr>
        <w:t xml:space="preserve">Perform secondary screening on hits: test at 3-5 concentrations. Determine IC50 or EC50 for firing rate reduction. Identify compounds with steep dose-response (good selectivity) vs. shallow response (potential off-target).</w:t>
      </w:r>
    </w:p>
    <w:p>
      <w:pPr>
        <w:pStyle w:val="ListParagraph"/>
        <w:numPr>
          <w:ilvl w:val="0"/>
          <w:numId w:val="1"/>
        </w:numPr>
        <w:spacing w:after="80" w:line="360"/>
      </w:pPr>
      <w:r>
        <w:rPr>
          <w:rFonts w:ascii="Arial" w:cs="Arial" w:eastAsia="Arial" w:hAnsi="Arial"/>
          <w:sz w:val="24"/>
          <w:szCs w:val="24"/>
        </w:rPr>
        <w:t xml:space="preserve">Cluster hits by chemical structure and phenotypic profile. Are hits enriched for specific compound classes (e.g., potassium channel blockers, GABA agonists, others)? What are the mechanisms?</w:t>
      </w:r>
    </w:p>
    <w:p>
      <w:pPr>
        <w:pStyle w:val="ListParagraph"/>
        <w:numPr>
          <w:ilvl w:val="0"/>
          <w:numId w:val="1"/>
        </w:numPr>
        <w:spacing w:after="80" w:line="360"/>
      </w:pPr>
      <w:r>
        <w:rPr>
          <w:rFonts w:ascii="Arial" w:cs="Arial" w:eastAsia="Arial" w:hAnsi="Arial"/>
          <w:sz w:val="24"/>
          <w:szCs w:val="24"/>
        </w:rPr>
        <w:t xml:space="preserve">For top 50 hits, assess selectivity: do they affect WT neurons similarly, or is the effect CNTNAP2-specific? If applicable, test on other KO models (e.g., Pten, TSC1) to assess disease specificity.</w:t>
      </w:r>
    </w:p>
    <w:p>
      <w:pPr>
        <w:spacing w:after="100" w:line="360"/>
      </w:pPr>
      <w:r>
        <w:rPr>
          <w:rFonts w:ascii="Arial" w:cs="Arial" w:eastAsia="Arial" w:hAnsi="Arial"/>
          <w:b/>
          <w:bCs/>
          <w:sz w:val="24"/>
          <w:szCs w:val="24"/>
        </w:rPr>
        <w:t xml:space="preserve">Expected Outputs:</w:t>
      </w:r>
      <w:r>
        <w:rPr>
          <w:rFonts w:ascii="Arial" w:cs="Arial" w:eastAsia="Arial" w:hAnsi="Arial"/>
          <w:b w:val="false"/>
          <w:bCs w:val="false"/>
          <w:sz w:val="24"/>
          <w:szCs w:val="24"/>
        </w:rPr>
        <w:t xml:space="preserve"> A prioritized hit list from the unbiased compound screen with phenotypic and dose-response characterization.</w:t>
      </w:r>
    </w:p>
    <w:p>
      <w:pPr>
        <w:pStyle w:val="ListParagraph"/>
        <w:numPr>
          <w:ilvl w:val="0"/>
          <w:numId w:val="1"/>
        </w:numPr>
        <w:spacing w:after="80" w:line="360"/>
      </w:pPr>
      <w:r>
        <w:rPr>
          <w:rFonts w:ascii="Arial" w:cs="Arial" w:eastAsia="Arial" w:hAnsi="Arial"/>
          <w:sz w:val="24"/>
          <w:szCs w:val="24"/>
        </w:rPr>
        <w:t xml:space="preserve">Top 50-100 compounds ranked by hyperexcitability suppression score and effect magnitude</w:t>
      </w:r>
    </w:p>
    <w:p>
      <w:pPr>
        <w:pStyle w:val="ListParagraph"/>
        <w:numPr>
          <w:ilvl w:val="0"/>
          <w:numId w:val="1"/>
        </w:numPr>
        <w:spacing w:after="80" w:line="360"/>
      </w:pPr>
      <w:r>
        <w:rPr>
          <w:rFonts w:ascii="Arial" w:cs="Arial" w:eastAsia="Arial" w:hAnsi="Arial"/>
          <w:sz w:val="24"/>
          <w:szCs w:val="24"/>
        </w:rPr>
        <w:t xml:space="preserve">Dose-response data (IC50/EC50) for all hits at multiple concentrations</w:t>
      </w:r>
    </w:p>
    <w:p>
      <w:pPr>
        <w:pStyle w:val="ListParagraph"/>
        <w:numPr>
          <w:ilvl w:val="0"/>
          <w:numId w:val="1"/>
        </w:numPr>
        <w:spacing w:after="80" w:line="360"/>
      </w:pPr>
      <w:r>
        <w:rPr>
          <w:rFonts w:ascii="Arial" w:cs="Arial" w:eastAsia="Arial" w:hAnsi="Arial"/>
          <w:sz w:val="24"/>
          <w:szCs w:val="24"/>
        </w:rPr>
        <w:t xml:space="preserve">Mechanism-of-action predictions for hit compounds (channel targets, pathways, etc.)</w:t>
      </w:r>
    </w:p>
    <w:p>
      <w:pPr>
        <w:pStyle w:val="ListParagraph"/>
        <w:numPr>
          <w:ilvl w:val="0"/>
          <w:numId w:val="1"/>
        </w:numPr>
        <w:spacing w:after="80" w:line="360"/>
      </w:pPr>
      <w:r>
        <w:rPr>
          <w:rFonts w:ascii="Arial" w:cs="Arial" w:eastAsia="Arial" w:hAnsi="Arial"/>
          <w:sz w:val="24"/>
          <w:szCs w:val="24"/>
        </w:rPr>
        <w:t xml:space="preserve">Selectivity assessment data: comparison of effects in CNTNAP2 vs. WT neurons</w:t>
      </w:r>
    </w:p>
    <w:p>
      <w:pPr>
        <w:pStyle w:val="ListParagraph"/>
        <w:numPr>
          <w:ilvl w:val="0"/>
          <w:numId w:val="1"/>
        </w:numPr>
        <w:spacing w:after="80" w:line="360"/>
      </w:pPr>
      <w:r>
        <w:rPr>
          <w:rFonts w:ascii="Arial" w:cs="Arial" w:eastAsia="Arial" w:hAnsi="Arial"/>
          <w:sz w:val="24"/>
          <w:szCs w:val="24"/>
        </w:rPr>
        <w:t xml:space="preserve">ADME profiling for lead hits (if available in Quiver database)</w:t>
      </w:r>
    </w:p>
    <w:p>
      <w:pPr>
        <w:spacing w:after="100" w:line="360"/>
      </w:pPr>
      <w:r>
        <w:rPr>
          <w:rFonts w:ascii="Arial" w:cs="Arial" w:eastAsia="Arial" w:hAnsi="Arial"/>
          <w:b/>
          <w:bCs/>
          <w:sz w:val="24"/>
          <w:szCs w:val="24"/>
        </w:rPr>
        <w:t xml:space="preserve">Format:</w:t>
      </w:r>
      <w:r>
        <w:rPr>
          <w:rFonts w:ascii="Arial" w:cs="Arial" w:eastAsia="Arial" w:hAnsi="Arial"/>
          <w:b w:val="false"/>
          <w:bCs w:val="false"/>
          <w:sz w:val="24"/>
          <w:szCs w:val="24"/>
        </w:rPr>
        <w:t xml:space="preserve"> Hit table with compound identifiers, effect sizes, dose-responses, IC50 values, mechanism annotations, and selectivity assessments. Supporting figures include dose-response curves and feature comparison heatmaps.</w:t>
      </w:r>
    </w:p>
    <w:p>
      <w:pPr>
        <w:pStyle w:val="Heading2"/>
        <w:spacing w:after="100" w:line="360"/>
      </w:pPr>
      <w:r>
        <w:rPr>
          <w:rFonts w:ascii="Arial" w:cs="Arial" w:eastAsia="Arial" w:hAnsi="Arial"/>
          <w:b/>
          <w:bCs/>
          <w:sz w:val="28"/>
          <w:szCs w:val="28"/>
        </w:rPr>
        <w:t xml:space="preserve">Stage 3: Mechanistic Validation and Target Deconvolution</w:t>
      </w:r>
    </w:p>
    <w:p>
      <w:pPr>
        <w:spacing w:after="100" w:line="360"/>
      </w:pPr>
      <w:r>
        <w:rPr>
          <w:rFonts w:ascii="Arial" w:cs="Arial" w:eastAsia="Arial" w:hAnsi="Arial"/>
          <w:b/>
          <w:bCs/>
          <w:sz w:val="24"/>
          <w:szCs w:val="24"/>
        </w:rPr>
        <w:t xml:space="preserve">Purpose:</w:t>
      </w:r>
      <w:r>
        <w:rPr>
          <w:rFonts w:ascii="Arial" w:cs="Arial" w:eastAsia="Arial" w:hAnsi="Arial"/>
          <w:b w:val="false"/>
          <w:bCs w:val="false"/>
          <w:sz w:val="24"/>
          <w:szCs w:val="24"/>
        </w:rPr>
        <w:t xml:space="preserve"> Identify the molecular targets and mechanisms by which top compounds suppress hyperexcitability; validate targets against CNTNAP2 biology.</w:t>
      </w:r>
    </w:p>
    <w:p>
      <w:pPr>
        <w:spacing w:after="100" w:line="360"/>
      </w:pPr>
      <w:r>
        <w:rPr>
          <w:rFonts w:ascii="Arial" w:cs="Arial" w:eastAsia="Arial" w:hAnsi="Arial"/>
          <w:b/>
          <w:bCs/>
          <w:sz w:val="24"/>
          <w:szCs w:val="24"/>
        </w:rPr>
        <w:t xml:space="preserve">Inputs:</w:t>
      </w:r>
    </w:p>
    <w:p>
      <w:pPr>
        <w:pStyle w:val="ListParagraph"/>
        <w:numPr>
          <w:ilvl w:val="0"/>
          <w:numId w:val="1"/>
        </w:numPr>
        <w:spacing w:after="80" w:line="360"/>
      </w:pPr>
      <w:r>
        <w:rPr>
          <w:rFonts w:ascii="Arial" w:cs="Arial" w:eastAsia="Arial" w:hAnsi="Arial"/>
          <w:sz w:val="24"/>
          <w:szCs w:val="24"/>
        </w:rPr>
        <w:t xml:space="preserve">Top 20-30 compounds from Stage 2 hit list</w:t>
      </w:r>
    </w:p>
    <w:p>
      <w:pPr>
        <w:pStyle w:val="ListParagraph"/>
        <w:numPr>
          <w:ilvl w:val="0"/>
          <w:numId w:val="1"/>
        </w:numPr>
        <w:spacing w:after="80" w:line="360"/>
      </w:pPr>
      <w:r>
        <w:rPr>
          <w:rFonts w:ascii="Arial" w:cs="Arial" w:eastAsia="Arial" w:hAnsi="Arial"/>
          <w:sz w:val="24"/>
          <w:szCs w:val="24"/>
        </w:rPr>
        <w:t xml:space="preserve">Structural/chemical data for hit compounds (SMILES, molecular structure)</w:t>
      </w:r>
    </w:p>
    <w:p>
      <w:pPr>
        <w:pStyle w:val="ListParagraph"/>
        <w:numPr>
          <w:ilvl w:val="0"/>
          <w:numId w:val="1"/>
        </w:numPr>
        <w:spacing w:after="80" w:line="360"/>
      </w:pPr>
      <w:r>
        <w:rPr>
          <w:rFonts w:ascii="Arial" w:cs="Arial" w:eastAsia="Arial" w:hAnsi="Arial"/>
          <w:sz w:val="24"/>
          <w:szCs w:val="24"/>
        </w:rPr>
        <w:t xml:space="preserve">Known compound-target databases (ChEMBL, DrugBank, BindingDB)</w:t>
      </w:r>
    </w:p>
    <w:p>
      <w:pPr>
        <w:pStyle w:val="ListParagraph"/>
        <w:numPr>
          <w:ilvl w:val="0"/>
          <w:numId w:val="1"/>
        </w:numPr>
        <w:spacing w:after="80" w:line="360"/>
      </w:pPr>
      <w:r>
        <w:rPr>
          <w:rFonts w:ascii="Arial" w:cs="Arial" w:eastAsia="Arial" w:hAnsi="Arial"/>
          <w:sz w:val="24"/>
          <w:szCs w:val="24"/>
        </w:rPr>
        <w:t xml:space="preserve">CNTNAP2 interactome: protein-protein interactions, pathway context</w:t>
      </w:r>
    </w:p>
    <w:p>
      <w:pPr>
        <w:pStyle w:val="ListParagraph"/>
        <w:numPr>
          <w:ilvl w:val="0"/>
          <w:numId w:val="1"/>
        </w:numPr>
        <w:spacing w:after="80" w:line="360"/>
      </w:pPr>
      <w:r>
        <w:rPr>
          <w:rFonts w:ascii="Arial" w:cs="Arial" w:eastAsia="Arial" w:hAnsi="Arial"/>
          <w:sz w:val="24"/>
          <w:szCs w:val="24"/>
        </w:rPr>
        <w:t xml:space="preserve">Transcriptomics from CNTNAP2-deficient neurons</w:t>
      </w:r>
    </w:p>
    <w:p>
      <w:pPr>
        <w:pStyle w:val="ListParagraph"/>
        <w:numPr>
          <w:ilvl w:val="0"/>
          <w:numId w:val="1"/>
        </w:numPr>
        <w:spacing w:after="80" w:line="360"/>
      </w:pPr>
      <w:r>
        <w:rPr>
          <w:rFonts w:ascii="Arial" w:cs="Arial" w:eastAsia="Arial" w:hAnsi="Arial"/>
          <w:sz w:val="24"/>
          <w:szCs w:val="24"/>
        </w:rPr>
        <w:t xml:space="preserve">Functional assays for mechanism testing: ion channel electrophysiology, calcium imaging, molecular markers</w:t>
      </w:r>
    </w:p>
    <w:p>
      <w:pPr>
        <w:spacing w:after="100" w:line="360"/>
      </w:pPr>
      <w:r>
        <w:rPr>
          <w:rFonts w:ascii="Arial" w:cs="Arial" w:eastAsia="Arial" w:hAnsi="Arial"/>
          <w:b/>
          <w:bCs/>
          <w:sz w:val="24"/>
          <w:szCs w:val="24"/>
        </w:rPr>
        <w:t xml:space="preserve">Tools &amp; Databases Called:</w:t>
      </w:r>
    </w:p>
    <w:p>
      <w:pPr>
        <w:pStyle w:val="ListParagraph"/>
        <w:numPr>
          <w:ilvl w:val="0"/>
          <w:numId w:val="1"/>
        </w:numPr>
        <w:spacing w:after="80" w:line="360"/>
      </w:pPr>
      <w:r>
        <w:rPr>
          <w:rFonts w:ascii="Arial" w:cs="Arial" w:eastAsia="Arial" w:hAnsi="Arial"/>
          <w:sz w:val="24"/>
          <w:szCs w:val="24"/>
        </w:rPr>
        <w:t xml:space="preserve">Compound-target databases: ChEMBL, DrugBank, BindingDB for known ligand-target relationships</w:t>
      </w:r>
    </w:p>
    <w:p>
      <w:pPr>
        <w:pStyle w:val="ListParagraph"/>
        <w:numPr>
          <w:ilvl w:val="0"/>
          <w:numId w:val="1"/>
        </w:numPr>
        <w:spacing w:after="80" w:line="360"/>
      </w:pPr>
      <w:r>
        <w:rPr>
          <w:rFonts w:ascii="Arial" w:cs="Arial" w:eastAsia="Arial" w:hAnsi="Arial"/>
          <w:sz w:val="24"/>
          <w:szCs w:val="24"/>
        </w:rPr>
        <w:t xml:space="preserve">Phenotypic matching: identify compounds in Quiver atlas with similar profiles to mechanistically annotated reference compounds</w:t>
      </w:r>
    </w:p>
    <w:p>
      <w:pPr>
        <w:pStyle w:val="ListParagraph"/>
        <w:numPr>
          <w:ilvl w:val="0"/>
          <w:numId w:val="1"/>
        </w:numPr>
        <w:spacing w:after="80" w:line="360"/>
      </w:pPr>
      <w:r>
        <w:rPr>
          <w:rFonts w:ascii="Arial" w:cs="Arial" w:eastAsia="Arial" w:hAnsi="Arial"/>
          <w:sz w:val="24"/>
          <w:szCs w:val="24"/>
        </w:rPr>
        <w:t xml:space="preserve">Chemical similarity tools (Tanimoto distance, fingerprints) to infer targets from structurally similar compounds</w:t>
      </w:r>
    </w:p>
    <w:p>
      <w:pPr>
        <w:pStyle w:val="ListParagraph"/>
        <w:numPr>
          <w:ilvl w:val="0"/>
          <w:numId w:val="1"/>
        </w:numPr>
        <w:spacing w:after="80" w:line="360"/>
      </w:pPr>
      <w:r>
        <w:rPr>
          <w:rFonts w:ascii="Arial" w:cs="Arial" w:eastAsia="Arial" w:hAnsi="Arial"/>
          <w:sz w:val="24"/>
          <w:szCs w:val="24"/>
        </w:rPr>
        <w:t xml:space="preserve">Target prediction algorithms: reverse pharmacology tools (SEA, PIDGIN, ChEMBL target predictions)</w:t>
      </w:r>
    </w:p>
    <w:p>
      <w:pPr>
        <w:pStyle w:val="ListParagraph"/>
        <w:numPr>
          <w:ilvl w:val="0"/>
          <w:numId w:val="1"/>
        </w:numPr>
        <w:spacing w:after="80" w:line="360"/>
      </w:pPr>
      <w:r>
        <w:rPr>
          <w:rFonts w:ascii="Arial" w:cs="Arial" w:eastAsia="Arial" w:hAnsi="Arial"/>
          <w:sz w:val="24"/>
          <w:szCs w:val="24"/>
        </w:rPr>
        <w:t xml:space="preserve">CNTNAP2 interactome databases: STRING, BioGRID, IntAct for protein interactions</w:t>
      </w:r>
    </w:p>
    <w:p>
      <w:pPr>
        <w:pStyle w:val="ListParagraph"/>
        <w:numPr>
          <w:ilvl w:val="0"/>
          <w:numId w:val="1"/>
        </w:numPr>
        <w:spacing w:after="80" w:line="360"/>
      </w:pPr>
      <w:r>
        <w:rPr>
          <w:rFonts w:ascii="Arial" w:cs="Arial" w:eastAsia="Arial" w:hAnsi="Arial"/>
          <w:sz w:val="24"/>
          <w:szCs w:val="24"/>
        </w:rPr>
        <w:t xml:space="preserve">Transcriptomic validation: RNA-seq or qPCR to measure target expression and compound-induced changes</w:t>
      </w:r>
    </w:p>
    <w:p>
      <w:pPr>
        <w:pStyle w:val="ListParagraph"/>
        <w:numPr>
          <w:ilvl w:val="0"/>
          <w:numId w:val="1"/>
        </w:numPr>
        <w:spacing w:after="80" w:line="360"/>
      </w:pPr>
      <w:r>
        <w:rPr>
          <w:rFonts w:ascii="Arial" w:cs="Arial" w:eastAsia="Arial" w:hAnsi="Arial"/>
          <w:sz w:val="24"/>
          <w:szCs w:val="24"/>
        </w:rPr>
        <w:t xml:space="preserve">Patch-clamp electrophysiology for ion channel characterization (if applicable)</w:t>
      </w:r>
    </w:p>
    <w:p>
      <w:pPr>
        <w:pStyle w:val="ListParagraph"/>
        <w:numPr>
          <w:ilvl w:val="0"/>
          <w:numId w:val="1"/>
        </w:numPr>
        <w:spacing w:after="80" w:line="360"/>
      </w:pPr>
      <w:r>
        <w:rPr>
          <w:rFonts w:ascii="Arial" w:cs="Arial" w:eastAsia="Arial" w:hAnsi="Arial"/>
          <w:sz w:val="24"/>
          <w:szCs w:val="24"/>
        </w:rPr>
        <w:t xml:space="preserve">Calcium imaging for target-specific validation (e.g., if target is calcium channel, measure calcium dynamics)</w:t>
      </w:r>
    </w:p>
    <w:p>
      <w:pPr>
        <w:spacing w:after="100" w:line="360"/>
      </w:pPr>
      <w:r>
        <w:rPr>
          <w:rFonts w:ascii="Arial" w:cs="Arial" w:eastAsia="Arial" w:hAnsi="Arial"/>
          <w:b/>
          <w:bCs/>
          <w:sz w:val="24"/>
          <w:szCs w:val="24"/>
        </w:rPr>
        <w:t xml:space="preserve">Exemplary Sub-Prompts:</w:t>
      </w:r>
    </w:p>
    <w:p>
      <w:pPr>
        <w:pStyle w:val="ListParagraph"/>
        <w:numPr>
          <w:ilvl w:val="0"/>
          <w:numId w:val="1"/>
        </w:numPr>
        <w:spacing w:after="80" w:line="360"/>
      </w:pPr>
      <w:r>
        <w:rPr>
          <w:rFonts w:ascii="Arial" w:cs="Arial" w:eastAsia="Arial" w:hAnsi="Arial"/>
          <w:sz w:val="24"/>
          <w:szCs w:val="24"/>
        </w:rPr>
        <w:t xml:space="preserve">For each top 10 hit compound, query ChEMBL and literature for known targets. If no direct targets are annotated, use reverse pharmacology (SEA, ChEMBL prediction) and chemical similarity to infer likely targets from structurally similar compounds.</w:t>
      </w:r>
    </w:p>
    <w:p>
      <w:pPr>
        <w:pStyle w:val="ListParagraph"/>
        <w:numPr>
          <w:ilvl w:val="0"/>
          <w:numId w:val="1"/>
        </w:numPr>
        <w:spacing w:after="80" w:line="360"/>
      </w:pPr>
      <w:r>
        <w:rPr>
          <w:rFonts w:ascii="Arial" w:cs="Arial" w:eastAsia="Arial" w:hAnsi="Arial"/>
          <w:sz w:val="24"/>
          <w:szCs w:val="24"/>
        </w:rPr>
        <w:t xml:space="preserve">For putative targets, ask: Are these targets expressed in CNTNAP2-deficient neurons? Are they part of the CNTNAP2 interactome or related E/I balance pathways? Validate target expression via qPCR or RNA-seq.</w:t>
      </w:r>
    </w:p>
    <w:p>
      <w:pPr>
        <w:pStyle w:val="ListParagraph"/>
        <w:numPr>
          <w:ilvl w:val="0"/>
          <w:numId w:val="1"/>
        </w:numPr>
        <w:spacing w:after="80" w:line="360"/>
      </w:pPr>
      <w:r>
        <w:rPr>
          <w:rFonts w:ascii="Arial" w:cs="Arial" w:eastAsia="Arial" w:hAnsi="Arial"/>
          <w:sz w:val="24"/>
          <w:szCs w:val="24"/>
        </w:rPr>
        <w:t xml:space="preserve">Perform functional validation: if a hit compound is predicted to target potassium channels, perform whole-cell patch-clamp to directly measure potassium channel currents and confirm target modulation.</w:t>
      </w:r>
    </w:p>
    <w:p>
      <w:pPr>
        <w:pStyle w:val="ListParagraph"/>
        <w:numPr>
          <w:ilvl w:val="0"/>
          <w:numId w:val="1"/>
        </w:numPr>
        <w:spacing w:after="80" w:line="360"/>
      </w:pPr>
      <w:r>
        <w:rPr>
          <w:rFonts w:ascii="Arial" w:cs="Arial" w:eastAsia="Arial" w:hAnsi="Arial"/>
          <w:sz w:val="24"/>
          <w:szCs w:val="24"/>
        </w:rPr>
        <w:t xml:space="preserve">For hits with unclear targets, perform transcriptomic profiling (RNA-seq ± compound treatment) and compare to a known reference compound (e.g., a well-characterized GABA-A agonist). Do they share transcriptomic signatures?</w:t>
      </w:r>
    </w:p>
    <w:p>
      <w:pPr>
        <w:pStyle w:val="ListParagraph"/>
        <w:numPr>
          <w:ilvl w:val="0"/>
          <w:numId w:val="1"/>
        </w:numPr>
        <w:spacing w:after="80" w:line="360"/>
      </w:pPr>
      <w:r>
        <w:rPr>
          <w:rFonts w:ascii="Arial" w:cs="Arial" w:eastAsia="Arial" w:hAnsi="Arial"/>
          <w:sz w:val="24"/>
          <w:szCs w:val="24"/>
        </w:rPr>
        <w:t xml:space="preserve">Cross-validate: if a hit is predicted to target Ion Channel X, does known inhibition of Ion Channel X also suppress hyperexcitability in CNTNAP2 neurons? (Use selective inhibitor from literature or Quiver database as positive control.)</w:t>
      </w:r>
    </w:p>
    <w:p>
      <w:pPr>
        <w:spacing w:after="100" w:line="360"/>
      </w:pPr>
      <w:r>
        <w:rPr>
          <w:rFonts w:ascii="Arial" w:cs="Arial" w:eastAsia="Arial" w:hAnsi="Arial"/>
          <w:b/>
          <w:bCs/>
          <w:sz w:val="24"/>
          <w:szCs w:val="24"/>
        </w:rPr>
        <w:t xml:space="preserve">Expected Outputs:</w:t>
      </w:r>
      <w:r>
        <w:rPr>
          <w:rFonts w:ascii="Arial" w:cs="Arial" w:eastAsia="Arial" w:hAnsi="Arial"/>
          <w:b w:val="false"/>
          <w:bCs w:val="false"/>
          <w:sz w:val="24"/>
          <w:szCs w:val="24"/>
        </w:rPr>
        <w:t xml:space="preserve"> A validated target and mechanism profile for lead compounds, linked to CNTNAP2 biology.</w:t>
      </w:r>
    </w:p>
    <w:p>
      <w:pPr>
        <w:pStyle w:val="ListParagraph"/>
        <w:numPr>
          <w:ilvl w:val="0"/>
          <w:numId w:val="1"/>
        </w:numPr>
        <w:spacing w:after="80" w:line="360"/>
      </w:pPr>
      <w:r>
        <w:rPr>
          <w:rFonts w:ascii="Arial" w:cs="Arial" w:eastAsia="Arial" w:hAnsi="Arial"/>
          <w:sz w:val="24"/>
          <w:szCs w:val="24"/>
        </w:rPr>
        <w:t xml:space="preserve">Target assignment for each top 20 hit compound (primary target, secondary targets, confidence level)</w:t>
      </w:r>
    </w:p>
    <w:p>
      <w:pPr>
        <w:pStyle w:val="ListParagraph"/>
        <w:numPr>
          <w:ilvl w:val="0"/>
          <w:numId w:val="1"/>
        </w:numPr>
        <w:spacing w:after="80" w:line="360"/>
      </w:pPr>
      <w:r>
        <w:rPr>
          <w:rFonts w:ascii="Arial" w:cs="Arial" w:eastAsia="Arial" w:hAnsi="Arial"/>
          <w:sz w:val="24"/>
          <w:szCs w:val="24"/>
        </w:rPr>
        <w:t xml:space="preserve">Pathway analysis linking targets to E/I balance, CNTNAP2 interactome, and synaptic homeostasis</w:t>
      </w:r>
    </w:p>
    <w:p>
      <w:pPr>
        <w:pStyle w:val="ListParagraph"/>
        <w:numPr>
          <w:ilvl w:val="0"/>
          <w:numId w:val="1"/>
        </w:numPr>
        <w:spacing w:after="80" w:line="360"/>
      </w:pPr>
      <w:r>
        <w:rPr>
          <w:rFonts w:ascii="Arial" w:cs="Arial" w:eastAsia="Arial" w:hAnsi="Arial"/>
          <w:sz w:val="24"/>
          <w:szCs w:val="24"/>
        </w:rPr>
        <w:t xml:space="preserve">Transcriptomic validation data showing compound-induced changes in target gene expression</w:t>
      </w:r>
    </w:p>
    <w:p>
      <w:pPr>
        <w:pStyle w:val="ListParagraph"/>
        <w:numPr>
          <w:ilvl w:val="0"/>
          <w:numId w:val="1"/>
        </w:numPr>
        <w:spacing w:after="80" w:line="360"/>
      </w:pPr>
      <w:r>
        <w:rPr>
          <w:rFonts w:ascii="Arial" w:cs="Arial" w:eastAsia="Arial" w:hAnsi="Arial"/>
          <w:sz w:val="24"/>
          <w:szCs w:val="24"/>
        </w:rPr>
        <w:t xml:space="preserve">Functional assay data confirming target modulation (ion channel patch-clamp, calcium dynamics, etc.)</w:t>
      </w:r>
    </w:p>
    <w:p>
      <w:pPr>
        <w:pStyle w:val="ListParagraph"/>
        <w:numPr>
          <w:ilvl w:val="0"/>
          <w:numId w:val="1"/>
        </w:numPr>
        <w:spacing w:after="80" w:line="360"/>
      </w:pPr>
      <w:r>
        <w:rPr>
          <w:rFonts w:ascii="Arial" w:cs="Arial" w:eastAsia="Arial" w:hAnsi="Arial"/>
          <w:sz w:val="24"/>
          <w:szCs w:val="24"/>
        </w:rPr>
        <w:t xml:space="preserve">Mechanism of action summary for each lead compound</w:t>
      </w:r>
    </w:p>
    <w:p>
      <w:pPr>
        <w:spacing w:after="100" w:line="360"/>
      </w:pPr>
      <w:r>
        <w:rPr>
          <w:rFonts w:ascii="Arial" w:cs="Arial" w:eastAsia="Arial" w:hAnsi="Arial"/>
          <w:b/>
          <w:bCs/>
          <w:sz w:val="24"/>
          <w:szCs w:val="24"/>
        </w:rPr>
        <w:t xml:space="preserve">Format:</w:t>
      </w:r>
      <w:r>
        <w:rPr>
          <w:rFonts w:ascii="Arial" w:cs="Arial" w:eastAsia="Arial" w:hAnsi="Arial"/>
          <w:b w:val="false"/>
          <w:bCs w:val="false"/>
          <w:sz w:val="24"/>
          <w:szCs w:val="24"/>
        </w:rPr>
        <w:t xml:space="preserve"> Mechanistic summary report with target tables, pathway diagrams, validation data, and confidence assessments.</w:t>
      </w:r>
    </w:p>
    <w:p>
      <w:pPr>
        <w:pStyle w:val="Heading2"/>
        <w:spacing w:after="100" w:line="360"/>
      </w:pPr>
      <w:r>
        <w:rPr>
          <w:rFonts w:ascii="Arial" w:cs="Arial" w:eastAsia="Arial" w:hAnsi="Arial"/>
          <w:b/>
          <w:bCs/>
          <w:sz w:val="28"/>
          <w:szCs w:val="28"/>
        </w:rPr>
        <w:t xml:space="preserve">Stage 4: Dose-Response Characterization and Selectivity Assessment</w:t>
      </w:r>
    </w:p>
    <w:p>
      <w:pPr>
        <w:spacing w:after="100" w:line="360"/>
      </w:pPr>
      <w:r>
        <w:rPr>
          <w:rFonts w:ascii="Arial" w:cs="Arial" w:eastAsia="Arial" w:hAnsi="Arial"/>
          <w:b/>
          <w:bCs/>
          <w:sz w:val="24"/>
          <w:szCs w:val="24"/>
        </w:rPr>
        <w:t xml:space="preserve">Purpose:</w:t>
      </w:r>
      <w:r>
        <w:rPr>
          <w:rFonts w:ascii="Arial" w:cs="Arial" w:eastAsia="Arial" w:hAnsi="Arial"/>
          <w:b w:val="false"/>
          <w:bCs w:val="false"/>
          <w:sz w:val="24"/>
          <w:szCs w:val="24"/>
        </w:rPr>
        <w:t xml:space="preserve"> Comprehensively characterize dose-response relationships, potency, selectivity, and off-target risk for lead compounds identified in Stages 2-3.</w:t>
      </w:r>
    </w:p>
    <w:p>
      <w:pPr>
        <w:spacing w:after="100" w:line="360"/>
      </w:pPr>
      <w:r>
        <w:rPr>
          <w:rFonts w:ascii="Arial" w:cs="Arial" w:eastAsia="Arial" w:hAnsi="Arial"/>
          <w:b/>
          <w:bCs/>
          <w:sz w:val="24"/>
          <w:szCs w:val="24"/>
        </w:rPr>
        <w:t xml:space="preserve">Inputs:</w:t>
      </w:r>
    </w:p>
    <w:p>
      <w:pPr>
        <w:pStyle w:val="ListParagraph"/>
        <w:numPr>
          <w:ilvl w:val="0"/>
          <w:numId w:val="1"/>
        </w:numPr>
        <w:spacing w:after="80" w:line="360"/>
      </w:pPr>
      <w:r>
        <w:rPr>
          <w:rFonts w:ascii="Arial" w:cs="Arial" w:eastAsia="Arial" w:hAnsi="Arial"/>
          <w:sz w:val="24"/>
          <w:szCs w:val="24"/>
        </w:rPr>
        <w:t xml:space="preserve">Top 10-15 compounds with validated targets from Stage 3</w:t>
      </w:r>
    </w:p>
    <w:p>
      <w:pPr>
        <w:pStyle w:val="ListParagraph"/>
        <w:numPr>
          <w:ilvl w:val="0"/>
          <w:numId w:val="1"/>
        </w:numPr>
        <w:spacing w:after="80" w:line="360"/>
      </w:pPr>
      <w:r>
        <w:rPr>
          <w:rFonts w:ascii="Arial" w:cs="Arial" w:eastAsia="Arial" w:hAnsi="Arial"/>
          <w:sz w:val="24"/>
          <w:szCs w:val="24"/>
        </w:rPr>
        <w:t xml:space="preserve">CNTNAP2-deficient neurons for primary dose-response studies</w:t>
      </w:r>
    </w:p>
    <w:p>
      <w:pPr>
        <w:pStyle w:val="ListParagraph"/>
        <w:numPr>
          <w:ilvl w:val="0"/>
          <w:numId w:val="1"/>
        </w:numPr>
        <w:spacing w:after="80" w:line="360"/>
      </w:pPr>
      <w:r>
        <w:rPr>
          <w:rFonts w:ascii="Arial" w:cs="Arial" w:eastAsia="Arial" w:hAnsi="Arial"/>
          <w:sz w:val="24"/>
          <w:szCs w:val="24"/>
        </w:rPr>
        <w:t xml:space="preserve">WT and other neuronal models for selectivity assessment</w:t>
      </w:r>
    </w:p>
    <w:p>
      <w:pPr>
        <w:pStyle w:val="ListParagraph"/>
        <w:numPr>
          <w:ilvl w:val="0"/>
          <w:numId w:val="1"/>
        </w:numPr>
        <w:spacing w:after="80" w:line="360"/>
      </w:pPr>
      <w:r>
        <w:rPr>
          <w:rFonts w:ascii="Arial" w:cs="Arial" w:eastAsia="Arial" w:hAnsi="Arial"/>
          <w:sz w:val="24"/>
          <w:szCs w:val="24"/>
        </w:rPr>
        <w:t xml:space="preserve">Multi-point concentration series (typically 7-10 concentrations ranging 10 nM to 100 μM)</w:t>
      </w:r>
    </w:p>
    <w:p>
      <w:pPr>
        <w:pStyle w:val="ListParagraph"/>
        <w:numPr>
          <w:ilvl w:val="0"/>
          <w:numId w:val="1"/>
        </w:numPr>
        <w:spacing w:after="80" w:line="360"/>
      </w:pPr>
      <w:r>
        <w:rPr>
          <w:rFonts w:ascii="Arial" w:cs="Arial" w:eastAsia="Arial" w:hAnsi="Arial"/>
          <w:sz w:val="24"/>
          <w:szCs w:val="24"/>
        </w:rPr>
        <w:t xml:space="preserve">Primary and secondary EP readouts (firing rate, E/I balance, network activity, cell viability)</w:t>
      </w:r>
    </w:p>
    <w:p>
      <w:pPr>
        <w:pStyle w:val="ListParagraph"/>
        <w:numPr>
          <w:ilvl w:val="0"/>
          <w:numId w:val="1"/>
        </w:numPr>
        <w:spacing w:after="80" w:line="360"/>
      </w:pPr>
      <w:r>
        <w:rPr>
          <w:rFonts w:ascii="Arial" w:cs="Arial" w:eastAsia="Arial" w:hAnsi="Arial"/>
          <w:sz w:val="24"/>
          <w:szCs w:val="24"/>
        </w:rPr>
        <w:t xml:space="preserve">Safety panel: off-target screening, cardiac liability assessment (if applicable)</w:t>
      </w:r>
    </w:p>
    <w:p>
      <w:pPr>
        <w:spacing w:after="100" w:line="360"/>
      </w:pPr>
      <w:r>
        <w:rPr>
          <w:rFonts w:ascii="Arial" w:cs="Arial" w:eastAsia="Arial" w:hAnsi="Arial"/>
          <w:b/>
          <w:bCs/>
          <w:sz w:val="24"/>
          <w:szCs w:val="24"/>
        </w:rPr>
        <w:t xml:space="preserve">Tools &amp; Databases Called:</w:t>
      </w:r>
    </w:p>
    <w:p>
      <w:pPr>
        <w:pStyle w:val="ListParagraph"/>
        <w:numPr>
          <w:ilvl w:val="0"/>
          <w:numId w:val="1"/>
        </w:numPr>
        <w:spacing w:after="80" w:line="360"/>
      </w:pPr>
      <w:r>
        <w:rPr>
          <w:rFonts w:ascii="Arial" w:cs="Arial" w:eastAsia="Arial" w:hAnsi="Arial"/>
          <w:sz w:val="24"/>
          <w:szCs w:val="24"/>
        </w:rPr>
        <w:t xml:space="preserve">MEA platform for dose-response recordings (multi-well, multi-concentration formatting)</w:t>
      </w:r>
    </w:p>
    <w:p>
      <w:pPr>
        <w:pStyle w:val="ListParagraph"/>
        <w:numPr>
          <w:ilvl w:val="0"/>
          <w:numId w:val="1"/>
        </w:numPr>
        <w:spacing w:after="80" w:line="360"/>
      </w:pPr>
      <w:r>
        <w:rPr>
          <w:rFonts w:ascii="Arial" w:cs="Arial" w:eastAsia="Arial" w:hAnsi="Arial"/>
          <w:sz w:val="24"/>
          <w:szCs w:val="24"/>
        </w:rPr>
        <w:t xml:space="preserve">High-throughput spike analysis and IC50 fitting (custom Python with scipy.optimize.curve_fit or commercial software)</w:t>
      </w:r>
    </w:p>
    <w:p>
      <w:pPr>
        <w:pStyle w:val="ListParagraph"/>
        <w:numPr>
          <w:ilvl w:val="0"/>
          <w:numId w:val="1"/>
        </w:numPr>
        <w:spacing w:after="80" w:line="360"/>
      </w:pPr>
      <w:r>
        <w:rPr>
          <w:rFonts w:ascii="Arial" w:cs="Arial" w:eastAsia="Arial" w:hAnsi="Arial"/>
          <w:sz w:val="24"/>
          <w:szCs w:val="24"/>
        </w:rPr>
        <w:t xml:space="preserve">Selectivity screening tools: panel of cells/tissues representing common off-targets (e.g., cardiac myocytes, hERG channel assay)</w:t>
      </w:r>
    </w:p>
    <w:p>
      <w:pPr>
        <w:pStyle w:val="ListParagraph"/>
        <w:numPr>
          <w:ilvl w:val="0"/>
          <w:numId w:val="1"/>
        </w:numPr>
        <w:spacing w:after="80" w:line="360"/>
      </w:pPr>
      <w:r>
        <w:rPr>
          <w:rFonts w:ascii="Arial" w:cs="Arial" w:eastAsia="Arial" w:hAnsi="Arial"/>
          <w:sz w:val="24"/>
          <w:szCs w:val="24"/>
        </w:rPr>
        <w:t xml:space="preserve">Off-target prediction databases: SEA, pkCSM, ChEMBL for computational off-target assessment</w:t>
      </w:r>
    </w:p>
    <w:p>
      <w:pPr>
        <w:pStyle w:val="ListParagraph"/>
        <w:numPr>
          <w:ilvl w:val="0"/>
          <w:numId w:val="1"/>
        </w:numPr>
        <w:spacing w:after="80" w:line="360"/>
      </w:pPr>
      <w:r>
        <w:rPr>
          <w:rFonts w:ascii="Arial" w:cs="Arial" w:eastAsia="Arial" w:hAnsi="Arial"/>
          <w:sz w:val="24"/>
          <w:szCs w:val="24"/>
        </w:rPr>
        <w:t xml:space="preserve">Toxicity and viability assays: LDH release, MTT, live/dead staining, automated imaging</w:t>
      </w:r>
    </w:p>
    <w:p>
      <w:pPr>
        <w:pStyle w:val="ListParagraph"/>
        <w:numPr>
          <w:ilvl w:val="0"/>
          <w:numId w:val="1"/>
        </w:numPr>
        <w:spacing w:after="80" w:line="360"/>
      </w:pPr>
      <w:r>
        <w:rPr>
          <w:rFonts w:ascii="Arial" w:cs="Arial" w:eastAsia="Arial" w:hAnsi="Arial"/>
          <w:sz w:val="24"/>
          <w:szCs w:val="24"/>
        </w:rPr>
        <w:t xml:space="preserve">Statistical tools for IC50 confidence intervals and comparison (R: drc package, nls)</w:t>
      </w:r>
    </w:p>
    <w:p>
      <w:pPr>
        <w:spacing w:after="100" w:line="360"/>
      </w:pPr>
      <w:r>
        <w:rPr>
          <w:rFonts w:ascii="Arial" w:cs="Arial" w:eastAsia="Arial" w:hAnsi="Arial"/>
          <w:b/>
          <w:bCs/>
          <w:sz w:val="24"/>
          <w:szCs w:val="24"/>
        </w:rPr>
        <w:t xml:space="preserve">Exemplary Sub-Prompts:</w:t>
      </w:r>
    </w:p>
    <w:p>
      <w:pPr>
        <w:pStyle w:val="ListParagraph"/>
        <w:numPr>
          <w:ilvl w:val="0"/>
          <w:numId w:val="1"/>
        </w:numPr>
        <w:spacing w:after="80" w:line="360"/>
      </w:pPr>
      <w:r>
        <w:rPr>
          <w:rFonts w:ascii="Arial" w:cs="Arial" w:eastAsia="Arial" w:hAnsi="Arial"/>
          <w:sz w:val="24"/>
          <w:szCs w:val="24"/>
        </w:rPr>
        <w:t xml:space="preserve">For each top 10 lead compound, perform dose-response in CNTNAP2-deficient neurons across 8 concentrations (10 nM to 100 μM). Fit sigmoid curves and extract IC50, Hill slope, and efficacy. Rank by potency (lower IC50) and efficacy (maximal effect).</w:t>
      </w:r>
    </w:p>
    <w:p>
      <w:pPr>
        <w:pStyle w:val="ListParagraph"/>
        <w:numPr>
          <w:ilvl w:val="0"/>
          <w:numId w:val="1"/>
        </w:numPr>
        <w:spacing w:after="80" w:line="360"/>
      </w:pPr>
      <w:r>
        <w:rPr>
          <w:rFonts w:ascii="Arial" w:cs="Arial" w:eastAsia="Arial" w:hAnsi="Arial"/>
          <w:sz w:val="24"/>
          <w:szCs w:val="24"/>
        </w:rPr>
        <w:t xml:space="preserve">Assess selectivity: test lead compounds on WT neurons at the same concentration series. Is suppression of CNTNAP2 hyperexcitability specific, or do compounds affect WT neurons similarly? Calculate selectivity ratio (CNTNAP2 IC50 / WT IC50).</w:t>
      </w:r>
    </w:p>
    <w:p>
      <w:pPr>
        <w:pStyle w:val="ListParagraph"/>
        <w:numPr>
          <w:ilvl w:val="0"/>
          <w:numId w:val="1"/>
        </w:numPr>
        <w:spacing w:after="80" w:line="360"/>
      </w:pPr>
      <w:r>
        <w:rPr>
          <w:rFonts w:ascii="Arial" w:cs="Arial" w:eastAsia="Arial" w:hAnsi="Arial"/>
          <w:sz w:val="24"/>
          <w:szCs w:val="24"/>
        </w:rPr>
        <w:t xml:space="preserve">Perform off-target safety screening: conduct hERG patch-clamp or cardiac liability assay for top 5 leads. Assess risk for QT prolongation or other cardiac effects at predicted therapeutic concentrations.</w:t>
      </w:r>
    </w:p>
    <w:p>
      <w:pPr>
        <w:pStyle w:val="ListParagraph"/>
        <w:numPr>
          <w:ilvl w:val="0"/>
          <w:numId w:val="1"/>
        </w:numPr>
        <w:spacing w:after="80" w:line="360"/>
      </w:pPr>
      <w:r>
        <w:rPr>
          <w:rFonts w:ascii="Arial" w:cs="Arial" w:eastAsia="Arial" w:hAnsi="Arial"/>
          <w:sz w:val="24"/>
          <w:szCs w:val="24"/>
        </w:rPr>
        <w:t xml:space="preserve">Evaluate window of efficacy: for each compound, identify the concentration range where hyperexcitability is suppressed without inducing global neuronal depression or cell toxicity. Is the window wide or narrow?</w:t>
      </w:r>
    </w:p>
    <w:p>
      <w:pPr>
        <w:pStyle w:val="ListParagraph"/>
        <w:numPr>
          <w:ilvl w:val="0"/>
          <w:numId w:val="1"/>
        </w:numPr>
        <w:spacing w:after="80" w:line="360"/>
      </w:pPr>
      <w:r>
        <w:rPr>
          <w:rFonts w:ascii="Arial" w:cs="Arial" w:eastAsia="Arial" w:hAnsi="Arial"/>
          <w:sz w:val="24"/>
          <w:szCs w:val="24"/>
        </w:rPr>
        <w:t xml:space="preserve">Perform kinetic characterization: measure on/off kinetics in MEA recordings. How quickly does the compound suppress firing? Does effect persist or show tolerance? Is reversibility rapid?</w:t>
      </w:r>
    </w:p>
    <w:p>
      <w:pPr>
        <w:spacing w:after="100" w:line="360"/>
      </w:pPr>
      <w:r>
        <w:rPr>
          <w:rFonts w:ascii="Arial" w:cs="Arial" w:eastAsia="Arial" w:hAnsi="Arial"/>
          <w:b/>
          <w:bCs/>
          <w:sz w:val="24"/>
          <w:szCs w:val="24"/>
        </w:rPr>
        <w:t xml:space="preserve">Expected Outputs:</w:t>
      </w:r>
      <w:r>
        <w:rPr>
          <w:rFonts w:ascii="Arial" w:cs="Arial" w:eastAsia="Arial" w:hAnsi="Arial"/>
          <w:b w:val="false"/>
          <w:bCs w:val="false"/>
          <w:sz w:val="24"/>
          <w:szCs w:val="24"/>
        </w:rPr>
        <w:t xml:space="preserve"> Complete dose-response and selectivity characterization for lead compounds, supporting clinical development decisions.</w:t>
      </w:r>
    </w:p>
    <w:p>
      <w:pPr>
        <w:pStyle w:val="ListParagraph"/>
        <w:numPr>
          <w:ilvl w:val="0"/>
          <w:numId w:val="1"/>
        </w:numPr>
        <w:spacing w:after="80" w:line="360"/>
      </w:pPr>
      <w:r>
        <w:rPr>
          <w:rFonts w:ascii="Arial" w:cs="Arial" w:eastAsia="Arial" w:hAnsi="Arial"/>
          <w:sz w:val="24"/>
          <w:szCs w:val="24"/>
        </w:rPr>
        <w:t xml:space="preserve">IC50 and efficacy values for all lead compounds in CNTNAP2-deficient neurons</w:t>
      </w:r>
    </w:p>
    <w:p>
      <w:pPr>
        <w:pStyle w:val="ListParagraph"/>
        <w:numPr>
          <w:ilvl w:val="0"/>
          <w:numId w:val="1"/>
        </w:numPr>
        <w:spacing w:after="80" w:line="360"/>
      </w:pPr>
      <w:r>
        <w:rPr>
          <w:rFonts w:ascii="Arial" w:cs="Arial" w:eastAsia="Arial" w:hAnsi="Arial"/>
          <w:sz w:val="24"/>
          <w:szCs w:val="24"/>
        </w:rPr>
        <w:t xml:space="preserve">Selectivity ratios and cross-model testing data (WT, other KO models if applicable)</w:t>
      </w:r>
    </w:p>
    <w:p>
      <w:pPr>
        <w:pStyle w:val="ListParagraph"/>
        <w:numPr>
          <w:ilvl w:val="0"/>
          <w:numId w:val="1"/>
        </w:numPr>
        <w:spacing w:after="80" w:line="360"/>
      </w:pPr>
      <w:r>
        <w:rPr>
          <w:rFonts w:ascii="Arial" w:cs="Arial" w:eastAsia="Arial" w:hAnsi="Arial"/>
          <w:sz w:val="24"/>
          <w:szCs w:val="24"/>
        </w:rPr>
        <w:t xml:space="preserve">Dose-response curve figures with 95% confidence intervals</w:t>
      </w:r>
    </w:p>
    <w:p>
      <w:pPr>
        <w:pStyle w:val="ListParagraph"/>
        <w:numPr>
          <w:ilvl w:val="0"/>
          <w:numId w:val="1"/>
        </w:numPr>
        <w:spacing w:after="80" w:line="360"/>
      </w:pPr>
      <w:r>
        <w:rPr>
          <w:rFonts w:ascii="Arial" w:cs="Arial" w:eastAsia="Arial" w:hAnsi="Arial"/>
          <w:sz w:val="24"/>
          <w:szCs w:val="24"/>
        </w:rPr>
        <w:t xml:space="preserve">Off-target and safety liability assessment (hERG, cardiac, other relevant panels)</w:t>
      </w:r>
    </w:p>
    <w:p>
      <w:pPr>
        <w:pStyle w:val="ListParagraph"/>
        <w:numPr>
          <w:ilvl w:val="0"/>
          <w:numId w:val="1"/>
        </w:numPr>
        <w:spacing w:after="80" w:line="360"/>
      </w:pPr>
      <w:r>
        <w:rPr>
          <w:rFonts w:ascii="Arial" w:cs="Arial" w:eastAsia="Arial" w:hAnsi="Arial"/>
          <w:sz w:val="24"/>
          <w:szCs w:val="24"/>
        </w:rPr>
        <w:t xml:space="preserve">Therapeutic window definition and cell viability/toxicity data</w:t>
      </w:r>
    </w:p>
    <w:p>
      <w:pPr>
        <w:pStyle w:val="ListParagraph"/>
        <w:numPr>
          <w:ilvl w:val="0"/>
          <w:numId w:val="1"/>
        </w:numPr>
        <w:spacing w:after="80" w:line="360"/>
      </w:pPr>
      <w:r>
        <w:rPr>
          <w:rFonts w:ascii="Arial" w:cs="Arial" w:eastAsia="Arial" w:hAnsi="Arial"/>
          <w:sz w:val="24"/>
          <w:szCs w:val="24"/>
        </w:rPr>
        <w:t xml:space="preserve">On/off kinetics and reversibility characterization</w:t>
      </w:r>
    </w:p>
    <w:p>
      <w:pPr>
        <w:spacing w:after="100" w:line="360"/>
      </w:pPr>
      <w:r>
        <w:rPr>
          <w:rFonts w:ascii="Arial" w:cs="Arial" w:eastAsia="Arial" w:hAnsi="Arial"/>
          <w:b/>
          <w:bCs/>
          <w:sz w:val="24"/>
          <w:szCs w:val="24"/>
        </w:rPr>
        <w:t xml:space="preserve">Format:</w:t>
      </w:r>
      <w:r>
        <w:rPr>
          <w:rFonts w:ascii="Arial" w:cs="Arial" w:eastAsia="Arial" w:hAnsi="Arial"/>
          <w:b w:val="false"/>
          <w:bCs w:val="false"/>
          <w:sz w:val="24"/>
          <w:szCs w:val="24"/>
        </w:rPr>
        <w:t xml:space="preserve"> Comprehensive pharmacology report with dose-response tables, selectivity matrices, safety assessment summaries, and dose-response curve figures.</w:t>
      </w:r>
    </w:p>
    <w:p>
      <w:pPr>
        <w:pStyle w:val="Heading2"/>
        <w:spacing w:after="100" w:line="360"/>
      </w:pPr>
      <w:r>
        <w:rPr>
          <w:rFonts w:ascii="Arial" w:cs="Arial" w:eastAsia="Arial" w:hAnsi="Arial"/>
          <w:b/>
          <w:bCs/>
          <w:sz w:val="28"/>
          <w:szCs w:val="28"/>
        </w:rPr>
        <w:t xml:space="preserve">Stage 5: In Vitro Disease Model Validation</w:t>
      </w:r>
    </w:p>
    <w:p>
      <w:pPr>
        <w:spacing w:after="100" w:line="360"/>
      </w:pPr>
      <w:r>
        <w:rPr>
          <w:rFonts w:ascii="Arial" w:cs="Arial" w:eastAsia="Arial" w:hAnsi="Arial"/>
          <w:b/>
          <w:bCs/>
          <w:sz w:val="24"/>
          <w:szCs w:val="24"/>
        </w:rPr>
        <w:t xml:space="preserve">Purpose:</w:t>
      </w:r>
      <w:r>
        <w:rPr>
          <w:rFonts w:ascii="Arial" w:cs="Arial" w:eastAsia="Arial" w:hAnsi="Arial"/>
          <w:b w:val="false"/>
          <w:bCs w:val="false"/>
          <w:sz w:val="24"/>
          <w:szCs w:val="24"/>
        </w:rPr>
        <w:t xml:space="preserve"> Confirm that lead compounds rescue the CNTNAP2-deficient hyperexcitable phenotype in a disease-relevant context and restore E/I balance.</w:t>
      </w:r>
    </w:p>
    <w:p>
      <w:pPr>
        <w:spacing w:after="100" w:line="360"/>
      </w:pPr>
      <w:r>
        <w:rPr>
          <w:rFonts w:ascii="Arial" w:cs="Arial" w:eastAsia="Arial" w:hAnsi="Arial"/>
          <w:b/>
          <w:bCs/>
          <w:sz w:val="24"/>
          <w:szCs w:val="24"/>
        </w:rPr>
        <w:t xml:space="preserve">Inputs:</w:t>
      </w:r>
    </w:p>
    <w:p>
      <w:pPr>
        <w:pStyle w:val="ListParagraph"/>
        <w:numPr>
          <w:ilvl w:val="0"/>
          <w:numId w:val="1"/>
        </w:numPr>
        <w:spacing w:after="80" w:line="360"/>
      </w:pPr>
      <w:r>
        <w:rPr>
          <w:rFonts w:ascii="Arial" w:cs="Arial" w:eastAsia="Arial" w:hAnsi="Arial"/>
          <w:sz w:val="24"/>
          <w:szCs w:val="24"/>
        </w:rPr>
        <w:t xml:space="preserve">Top 3-5 lead compounds from Stage 4 with characterized dose-responses</w:t>
      </w:r>
    </w:p>
    <w:p>
      <w:pPr>
        <w:pStyle w:val="ListParagraph"/>
        <w:numPr>
          <w:ilvl w:val="0"/>
          <w:numId w:val="1"/>
        </w:numPr>
        <w:spacing w:after="80" w:line="360"/>
      </w:pPr>
      <w:r>
        <w:rPr>
          <w:rFonts w:ascii="Arial" w:cs="Arial" w:eastAsia="Arial" w:hAnsi="Arial"/>
          <w:sz w:val="24"/>
          <w:szCs w:val="24"/>
        </w:rPr>
        <w:t xml:space="preserve">CNTNAP2-deficient disease model neurons: patient iPSC-derived or engineered cell lines</w:t>
      </w:r>
    </w:p>
    <w:p>
      <w:pPr>
        <w:pStyle w:val="ListParagraph"/>
        <w:numPr>
          <w:ilvl w:val="0"/>
          <w:numId w:val="1"/>
        </w:numPr>
        <w:spacing w:after="80" w:line="360"/>
      </w:pPr>
      <w:r>
        <w:rPr>
          <w:rFonts w:ascii="Arial" w:cs="Arial" w:eastAsia="Arial" w:hAnsi="Arial"/>
          <w:sz w:val="24"/>
          <w:szCs w:val="24"/>
        </w:rPr>
        <w:t xml:space="preserve">Multi-feature EP assessment: spontaneous activity, evoked responses, network-level metrics</w:t>
      </w:r>
    </w:p>
    <w:p>
      <w:pPr>
        <w:pStyle w:val="ListParagraph"/>
        <w:numPr>
          <w:ilvl w:val="0"/>
          <w:numId w:val="1"/>
        </w:numPr>
        <w:spacing w:after="80" w:line="360"/>
      </w:pPr>
      <w:r>
        <w:rPr>
          <w:rFonts w:ascii="Arial" w:cs="Arial" w:eastAsia="Arial" w:hAnsi="Arial"/>
          <w:sz w:val="24"/>
          <w:szCs w:val="24"/>
        </w:rPr>
        <w:t xml:space="preserve">Synaptic and molecular assays: E/I balance markers, synaptic protein levels, calcium dynamics</w:t>
      </w:r>
    </w:p>
    <w:p>
      <w:pPr>
        <w:pStyle w:val="ListParagraph"/>
        <w:numPr>
          <w:ilvl w:val="0"/>
          <w:numId w:val="1"/>
        </w:numPr>
        <w:spacing w:after="80" w:line="360"/>
      </w:pPr>
      <w:r>
        <w:rPr>
          <w:rFonts w:ascii="Arial" w:cs="Arial" w:eastAsia="Arial" w:hAnsi="Arial"/>
          <w:sz w:val="24"/>
          <w:szCs w:val="24"/>
        </w:rPr>
        <w:t xml:space="preserve">Positive controls: re-expression of CNTNAP2 (genetic rescue), known E/I balance-restoring compounds</w:t>
      </w:r>
    </w:p>
    <w:p>
      <w:pPr>
        <w:pStyle w:val="ListParagraph"/>
        <w:numPr>
          <w:ilvl w:val="0"/>
          <w:numId w:val="1"/>
        </w:numPr>
        <w:spacing w:after="80" w:line="360"/>
      </w:pPr>
      <w:r>
        <w:rPr>
          <w:rFonts w:ascii="Arial" w:cs="Arial" w:eastAsia="Arial" w:hAnsi="Arial"/>
          <w:sz w:val="24"/>
          <w:szCs w:val="24"/>
        </w:rPr>
        <w:t xml:space="preserve">Negative controls: untreated CNTNAP2-deficient neurons, compounds expected to fail</w:t>
      </w:r>
    </w:p>
    <w:p>
      <w:pPr>
        <w:spacing w:after="100" w:line="360"/>
      </w:pPr>
      <w:r>
        <w:rPr>
          <w:rFonts w:ascii="Arial" w:cs="Arial" w:eastAsia="Arial" w:hAnsi="Arial"/>
          <w:b/>
          <w:bCs/>
          <w:sz w:val="24"/>
          <w:szCs w:val="24"/>
        </w:rPr>
        <w:t xml:space="preserve">Tools &amp; Databases Called:</w:t>
      </w:r>
    </w:p>
    <w:p>
      <w:pPr>
        <w:pStyle w:val="ListParagraph"/>
        <w:numPr>
          <w:ilvl w:val="0"/>
          <w:numId w:val="1"/>
        </w:numPr>
        <w:spacing w:after="80" w:line="360"/>
      </w:pPr>
      <w:r>
        <w:rPr>
          <w:rFonts w:ascii="Arial" w:cs="Arial" w:eastAsia="Arial" w:hAnsi="Arial"/>
          <w:sz w:val="24"/>
          <w:szCs w:val="24"/>
        </w:rPr>
        <w:t xml:space="preserve">Multi-electrode array systems for comprehensive network-level EP recording</w:t>
      </w:r>
    </w:p>
    <w:p>
      <w:pPr>
        <w:pStyle w:val="ListParagraph"/>
        <w:numPr>
          <w:ilvl w:val="0"/>
          <w:numId w:val="1"/>
        </w:numPr>
        <w:spacing w:after="80" w:line="360"/>
      </w:pPr>
      <w:r>
        <w:rPr>
          <w:rFonts w:ascii="Arial" w:cs="Arial" w:eastAsia="Arial" w:hAnsi="Arial"/>
          <w:sz w:val="24"/>
          <w:szCs w:val="24"/>
        </w:rPr>
        <w:t xml:space="preserve">Whole-cell patch-clamp electrophysiology for detailed synaptic characterization (AMPAR/NMDAR, GABA-A currents)</w:t>
      </w:r>
    </w:p>
    <w:p>
      <w:pPr>
        <w:pStyle w:val="ListParagraph"/>
        <w:numPr>
          <w:ilvl w:val="0"/>
          <w:numId w:val="1"/>
        </w:numPr>
        <w:spacing w:after="80" w:line="360"/>
      </w:pPr>
      <w:r>
        <w:rPr>
          <w:rFonts w:ascii="Arial" w:cs="Arial" w:eastAsia="Arial" w:hAnsi="Arial"/>
          <w:sz w:val="24"/>
          <w:szCs w:val="24"/>
        </w:rPr>
        <w:t xml:space="preserve">Live-cell calcium imaging (fluorescent indicators: Fluo-4, jRGECO, etc.) for network calcium dynamics</w:t>
      </w:r>
    </w:p>
    <w:p>
      <w:pPr>
        <w:pStyle w:val="ListParagraph"/>
        <w:numPr>
          <w:ilvl w:val="0"/>
          <w:numId w:val="1"/>
        </w:numPr>
        <w:spacing w:after="80" w:line="360"/>
      </w:pPr>
      <w:r>
        <w:rPr>
          <w:rFonts w:ascii="Arial" w:cs="Arial" w:eastAsia="Arial" w:hAnsi="Arial"/>
          <w:sz w:val="24"/>
          <w:szCs w:val="24"/>
        </w:rPr>
        <w:t xml:space="preserve">Immunofluorescence microscopy for synaptic protein localization and abundance (synapsin, PSD-95, GABA-A receptors)</w:t>
      </w:r>
    </w:p>
    <w:p>
      <w:pPr>
        <w:pStyle w:val="ListParagraph"/>
        <w:numPr>
          <w:ilvl w:val="0"/>
          <w:numId w:val="1"/>
        </w:numPr>
        <w:spacing w:after="80" w:line="360"/>
      </w:pPr>
      <w:r>
        <w:rPr>
          <w:rFonts w:ascii="Arial" w:cs="Arial" w:eastAsia="Arial" w:hAnsi="Arial"/>
          <w:sz w:val="24"/>
          <w:szCs w:val="24"/>
        </w:rPr>
        <w:t xml:space="preserve">Western blotting and qPCR for molecular validation</w:t>
      </w:r>
    </w:p>
    <w:p>
      <w:pPr>
        <w:pStyle w:val="ListParagraph"/>
        <w:numPr>
          <w:ilvl w:val="0"/>
          <w:numId w:val="1"/>
        </w:numPr>
        <w:spacing w:after="80" w:line="360"/>
      </w:pPr>
      <w:r>
        <w:rPr>
          <w:rFonts w:ascii="Arial" w:cs="Arial" w:eastAsia="Arial" w:hAnsi="Arial"/>
          <w:sz w:val="24"/>
          <w:szCs w:val="24"/>
        </w:rPr>
        <w:t xml:space="preserve">High-content imaging for automated quantification of network morphology and synaptic density</w:t>
      </w:r>
    </w:p>
    <w:p>
      <w:pPr>
        <w:spacing w:after="100" w:line="360"/>
      </w:pPr>
      <w:r>
        <w:rPr>
          <w:rFonts w:ascii="Arial" w:cs="Arial" w:eastAsia="Arial" w:hAnsi="Arial"/>
          <w:b/>
          <w:bCs/>
          <w:sz w:val="24"/>
          <w:szCs w:val="24"/>
        </w:rPr>
        <w:t xml:space="preserve">Exemplary Sub-Prompts:</w:t>
      </w:r>
    </w:p>
    <w:p>
      <w:pPr>
        <w:pStyle w:val="ListParagraph"/>
        <w:numPr>
          <w:ilvl w:val="0"/>
          <w:numId w:val="1"/>
        </w:numPr>
        <w:spacing w:after="80" w:line="360"/>
      </w:pPr>
      <w:r>
        <w:rPr>
          <w:rFonts w:ascii="Arial" w:cs="Arial" w:eastAsia="Arial" w:hAnsi="Arial"/>
          <w:sz w:val="24"/>
          <w:szCs w:val="24"/>
        </w:rPr>
        <w:t xml:space="preserve">In CNTNAP2-deficient neurons treated with Lead Compound A (at IC50), perform MEA recording. Measure firing rate, bursting, network synchronization. Calculate percentage rescue compared to untreated CNTNAP2 KO and compare to CNTNAP2 re-expression control.</w:t>
      </w:r>
    </w:p>
    <w:p>
      <w:pPr>
        <w:pStyle w:val="ListParagraph"/>
        <w:numPr>
          <w:ilvl w:val="0"/>
          <w:numId w:val="1"/>
        </w:numPr>
        <w:spacing w:after="80" w:line="360"/>
      </w:pPr>
      <w:r>
        <w:rPr>
          <w:rFonts w:ascii="Arial" w:cs="Arial" w:eastAsia="Arial" w:hAnsi="Arial"/>
          <w:sz w:val="24"/>
          <w:szCs w:val="24"/>
        </w:rPr>
        <w:t xml:space="preserve">For the same neurons, patch-clamp record miniature EPSCs and IPSCs. Quantify AMPAR/NMDAR ratio and GABAergic transmission strength. Has the compound restored E/I balance, or only reduced overall excitability?</w:t>
      </w:r>
    </w:p>
    <w:p>
      <w:pPr>
        <w:pStyle w:val="ListParagraph"/>
        <w:numPr>
          <w:ilvl w:val="0"/>
          <w:numId w:val="1"/>
        </w:numPr>
        <w:spacing w:after="80" w:line="360"/>
      </w:pPr>
      <w:r>
        <w:rPr>
          <w:rFonts w:ascii="Arial" w:cs="Arial" w:eastAsia="Arial" w:hAnsi="Arial"/>
          <w:sz w:val="24"/>
          <w:szCs w:val="24"/>
        </w:rPr>
        <w:t xml:space="preserve">Perform calcium imaging on CNTNAP2-deficient neurons ± Lead Compound A. Measure spontaneous calcium event frequency, amplitude, and network calcium wave propagation. Do these metrics normalize toward WT?</w:t>
      </w:r>
    </w:p>
    <w:p>
      <w:pPr>
        <w:pStyle w:val="ListParagraph"/>
        <w:numPr>
          <w:ilvl w:val="0"/>
          <w:numId w:val="1"/>
        </w:numPr>
        <w:spacing w:after="80" w:line="360"/>
      </w:pPr>
      <w:r>
        <w:rPr>
          <w:rFonts w:ascii="Arial" w:cs="Arial" w:eastAsia="Arial" w:hAnsi="Arial"/>
          <w:sz w:val="24"/>
          <w:szCs w:val="24"/>
        </w:rPr>
        <w:t xml:space="preserve">Immunostain for synaptic markers (synapsin, PSD-95, GABA-A receptors). Is compound treatment associated with changes in synaptic density, localization, or protein levels that correlate with functional rescue?</w:t>
      </w:r>
    </w:p>
    <w:p>
      <w:pPr>
        <w:pStyle w:val="ListParagraph"/>
        <w:numPr>
          <w:ilvl w:val="0"/>
          <w:numId w:val="1"/>
        </w:numPr>
        <w:spacing w:after="80" w:line="360"/>
      </w:pPr>
      <w:r>
        <w:rPr>
          <w:rFonts w:ascii="Arial" w:cs="Arial" w:eastAsia="Arial" w:hAnsi="Arial"/>
          <w:sz w:val="24"/>
          <w:szCs w:val="24"/>
        </w:rPr>
        <w:t xml:space="preserve">Test combination treatments: does Lead Compound A combined with another compound (e.g., different target) produce synergistic rescue? Is there an optimal combination?</w:t>
      </w:r>
    </w:p>
    <w:p>
      <w:pPr>
        <w:spacing w:after="100" w:line="360"/>
      </w:pPr>
      <w:r>
        <w:rPr>
          <w:rFonts w:ascii="Arial" w:cs="Arial" w:eastAsia="Arial" w:hAnsi="Arial"/>
          <w:b/>
          <w:bCs/>
          <w:sz w:val="24"/>
          <w:szCs w:val="24"/>
        </w:rPr>
        <w:t xml:space="preserve">Expected Outputs:</w:t>
      </w:r>
      <w:r>
        <w:rPr>
          <w:rFonts w:ascii="Arial" w:cs="Arial" w:eastAsia="Arial" w:hAnsi="Arial"/>
          <w:b w:val="false"/>
          <w:bCs w:val="false"/>
          <w:sz w:val="24"/>
          <w:szCs w:val="24"/>
        </w:rPr>
        <w:t xml:space="preserve"> Comprehensive functional and molecular validation of lead compounds in disease models, confirming rescue mechanism and E/I balance restoration.</w:t>
      </w:r>
    </w:p>
    <w:p>
      <w:pPr>
        <w:pStyle w:val="ListParagraph"/>
        <w:numPr>
          <w:ilvl w:val="0"/>
          <w:numId w:val="1"/>
        </w:numPr>
        <w:spacing w:after="80" w:line="360"/>
      </w:pPr>
      <w:r>
        <w:rPr>
          <w:rFonts w:ascii="Arial" w:cs="Arial" w:eastAsia="Arial" w:hAnsi="Arial"/>
          <w:sz w:val="24"/>
          <w:szCs w:val="24"/>
        </w:rPr>
        <w:t xml:space="preserve">EP metrics pre/post-treatment for all leads: firing rate, bursting, synchronization with effect sizes</w:t>
      </w:r>
    </w:p>
    <w:p>
      <w:pPr>
        <w:pStyle w:val="ListParagraph"/>
        <w:numPr>
          <w:ilvl w:val="0"/>
          <w:numId w:val="1"/>
        </w:numPr>
        <w:spacing w:after="80" w:line="360"/>
      </w:pPr>
      <w:r>
        <w:rPr>
          <w:rFonts w:ascii="Arial" w:cs="Arial" w:eastAsia="Arial" w:hAnsi="Arial"/>
          <w:sz w:val="24"/>
          <w:szCs w:val="24"/>
        </w:rPr>
        <w:t xml:space="preserve">Percentage rescue calculated relative to untreated CNTNAP2 KO and genetic rescue control</w:t>
      </w:r>
    </w:p>
    <w:p>
      <w:pPr>
        <w:pStyle w:val="ListParagraph"/>
        <w:numPr>
          <w:ilvl w:val="0"/>
          <w:numId w:val="1"/>
        </w:numPr>
        <w:spacing w:after="80" w:line="360"/>
      </w:pPr>
      <w:r>
        <w:rPr>
          <w:rFonts w:ascii="Arial" w:cs="Arial" w:eastAsia="Arial" w:hAnsi="Arial"/>
          <w:sz w:val="24"/>
          <w:szCs w:val="24"/>
        </w:rPr>
        <w:t xml:space="preserve">Patch-clamp validation of E/I balance restoration: AMPAR/NMDAR ratios, GABAergic transmission</w:t>
      </w:r>
    </w:p>
    <w:p>
      <w:pPr>
        <w:pStyle w:val="ListParagraph"/>
        <w:numPr>
          <w:ilvl w:val="0"/>
          <w:numId w:val="1"/>
        </w:numPr>
        <w:spacing w:after="80" w:line="360"/>
      </w:pPr>
      <w:r>
        <w:rPr>
          <w:rFonts w:ascii="Arial" w:cs="Arial" w:eastAsia="Arial" w:hAnsi="Arial"/>
          <w:sz w:val="24"/>
          <w:szCs w:val="24"/>
        </w:rPr>
        <w:t xml:space="preserve">Calcium imaging data showing normalized network dynamics</w:t>
      </w:r>
    </w:p>
    <w:p>
      <w:pPr>
        <w:pStyle w:val="ListParagraph"/>
        <w:numPr>
          <w:ilvl w:val="0"/>
          <w:numId w:val="1"/>
        </w:numPr>
        <w:spacing w:after="80" w:line="360"/>
      </w:pPr>
      <w:r>
        <w:rPr>
          <w:rFonts w:ascii="Arial" w:cs="Arial" w:eastAsia="Arial" w:hAnsi="Arial"/>
          <w:sz w:val="24"/>
          <w:szCs w:val="24"/>
        </w:rPr>
        <w:t xml:space="preserve">Synaptic protein quantification and localization analysis</w:t>
      </w:r>
    </w:p>
    <w:p>
      <w:pPr>
        <w:pStyle w:val="ListParagraph"/>
        <w:numPr>
          <w:ilvl w:val="0"/>
          <w:numId w:val="1"/>
        </w:numPr>
        <w:spacing w:after="80" w:line="360"/>
      </w:pPr>
      <w:r>
        <w:rPr>
          <w:rFonts w:ascii="Arial" w:cs="Arial" w:eastAsia="Arial" w:hAnsi="Arial"/>
          <w:sz w:val="24"/>
          <w:szCs w:val="24"/>
        </w:rPr>
        <w:t xml:space="preserve">Combination treatment data and synergy assessment (if applicable)</w:t>
      </w:r>
    </w:p>
    <w:p>
      <w:pPr>
        <w:spacing w:after="100" w:line="360"/>
      </w:pPr>
      <w:r>
        <w:rPr>
          <w:rFonts w:ascii="Arial" w:cs="Arial" w:eastAsia="Arial" w:hAnsi="Arial"/>
          <w:b/>
          <w:bCs/>
          <w:sz w:val="24"/>
          <w:szCs w:val="24"/>
        </w:rPr>
        <w:t xml:space="preserve">Format:</w:t>
      </w:r>
      <w:r>
        <w:rPr>
          <w:rFonts w:ascii="Arial" w:cs="Arial" w:eastAsia="Arial" w:hAnsi="Arial"/>
          <w:b w:val="false"/>
          <w:bCs w:val="false"/>
          <w:sz w:val="24"/>
          <w:szCs w:val="24"/>
        </w:rPr>
        <w:t xml:space="preserve"> Disease model validation report with EP figures, immunofluorescence images, molecular analysis, and comprehensive effect-size summary tables.</w:t>
      </w:r>
    </w:p>
    <w:p>
      <w:pPr>
        <w:pStyle w:val="Heading2"/>
        <w:spacing w:after="100" w:line="360"/>
      </w:pPr>
      <w:r>
        <w:rPr>
          <w:rFonts w:ascii="Arial" w:cs="Arial" w:eastAsia="Arial" w:hAnsi="Arial"/>
          <w:b/>
          <w:bCs/>
          <w:sz w:val="28"/>
          <w:szCs w:val="28"/>
        </w:rPr>
        <w:t xml:space="preserve">Stage 6: Lead Optimization, Clinical Pathway Assessment, and Development Roadmap</w:t>
      </w:r>
    </w:p>
    <w:p>
      <w:pPr>
        <w:spacing w:after="100" w:line="360"/>
      </w:pPr>
      <w:r>
        <w:rPr>
          <w:rFonts w:ascii="Arial" w:cs="Arial" w:eastAsia="Arial" w:hAnsi="Arial"/>
          <w:b/>
          <w:bCs/>
          <w:sz w:val="24"/>
          <w:szCs w:val="24"/>
        </w:rPr>
        <w:t xml:space="preserve">Purpose:</w:t>
      </w:r>
      <w:r>
        <w:rPr>
          <w:rFonts w:ascii="Arial" w:cs="Arial" w:eastAsia="Arial" w:hAnsi="Arial"/>
          <w:b w:val="false"/>
          <w:bCs w:val="false"/>
          <w:sz w:val="24"/>
          <w:szCs w:val="24"/>
        </w:rPr>
        <w:t xml:space="preserve"> Optimize lead compounds for clinical development, assess regulatory pathway, and establish a go/no-go decision framework and development roadmap.</w:t>
      </w:r>
    </w:p>
    <w:p>
      <w:pPr>
        <w:spacing w:after="100" w:line="360"/>
      </w:pPr>
      <w:r>
        <w:rPr>
          <w:rFonts w:ascii="Arial" w:cs="Arial" w:eastAsia="Arial" w:hAnsi="Arial"/>
          <w:b/>
          <w:bCs/>
          <w:sz w:val="24"/>
          <w:szCs w:val="24"/>
        </w:rPr>
        <w:t xml:space="preserve">Inputs:</w:t>
      </w:r>
    </w:p>
    <w:p>
      <w:pPr>
        <w:pStyle w:val="ListParagraph"/>
        <w:numPr>
          <w:ilvl w:val="0"/>
          <w:numId w:val="1"/>
        </w:numPr>
        <w:spacing w:after="80" w:line="360"/>
      </w:pPr>
      <w:r>
        <w:rPr>
          <w:rFonts w:ascii="Arial" w:cs="Arial" w:eastAsia="Arial" w:hAnsi="Arial"/>
          <w:sz w:val="24"/>
          <w:szCs w:val="24"/>
        </w:rPr>
        <w:t xml:space="preserve">Top 1-2 validated leads from Stage 5 with confirmed disease model rescue</w:t>
      </w:r>
    </w:p>
    <w:p>
      <w:pPr>
        <w:pStyle w:val="ListParagraph"/>
        <w:numPr>
          <w:ilvl w:val="0"/>
          <w:numId w:val="1"/>
        </w:numPr>
        <w:spacing w:after="80" w:line="360"/>
      </w:pPr>
      <w:r>
        <w:rPr>
          <w:rFonts w:ascii="Arial" w:cs="Arial" w:eastAsia="Arial" w:hAnsi="Arial"/>
          <w:sz w:val="24"/>
          <w:szCs w:val="24"/>
        </w:rPr>
        <w:t xml:space="preserve">Complete pharmacology and safety data: potency, selectivity, off-target risk, ADME properties</w:t>
      </w:r>
    </w:p>
    <w:p>
      <w:pPr>
        <w:pStyle w:val="ListParagraph"/>
        <w:numPr>
          <w:ilvl w:val="0"/>
          <w:numId w:val="1"/>
        </w:numPr>
        <w:spacing w:after="80" w:line="360"/>
      </w:pPr>
      <w:r>
        <w:rPr>
          <w:rFonts w:ascii="Arial" w:cs="Arial" w:eastAsia="Arial" w:hAnsi="Arial"/>
          <w:sz w:val="24"/>
          <w:szCs w:val="24"/>
        </w:rPr>
        <w:t xml:space="preserve">Chemistry and formulation optimization goals: solubility, stability, BBB penetration, oral bioavailability</w:t>
      </w:r>
    </w:p>
    <w:p>
      <w:pPr>
        <w:pStyle w:val="ListParagraph"/>
        <w:numPr>
          <w:ilvl w:val="0"/>
          <w:numId w:val="1"/>
        </w:numPr>
        <w:spacing w:after="80" w:line="360"/>
      </w:pPr>
      <w:r>
        <w:rPr>
          <w:rFonts w:ascii="Arial" w:cs="Arial" w:eastAsia="Arial" w:hAnsi="Arial"/>
          <w:sz w:val="24"/>
          <w:szCs w:val="24"/>
        </w:rPr>
        <w:t xml:space="preserve">Regulatory guidance: FDA guidance for neurological disorder drugs, Orphan Drug status for CNTNAP2-associated disorders</w:t>
      </w:r>
    </w:p>
    <w:p>
      <w:pPr>
        <w:pStyle w:val="ListParagraph"/>
        <w:numPr>
          <w:ilvl w:val="0"/>
          <w:numId w:val="1"/>
        </w:numPr>
        <w:spacing w:after="80" w:line="360"/>
      </w:pPr>
      <w:r>
        <w:rPr>
          <w:rFonts w:ascii="Arial" w:cs="Arial" w:eastAsia="Arial" w:hAnsi="Arial"/>
          <w:sz w:val="24"/>
          <w:szCs w:val="24"/>
        </w:rPr>
        <w:t xml:space="preserve">Clinical trial design framework: patient populations, stratification biomarkers, primary/secondary endpoints</w:t>
      </w:r>
    </w:p>
    <w:p>
      <w:pPr>
        <w:pStyle w:val="ListParagraph"/>
        <w:numPr>
          <w:ilvl w:val="0"/>
          <w:numId w:val="1"/>
        </w:numPr>
        <w:spacing w:after="80" w:line="360"/>
      </w:pPr>
      <w:r>
        <w:rPr>
          <w:rFonts w:ascii="Arial" w:cs="Arial" w:eastAsia="Arial" w:hAnsi="Arial"/>
          <w:sz w:val="24"/>
          <w:szCs w:val="24"/>
        </w:rPr>
        <w:t xml:space="preserve">Competitive landscape and unmet medical need analysis</w:t>
      </w:r>
    </w:p>
    <w:p>
      <w:pPr>
        <w:spacing w:after="100" w:line="360"/>
      </w:pPr>
      <w:r>
        <w:rPr>
          <w:rFonts w:ascii="Arial" w:cs="Arial" w:eastAsia="Arial" w:hAnsi="Arial"/>
          <w:b/>
          <w:bCs/>
          <w:sz w:val="24"/>
          <w:szCs w:val="24"/>
        </w:rPr>
        <w:t xml:space="preserve">Tools &amp; Databases Called:</w:t>
      </w:r>
    </w:p>
    <w:p>
      <w:pPr>
        <w:pStyle w:val="ListParagraph"/>
        <w:numPr>
          <w:ilvl w:val="0"/>
          <w:numId w:val="1"/>
        </w:numPr>
        <w:spacing w:after="80" w:line="360"/>
      </w:pPr>
      <w:r>
        <w:rPr>
          <w:rFonts w:ascii="Arial" w:cs="Arial" w:eastAsia="Arial" w:hAnsi="Arial"/>
          <w:sz w:val="24"/>
          <w:szCs w:val="24"/>
        </w:rPr>
        <w:t xml:space="preserve">Medicinal chemistry databases and tools: SMARTS patterns for optimization templates, Levenshtein distance for structural analogs</w:t>
      </w:r>
    </w:p>
    <w:p>
      <w:pPr>
        <w:pStyle w:val="ListParagraph"/>
        <w:numPr>
          <w:ilvl w:val="0"/>
          <w:numId w:val="1"/>
        </w:numPr>
        <w:spacing w:after="80" w:line="360"/>
      </w:pPr>
      <w:r>
        <w:rPr>
          <w:rFonts w:ascii="Arial" w:cs="Arial" w:eastAsia="Arial" w:hAnsi="Arial"/>
          <w:sz w:val="24"/>
          <w:szCs w:val="24"/>
        </w:rPr>
        <w:t xml:space="preserve">ADME/PK prediction and optimization: SwissADME, pkCSM for BBB penetration, metabolic stability</w:t>
      </w:r>
    </w:p>
    <w:p>
      <w:pPr>
        <w:pStyle w:val="ListParagraph"/>
        <w:numPr>
          <w:ilvl w:val="0"/>
          <w:numId w:val="1"/>
        </w:numPr>
        <w:spacing w:after="80" w:line="360"/>
      </w:pPr>
      <w:r>
        <w:rPr>
          <w:rFonts w:ascii="Arial" w:cs="Arial" w:eastAsia="Arial" w:hAnsi="Arial"/>
          <w:sz w:val="24"/>
          <w:szCs w:val="24"/>
        </w:rPr>
        <w:t xml:space="preserve">Synthetic route planning: ChemDraw, Reaxys for known reactions and synthetic accessibility (RoCS score)</w:t>
      </w:r>
    </w:p>
    <w:p>
      <w:pPr>
        <w:pStyle w:val="ListParagraph"/>
        <w:numPr>
          <w:ilvl w:val="0"/>
          <w:numId w:val="1"/>
        </w:numPr>
        <w:spacing w:after="80" w:line="360"/>
      </w:pPr>
      <w:r>
        <w:rPr>
          <w:rFonts w:ascii="Arial" w:cs="Arial" w:eastAsia="Arial" w:hAnsi="Arial"/>
          <w:sz w:val="24"/>
          <w:szCs w:val="24"/>
        </w:rPr>
        <w:t xml:space="preserve">Formulation and PK modeling: GastroPlus, PK Sim, physiologically-based PK (PBPK) modeling</w:t>
      </w:r>
    </w:p>
    <w:p>
      <w:pPr>
        <w:pStyle w:val="ListParagraph"/>
        <w:numPr>
          <w:ilvl w:val="0"/>
          <w:numId w:val="1"/>
        </w:numPr>
        <w:spacing w:after="80" w:line="360"/>
      </w:pPr>
      <w:r>
        <w:rPr>
          <w:rFonts w:ascii="Arial" w:cs="Arial" w:eastAsia="Arial" w:hAnsi="Arial"/>
          <w:sz w:val="24"/>
          <w:szCs w:val="24"/>
        </w:rPr>
        <w:t xml:space="preserve">Regulatory databases: FDA guidance documents, precedent drugs (CTD formats, regulatory timelines)</w:t>
      </w:r>
    </w:p>
    <w:p>
      <w:pPr>
        <w:pStyle w:val="ListParagraph"/>
        <w:numPr>
          <w:ilvl w:val="0"/>
          <w:numId w:val="1"/>
        </w:numPr>
        <w:spacing w:after="80" w:line="360"/>
      </w:pPr>
      <w:r>
        <w:rPr>
          <w:rFonts w:ascii="Arial" w:cs="Arial" w:eastAsia="Arial" w:hAnsi="Arial"/>
          <w:sz w:val="24"/>
          <w:szCs w:val="24"/>
        </w:rPr>
        <w:t xml:space="preserve">Clinical trial design tools and literature: UpToDate, ClinicalTrials.gov for trial design precedents</w:t>
      </w:r>
    </w:p>
    <w:p>
      <w:pPr>
        <w:pStyle w:val="ListParagraph"/>
        <w:numPr>
          <w:ilvl w:val="0"/>
          <w:numId w:val="1"/>
        </w:numPr>
        <w:spacing w:after="80" w:line="360"/>
      </w:pPr>
      <w:r>
        <w:rPr>
          <w:rFonts w:ascii="Arial" w:cs="Arial" w:eastAsia="Arial" w:hAnsi="Arial"/>
          <w:sz w:val="24"/>
          <w:szCs w:val="24"/>
        </w:rPr>
        <w:t xml:space="preserve">Economic analysis: cost-benefit modeling for drug development and market potential</w:t>
      </w:r>
    </w:p>
    <w:p>
      <w:pPr>
        <w:spacing w:after="100" w:line="360"/>
      </w:pPr>
      <w:r>
        <w:rPr>
          <w:rFonts w:ascii="Arial" w:cs="Arial" w:eastAsia="Arial" w:hAnsi="Arial"/>
          <w:b/>
          <w:bCs/>
          <w:sz w:val="24"/>
          <w:szCs w:val="24"/>
        </w:rPr>
        <w:t xml:space="preserve">Exemplary Sub-Prompts:</w:t>
      </w:r>
    </w:p>
    <w:p>
      <w:pPr>
        <w:pStyle w:val="ListParagraph"/>
        <w:numPr>
          <w:ilvl w:val="0"/>
          <w:numId w:val="1"/>
        </w:numPr>
        <w:spacing w:after="80" w:line="360"/>
      </w:pPr>
      <w:r>
        <w:rPr>
          <w:rFonts w:ascii="Arial" w:cs="Arial" w:eastAsia="Arial" w:hAnsi="Arial"/>
          <w:sz w:val="24"/>
          <w:szCs w:val="24"/>
        </w:rPr>
        <w:t xml:space="preserve">For Lead Compound A, design a medicinal chemistry optimization plan. Primary goals: improve BBB penetration (if needed), reduce off-target liability, enhance oral bioavailability. Propose 3-5 synthetic modifications and predict their effects using ADME tools.</w:t>
      </w:r>
    </w:p>
    <w:p>
      <w:pPr>
        <w:pStyle w:val="ListParagraph"/>
        <w:numPr>
          <w:ilvl w:val="0"/>
          <w:numId w:val="1"/>
        </w:numPr>
        <w:spacing w:after="80" w:line="360"/>
      </w:pPr>
      <w:r>
        <w:rPr>
          <w:rFonts w:ascii="Arial" w:cs="Arial" w:eastAsia="Arial" w:hAnsi="Arial"/>
          <w:sz w:val="24"/>
          <w:szCs w:val="24"/>
        </w:rPr>
        <w:t xml:space="preserve">Perform in silico PBPK modeling for the lead compound. Predict human pharmacokinetics (Cmax, Tmax, half-life, brain penetration) based on preclinical data. Is predicted brain exposure adequate for CNS efficacy?</w:t>
      </w:r>
    </w:p>
    <w:p>
      <w:pPr>
        <w:pStyle w:val="ListParagraph"/>
        <w:numPr>
          <w:ilvl w:val="0"/>
          <w:numId w:val="1"/>
        </w:numPr>
        <w:spacing w:after="80" w:line="360"/>
      </w:pPr>
      <w:r>
        <w:rPr>
          <w:rFonts w:ascii="Arial" w:cs="Arial" w:eastAsia="Arial" w:hAnsi="Arial"/>
          <w:sz w:val="24"/>
          <w:szCs w:val="24"/>
        </w:rPr>
        <w:t xml:space="preserve">Design a Phase 1 clinical trial protocol for CNTNAP2-associated hyperexcitability: patient inclusion criteria, primary outcome (E/I balance biomarker or seizure reduction?), secondary outcomes, safety monitoring, dose escalation strategy.</w:t>
      </w:r>
    </w:p>
    <w:p>
      <w:pPr>
        <w:pStyle w:val="ListParagraph"/>
        <w:numPr>
          <w:ilvl w:val="0"/>
          <w:numId w:val="1"/>
        </w:numPr>
        <w:spacing w:after="80" w:line="360"/>
      </w:pPr>
      <w:r>
        <w:rPr>
          <w:rFonts w:ascii="Arial" w:cs="Arial" w:eastAsia="Arial" w:hAnsi="Arial"/>
          <w:sz w:val="24"/>
          <w:szCs w:val="24"/>
        </w:rPr>
        <w:t xml:space="preserve">Assess Orphan Drug eligibility for CNTNAP2-associated disorders. Estimate patient population size, unmet medical need, regulatory accelerated pathway options (Fast Track, Breakthrough Therapy, Accelerated Approval).</w:t>
      </w:r>
    </w:p>
    <w:p>
      <w:pPr>
        <w:pStyle w:val="ListParagraph"/>
        <w:numPr>
          <w:ilvl w:val="0"/>
          <w:numId w:val="1"/>
        </w:numPr>
        <w:spacing w:after="80" w:line="360"/>
      </w:pPr>
      <w:r>
        <w:rPr>
          <w:rFonts w:ascii="Arial" w:cs="Arial" w:eastAsia="Arial" w:hAnsi="Arial"/>
          <w:sz w:val="24"/>
          <w:szCs w:val="24"/>
        </w:rPr>
        <w:t xml:space="preserve">Competitive analysis: are there other compounds or drugs targeting CNTNAP2 or E/I balance in development? What is their status, mechanism, and how does our lead differentiate? Market opportunity assessment.</w:t>
      </w:r>
    </w:p>
    <w:p>
      <w:pPr>
        <w:spacing w:after="100" w:line="360"/>
      </w:pPr>
      <w:r>
        <w:rPr>
          <w:rFonts w:ascii="Arial" w:cs="Arial" w:eastAsia="Arial" w:hAnsi="Arial"/>
          <w:b/>
          <w:bCs/>
          <w:sz w:val="24"/>
          <w:szCs w:val="24"/>
        </w:rPr>
        <w:t xml:space="preserve">Expected Outputs:</w:t>
      </w:r>
      <w:r>
        <w:rPr>
          <w:rFonts w:ascii="Arial" w:cs="Arial" w:eastAsia="Arial" w:hAnsi="Arial"/>
          <w:b w:val="false"/>
          <w:bCs w:val="false"/>
          <w:sz w:val="24"/>
          <w:szCs w:val="24"/>
        </w:rPr>
        <w:t xml:space="preserve"> A comprehensive clinical development strategy and go/no-go recommendation for lead compounds.</w:t>
      </w:r>
    </w:p>
    <w:p>
      <w:pPr>
        <w:pStyle w:val="ListParagraph"/>
        <w:numPr>
          <w:ilvl w:val="0"/>
          <w:numId w:val="1"/>
        </w:numPr>
        <w:spacing w:after="80" w:line="360"/>
      </w:pPr>
      <w:r>
        <w:rPr>
          <w:rFonts w:ascii="Arial" w:cs="Arial" w:eastAsia="Arial" w:hAnsi="Arial"/>
          <w:sz w:val="24"/>
          <w:szCs w:val="24"/>
        </w:rPr>
        <w:t xml:space="preserve">Lead compound optimization recommendations with predicted improvements to efficacy, ADME, and safety</w:t>
      </w:r>
    </w:p>
    <w:p>
      <w:pPr>
        <w:pStyle w:val="ListParagraph"/>
        <w:numPr>
          <w:ilvl w:val="0"/>
          <w:numId w:val="1"/>
        </w:numPr>
        <w:spacing w:after="80" w:line="360"/>
      </w:pPr>
      <w:r>
        <w:rPr>
          <w:rFonts w:ascii="Arial" w:cs="Arial" w:eastAsia="Arial" w:hAnsi="Arial"/>
          <w:sz w:val="24"/>
          <w:szCs w:val="24"/>
        </w:rPr>
        <w:t xml:space="preserve">PBPK modeling results and predicted human pharmacokinetics</w:t>
      </w:r>
    </w:p>
    <w:p>
      <w:pPr>
        <w:pStyle w:val="ListParagraph"/>
        <w:numPr>
          <w:ilvl w:val="0"/>
          <w:numId w:val="1"/>
        </w:numPr>
        <w:spacing w:after="80" w:line="360"/>
      </w:pPr>
      <w:r>
        <w:rPr>
          <w:rFonts w:ascii="Arial" w:cs="Arial" w:eastAsia="Arial" w:hAnsi="Arial"/>
          <w:sz w:val="24"/>
          <w:szCs w:val="24"/>
        </w:rPr>
        <w:t xml:space="preserve">Proposed Phase 1 clinical trial design with patient stratification and endpoints</w:t>
      </w:r>
    </w:p>
    <w:p>
      <w:pPr>
        <w:pStyle w:val="ListParagraph"/>
        <w:numPr>
          <w:ilvl w:val="0"/>
          <w:numId w:val="1"/>
        </w:numPr>
        <w:spacing w:after="80" w:line="360"/>
      </w:pPr>
      <w:r>
        <w:rPr>
          <w:rFonts w:ascii="Arial" w:cs="Arial" w:eastAsia="Arial" w:hAnsi="Arial"/>
          <w:sz w:val="24"/>
          <w:szCs w:val="24"/>
        </w:rPr>
        <w:t xml:space="preserve">Orphan Drug regulatory pathway assessment and accelerated approval eligibility</w:t>
      </w:r>
    </w:p>
    <w:p>
      <w:pPr>
        <w:pStyle w:val="ListParagraph"/>
        <w:numPr>
          <w:ilvl w:val="0"/>
          <w:numId w:val="1"/>
        </w:numPr>
        <w:spacing w:after="80" w:line="360"/>
      </w:pPr>
      <w:r>
        <w:rPr>
          <w:rFonts w:ascii="Arial" w:cs="Arial" w:eastAsia="Arial" w:hAnsi="Arial"/>
          <w:sz w:val="24"/>
          <w:szCs w:val="24"/>
        </w:rPr>
        <w:t xml:space="preserve">Competitive landscape summary and market differentiation analysis</w:t>
      </w:r>
    </w:p>
    <w:p>
      <w:pPr>
        <w:pStyle w:val="ListParagraph"/>
        <w:numPr>
          <w:ilvl w:val="0"/>
          <w:numId w:val="1"/>
        </w:numPr>
        <w:spacing w:after="80" w:line="360"/>
      </w:pPr>
      <w:r>
        <w:rPr>
          <w:rFonts w:ascii="Arial" w:cs="Arial" w:eastAsia="Arial" w:hAnsi="Arial"/>
          <w:sz w:val="24"/>
          <w:szCs w:val="24"/>
        </w:rPr>
        <w:t xml:space="preserve">Development roadmap: timeline from lead optimization through IND-enabling studies and clinical trials</w:t>
      </w:r>
    </w:p>
    <w:p>
      <w:pPr>
        <w:spacing w:after="100" w:line="360"/>
      </w:pPr>
      <w:r>
        <w:rPr>
          <w:rFonts w:ascii="Arial" w:cs="Arial" w:eastAsia="Arial" w:hAnsi="Arial"/>
          <w:b/>
          <w:bCs/>
          <w:sz w:val="24"/>
          <w:szCs w:val="24"/>
        </w:rPr>
        <w:t xml:space="preserve">Format:</w:t>
      </w:r>
      <w:r>
        <w:rPr>
          <w:rFonts w:ascii="Arial" w:cs="Arial" w:eastAsia="Arial" w:hAnsi="Arial"/>
          <w:b w:val="false"/>
          <w:bCs w:val="false"/>
          <w:sz w:val="24"/>
          <w:szCs w:val="24"/>
        </w:rPr>
        <w:t xml:space="preserve"> Executive strategic briefing suitable for C-suite and board review, including medicinal chemistry optimization figures, PK modeling results, proposed trial protocol summary, regulatory pathway assessment, and go/no-go recommendation.</w:t>
      </w:r>
    </w:p>
    <w:p>
      <w:pPr>
        <w:pStyle w:val="Heading2"/>
        <w:spacing w:after="100" w:line="360"/>
      </w:pPr>
      <w:r>
        <w:rPr>
          <w:rFonts w:ascii="Arial" w:cs="Arial" w:eastAsia="Arial" w:hAnsi="Arial"/>
          <w:b/>
          <w:bCs/>
          <w:sz w:val="28"/>
          <w:szCs w:val="28"/>
        </w:rPr>
        <w:t xml:space="preserve">Tools &amp; Databases Summary</w:t>
      </w:r>
    </w:p>
    <w:p>
      <w:pPr>
        <w:pStyle w:val="ListParagraph"/>
        <w:numPr>
          <w:ilvl w:val="0"/>
          <w:numId w:val="1"/>
        </w:numPr>
        <w:spacing w:after="80" w:line="360"/>
      </w:pPr>
      <w:r>
        <w:rPr>
          <w:rFonts w:ascii="Arial" w:cs="Arial" w:eastAsia="Arial" w:hAnsi="Arial"/>
          <w:sz w:val="24"/>
          <w:szCs w:val="24"/>
        </w:rPr>
        <w:t xml:space="preserve">Quiver EP CRISPR Atlas: ~18,000 gene perturbations with 500+ electrophysiological features per neuron, including CNTNAP2 KO baseline data</w:t>
      </w:r>
    </w:p>
    <w:p>
      <w:pPr>
        <w:pStyle w:val="ListParagraph"/>
        <w:numPr>
          <w:ilvl w:val="0"/>
          <w:numId w:val="1"/>
        </w:numPr>
        <w:spacing w:after="80" w:line="360"/>
      </w:pPr>
      <w:r>
        <w:rPr>
          <w:rFonts w:ascii="Arial" w:cs="Arial" w:eastAsia="Arial" w:hAnsi="Arial"/>
          <w:sz w:val="24"/>
          <w:szCs w:val="24"/>
        </w:rPr>
        <w:t xml:space="preserve">Quiver Compound Perturbation Database: ~3,500 compounds with pre-characterized EP phenotypes enabling unbiased screening</w:t>
      </w:r>
    </w:p>
    <w:p>
      <w:pPr>
        <w:pStyle w:val="ListParagraph"/>
        <w:numPr>
          <w:ilvl w:val="0"/>
          <w:numId w:val="1"/>
        </w:numPr>
        <w:spacing w:after="80" w:line="360"/>
      </w:pPr>
      <w:r>
        <w:rPr>
          <w:rFonts w:ascii="Arial" w:cs="Arial" w:eastAsia="Arial" w:hAnsi="Arial"/>
          <w:sz w:val="24"/>
          <w:szCs w:val="24"/>
        </w:rPr>
        <w:t xml:space="preserve">Multi-electrode array (MEA) systems: Maestro, Muse, or equivalent for parallel high-throughput neuronal activity recording and analysis</w:t>
      </w:r>
    </w:p>
    <w:p>
      <w:pPr>
        <w:pStyle w:val="ListParagraph"/>
        <w:numPr>
          <w:ilvl w:val="0"/>
          <w:numId w:val="1"/>
        </w:numPr>
        <w:spacing w:after="80" w:line="360"/>
      </w:pPr>
      <w:r>
        <w:rPr>
          <w:rFonts w:ascii="Arial" w:cs="Arial" w:eastAsia="Arial" w:hAnsi="Arial"/>
          <w:sz w:val="24"/>
          <w:szCs w:val="24"/>
        </w:rPr>
        <w:t xml:space="preserve">Patch-clamp electrophysiology rigs: whole-cell and single-channel recording for detailed synaptic and channel characterization</w:t>
      </w:r>
    </w:p>
    <w:p>
      <w:pPr>
        <w:pStyle w:val="ListParagraph"/>
        <w:numPr>
          <w:ilvl w:val="0"/>
          <w:numId w:val="1"/>
        </w:numPr>
        <w:spacing w:after="80" w:line="360"/>
      </w:pPr>
      <w:r>
        <w:rPr>
          <w:rFonts w:ascii="Arial" w:cs="Arial" w:eastAsia="Arial" w:hAnsi="Arial"/>
          <w:sz w:val="24"/>
          <w:szCs w:val="24"/>
        </w:rPr>
        <w:t xml:space="preserve">Live-cell calcium imaging: fluorescent indicators and microscopy for network-level dynamics and synchronization assessment</w:t>
      </w:r>
    </w:p>
    <w:p>
      <w:pPr>
        <w:pStyle w:val="ListParagraph"/>
        <w:numPr>
          <w:ilvl w:val="0"/>
          <w:numId w:val="1"/>
        </w:numPr>
        <w:spacing w:after="80" w:line="360"/>
      </w:pPr>
      <w:r>
        <w:rPr>
          <w:rFonts w:ascii="Arial" w:cs="Arial" w:eastAsia="Arial" w:hAnsi="Arial"/>
          <w:sz w:val="24"/>
          <w:szCs w:val="24"/>
        </w:rPr>
        <w:t xml:space="preserve">High-throughput compound screening platform: 96-well MEA or equivalent for rapid dose-response and selectivity testing</w:t>
      </w:r>
    </w:p>
    <w:p>
      <w:pPr>
        <w:pStyle w:val="ListParagraph"/>
        <w:numPr>
          <w:ilvl w:val="0"/>
          <w:numId w:val="1"/>
        </w:numPr>
        <w:spacing w:after="80" w:line="360"/>
      </w:pPr>
      <w:r>
        <w:rPr>
          <w:rFonts w:ascii="Arial" w:cs="Arial" w:eastAsia="Arial" w:hAnsi="Arial"/>
          <w:sz w:val="24"/>
          <w:szCs w:val="24"/>
        </w:rPr>
        <w:t xml:space="preserve">Spike detection and sorting software: custom Python pipelines, Neuroexplorer, Spike2 for MEA data analysis</w:t>
      </w:r>
    </w:p>
    <w:p>
      <w:pPr>
        <w:pStyle w:val="ListParagraph"/>
        <w:numPr>
          <w:ilvl w:val="0"/>
          <w:numId w:val="1"/>
        </w:numPr>
        <w:spacing w:after="80" w:line="360"/>
      </w:pPr>
      <w:r>
        <w:rPr>
          <w:rFonts w:ascii="Arial" w:cs="Arial" w:eastAsia="Arial" w:hAnsi="Arial"/>
          <w:sz w:val="24"/>
          <w:szCs w:val="24"/>
        </w:rPr>
        <w:t xml:space="preserve">Network analysis and graph theory tools: custom scripts for synchronization, cross-correlation, and connectivity metrics</w:t>
      </w:r>
    </w:p>
    <w:p>
      <w:pPr>
        <w:pStyle w:val="ListParagraph"/>
        <w:numPr>
          <w:ilvl w:val="0"/>
          <w:numId w:val="1"/>
        </w:numPr>
        <w:spacing w:after="80" w:line="360"/>
      </w:pPr>
      <w:r>
        <w:rPr>
          <w:rFonts w:ascii="Arial" w:cs="Arial" w:eastAsia="Arial" w:hAnsi="Arial"/>
          <w:sz w:val="24"/>
          <w:szCs w:val="24"/>
        </w:rPr>
        <w:t xml:space="preserve">Compound-target databases: ChEMBL, DrugBank, BindingDB for known ligand-target relationships</w:t>
      </w:r>
    </w:p>
    <w:p>
      <w:pPr>
        <w:pStyle w:val="ListParagraph"/>
        <w:numPr>
          <w:ilvl w:val="0"/>
          <w:numId w:val="1"/>
        </w:numPr>
        <w:spacing w:after="80" w:line="360"/>
      </w:pPr>
      <w:r>
        <w:rPr>
          <w:rFonts w:ascii="Arial" w:cs="Arial" w:eastAsia="Arial" w:hAnsi="Arial"/>
          <w:sz w:val="24"/>
          <w:szCs w:val="24"/>
        </w:rPr>
        <w:t xml:space="preserve">Target prediction and reverse pharmacology: SEA, PIDGIN, ChEMBL algorithms, chemical similarity tools (Tanimoto fingerprints)</w:t>
      </w:r>
    </w:p>
    <w:p>
      <w:pPr>
        <w:pStyle w:val="ListParagraph"/>
        <w:numPr>
          <w:ilvl w:val="0"/>
          <w:numId w:val="1"/>
        </w:numPr>
        <w:spacing w:after="80" w:line="360"/>
      </w:pPr>
      <w:r>
        <w:rPr>
          <w:rFonts w:ascii="Arial" w:cs="Arial" w:eastAsia="Arial" w:hAnsi="Arial"/>
          <w:sz w:val="24"/>
          <w:szCs w:val="24"/>
        </w:rPr>
        <w:t xml:space="preserve">CNTNAP2 interactome and pathway resources: STRING, BioGRID, IntAct, KEGG, Reactome for protein interactions and pathway context</w:t>
      </w:r>
    </w:p>
    <w:p>
      <w:pPr>
        <w:pStyle w:val="ListParagraph"/>
        <w:numPr>
          <w:ilvl w:val="0"/>
          <w:numId w:val="1"/>
        </w:numPr>
        <w:spacing w:after="80" w:line="360"/>
      </w:pPr>
      <w:r>
        <w:rPr>
          <w:rFonts w:ascii="Arial" w:cs="Arial" w:eastAsia="Arial" w:hAnsi="Arial"/>
          <w:sz w:val="24"/>
          <w:szCs w:val="24"/>
        </w:rPr>
        <w:t xml:space="preserve">RNA-seq and gene expression analysis: STAR, HTSeq, DESeq2, limma for transcriptomic validation and mechanism exploration</w:t>
      </w:r>
    </w:p>
    <w:p>
      <w:pPr>
        <w:pStyle w:val="ListParagraph"/>
        <w:numPr>
          <w:ilvl w:val="0"/>
          <w:numId w:val="1"/>
        </w:numPr>
        <w:spacing w:after="80" w:line="360"/>
      </w:pPr>
      <w:r>
        <w:rPr>
          <w:rFonts w:ascii="Arial" w:cs="Arial" w:eastAsia="Arial" w:hAnsi="Arial"/>
          <w:sz w:val="24"/>
          <w:szCs w:val="24"/>
        </w:rPr>
        <w:t xml:space="preserve">ADME/PK prediction tools: SwissADME, pkCSM, ADMETlab for drug-likeness, BBB penetration, oral bioavailability predictions</w:t>
      </w:r>
    </w:p>
    <w:p>
      <w:pPr>
        <w:pStyle w:val="ListParagraph"/>
        <w:numPr>
          <w:ilvl w:val="0"/>
          <w:numId w:val="1"/>
        </w:numPr>
        <w:spacing w:after="80" w:line="360"/>
      </w:pPr>
      <w:r>
        <w:rPr>
          <w:rFonts w:ascii="Arial" w:cs="Arial" w:eastAsia="Arial" w:hAnsi="Arial"/>
          <w:sz w:val="24"/>
          <w:szCs w:val="24"/>
        </w:rPr>
        <w:t xml:space="preserve">Off-target and safety liability assessment: computational SEA, ChEMBL, experimental hERG patch-clamp, cardiac liability assays</w:t>
      </w:r>
    </w:p>
    <w:p>
      <w:pPr>
        <w:pStyle w:val="ListParagraph"/>
        <w:numPr>
          <w:ilvl w:val="0"/>
          <w:numId w:val="1"/>
        </w:numPr>
        <w:spacing w:after="80" w:line="360"/>
      </w:pPr>
      <w:r>
        <w:rPr>
          <w:rFonts w:ascii="Arial" w:cs="Arial" w:eastAsia="Arial" w:hAnsi="Arial"/>
          <w:sz w:val="24"/>
          <w:szCs w:val="24"/>
        </w:rPr>
        <w:t xml:space="preserve">Toxicity and viability assays: LDH release, MTT, live/dead imaging, CellTiter-Glo for cell health assessment</w:t>
      </w:r>
    </w:p>
    <w:p>
      <w:pPr>
        <w:pStyle w:val="ListParagraph"/>
        <w:numPr>
          <w:ilvl w:val="0"/>
          <w:numId w:val="1"/>
        </w:numPr>
        <w:spacing w:after="80" w:line="360"/>
      </w:pPr>
      <w:r>
        <w:rPr>
          <w:rFonts w:ascii="Arial" w:cs="Arial" w:eastAsia="Arial" w:hAnsi="Arial"/>
          <w:sz w:val="24"/>
          <w:szCs w:val="24"/>
        </w:rPr>
        <w:t xml:space="preserve">Medicinal chemistry tools: ChemDraw, Reaxys, RetroSynthesis tools for structure optimization and synthetic accessibility</w:t>
      </w:r>
    </w:p>
    <w:p>
      <w:pPr>
        <w:pStyle w:val="ListParagraph"/>
        <w:numPr>
          <w:ilvl w:val="0"/>
          <w:numId w:val="1"/>
        </w:numPr>
        <w:spacing w:after="80" w:line="360"/>
      </w:pPr>
      <w:r>
        <w:rPr>
          <w:rFonts w:ascii="Arial" w:cs="Arial" w:eastAsia="Arial" w:hAnsi="Arial"/>
          <w:sz w:val="24"/>
          <w:szCs w:val="24"/>
        </w:rPr>
        <w:t xml:space="preserve">Physiologically-based PK (PBPK) modeling: GastroPlus, PK Sim for human pharmacokinetic prediction</w:t>
      </w:r>
    </w:p>
    <w:p>
      <w:pPr>
        <w:pStyle w:val="ListParagraph"/>
        <w:numPr>
          <w:ilvl w:val="0"/>
          <w:numId w:val="1"/>
        </w:numPr>
        <w:spacing w:after="80" w:line="360"/>
      </w:pPr>
      <w:r>
        <w:rPr>
          <w:rFonts w:ascii="Arial" w:cs="Arial" w:eastAsia="Arial" w:hAnsi="Arial"/>
          <w:sz w:val="24"/>
          <w:szCs w:val="24"/>
        </w:rPr>
        <w:t xml:space="preserve">Immunofluorescence and microscopy: high-content screening for synaptic density, protein localization, morphological analysis</w:t>
      </w:r>
    </w:p>
    <w:p>
      <w:pPr>
        <w:pStyle w:val="ListParagraph"/>
        <w:numPr>
          <w:ilvl w:val="0"/>
          <w:numId w:val="1"/>
        </w:numPr>
        <w:spacing w:after="80" w:line="360"/>
      </w:pPr>
      <w:r>
        <w:rPr>
          <w:rFonts w:ascii="Arial" w:cs="Arial" w:eastAsia="Arial" w:hAnsi="Arial"/>
          <w:sz w:val="24"/>
          <w:szCs w:val="24"/>
        </w:rPr>
        <w:t xml:space="preserve">Statistical and machine learning tools: Python (scipy, scikit-learn, TensorFlow), R (limma, drc for dose-response modeling)</w:t>
      </w:r>
    </w:p>
    <w:p>
      <w:pPr>
        <w:pStyle w:val="ListParagraph"/>
        <w:numPr>
          <w:ilvl w:val="0"/>
          <w:numId w:val="1"/>
        </w:numPr>
        <w:spacing w:after="80" w:line="360"/>
      </w:pPr>
      <w:r>
        <w:rPr>
          <w:rFonts w:ascii="Arial" w:cs="Arial" w:eastAsia="Arial" w:hAnsi="Arial"/>
          <w:sz w:val="24"/>
          <w:szCs w:val="24"/>
        </w:rPr>
        <w:t xml:space="preserve">Regulatory databases and guidance: FDA documents, ClinicalTrials.gov, Orphan Drug Act guidelines</w:t>
      </w:r>
    </w:p>
    <w:p>
      <w:pPr>
        <w:pStyle w:val="ListParagraph"/>
        <w:numPr>
          <w:ilvl w:val="0"/>
          <w:numId w:val="1"/>
        </w:numPr>
        <w:spacing w:after="80" w:line="360"/>
      </w:pPr>
      <w:r>
        <w:rPr>
          <w:rFonts w:ascii="Arial" w:cs="Arial" w:eastAsia="Arial" w:hAnsi="Arial"/>
          <w:sz w:val="24"/>
          <w:szCs w:val="24"/>
        </w:rPr>
        <w:t xml:space="preserve">Clinical trial design resources: UpToDate, literature precedents, biomarker qualification frameworks</w:t>
      </w:r>
    </w:p>
    <w:p>
      <w:pPr>
        <w:pStyle w:val="ListParagraph"/>
        <w:numPr>
          <w:ilvl w:val="0"/>
          <w:numId w:val="1"/>
        </w:numPr>
        <w:spacing w:after="80" w:line="360"/>
      </w:pPr>
      <w:r>
        <w:rPr>
          <w:rFonts w:ascii="Arial" w:cs="Arial" w:eastAsia="Arial" w:hAnsi="Arial"/>
          <w:sz w:val="24"/>
          <w:szCs w:val="24"/>
        </w:rPr>
        <w:t xml:space="preserve">Literature and competitive intelligence: PubMed, Google Scholar, patent databases for mechanism, target, and clinical precedent research</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2026-03-03T13:29:37.148Z</dcterms:created>
  <dcterms:modified xsi:type="dcterms:W3CDTF">2026-03-03T13:29:37.148Z</dcterms:modified>
</cp:coreProperties>
</file>

<file path=docProps/custom.xml><?xml version="1.0" encoding="utf-8"?>
<Properties xmlns="http://schemas.openxmlformats.org/officeDocument/2006/custom-properties" xmlns:vt="http://schemas.openxmlformats.org/officeDocument/2006/docPropsVTypes"/>
</file>