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0" w:line="360" w:lineRule="auto"/>
      </w:pPr>
      <w:r>
        <w:rPr>
          <w:rFonts w:ascii="Arial" w:hAnsi="Arial"/>
          <w:b/>
          <w:sz w:val="64"/>
        </w:rPr>
        <w:t>Sapphire Pipeline Workflow</w:t>
      </w:r>
    </w:p>
    <w:p>
      <w:pPr>
        <w:pStyle w:val="Heading2"/>
        <w:spacing w:before="2000" w:after="2000"/>
      </w:pPr>
      <w:r>
        <w:rPr>
          <w:rFonts w:ascii="Arial" w:hAnsi="Arial"/>
          <w:b/>
          <w:sz w:val="56"/>
        </w:rPr>
        <w:t>Prompt: "Rank top 5 orphan-drug–eligible candidates for rare epileptic encephalopathies"</w:t>
      </w:r>
    </w:p>
    <w:p>
      <w:pPr>
        <w:spacing w:after="2000" w:line="360" w:lineRule="auto"/>
      </w:pPr>
      <w:r>
        <w:rPr>
          <w:rFonts w:ascii="Arial" w:hAnsi="Arial"/>
          <w:sz w:val="48"/>
        </w:rPr>
        <w:t>This pipeline integrates the Sapphire electrophysiology (EP) CRISPR atlas with regulatory intelligence, competitive landscape analysis, and commercial viability assessment to identify and rank the top 5 orphan-drug–eligible therapeutic candidates for rare developmental and epileptic encephalopathies (DEEs). Using the platform's 18,000 gene perturbations and 500+ electrical features per neuron, the workflow scores candidates by EP phenotypic rescue strength, regulatory feasibility, competitive positioning, and commercial potential.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Pipeline Overview</w:t>
      </w:r>
    </w:p>
    <w:p>
      <w:pPr>
        <w:spacing w:after="2000" w:line="360" w:lineRule="auto"/>
      </w:pPr>
      <w:r>
        <w:rPr>
          <w:rFonts w:ascii="Arial" w:hAnsi="Arial"/>
          <w:sz w:val="48"/>
        </w:rPr>
        <w:t>Rare developmental and epileptic encephalopathies (Dravet syndrome, Lennox-Gastaut syndrome, West syndrome, and monogenic forms including KCNQ2, STXBP1, SCN1A, SLC6A8, CDKL5, ARX, PCDH19, SYN1 mutations) affect &lt;200,000 patients in the US and qualify for orphan drug designation. Clinical severity—refractory seizures, developmental regression, intellectual disability—creates substantial unmet medical need. The workflow ranks candidates across four weighted dimensions: (1) EP Rescue Strength (40%)—magnitude of electrophysiological phenotype correction from Sapphire atlas modeling; (2) Commercial Potential (30%)—market size, exclusivity period (7-year orphan exclusivity + patents), precedent pricing; (3) Regulatory Feasibility (20%)—FDA orphan pathway clarity, breakthrough designation potential, clinical trial design feasibility; (4) Safety Profile (10%)—off-target risk, preclinical toxicology, mechanism clarity. The top 5 ranked candidates emerge from a comprehensive six-stage workflow integrating mechanistic, regulatory, competitive, and commercial dimensions.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1: Disease-Gene Association Mining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Identify 15–20 orphan-drug–eligible rare DEE genes from clinical databases, map to Sapphire EP CRISPR atlas baseline seizure phenotypes, and assess genetic epidemiology (allele frequency, inheritance, penetrance).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ClinVar/OMIM rare disease databases (Dravet, LGS, West, KCNQ2, STXBP1, SCN1A, SLC6A8, CDKL5, ARX, PCDH19, SYN1, PIGA, ALDH7A1, SYN1)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Orphan Drug Designations database (US patient population, market exclusivity status)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 baseline seizure phenotypes for target genes (if available)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Genetic epidemiology data (allele frequency, inheritance patterns, penetrance estimates, founder effects)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severity metrics (seizure onset age, refractory rates, developmental outcome, life expectancy)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ClinVar: Gene-variant-phenotype associations for DEE mutations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OMIM (Online Mendelian Inheritance in Man): Rare disease clinical and genetic annotations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Orphan Drug Designations Portal: &lt;200,000 patient threshold confirmation, market exclusivity timeline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gnomAD/ExAC: Allele frequency filtering, disease-associated variant discovery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Baseline neuronal excitability signatures for candidate genes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PubMed/Google Scholar: Clinical phenotype literature review, genetic epidemiology meta-analysis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all rare developmental and epileptic encephalopathy genes (DEE1–DEE30+) with &lt;200,000 US patients qualifying for orphan drug status.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each candidate gene, retrieve ClinVar pathogenic variant count, functional consequence categories (LoF, GoF, dominant-negative), and associated clinical phenotypes (seizure type, age onset, developmental impact).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Cross-reference candidate genes against Sapphire EP CRISPR atlas to confirm baseline seizure-relevant neuronal phenotypes are measurable.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Rank candidate genes by unmet medical need severity: refractory seizure rate, treatment failure prevalence, life expectancy impact, developmental regression rate.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Filter to top 15–20 candidates meeting: (i) &gt;500 documented pathogenic variants per gene, (ii) &lt;200,000 US patients, (iii) strong EP-seizure connection in literature.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Prioritized list of 15–20 DEE genes ranked by orphan drug eligibility and EP relevance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Gene-specific clinical phenotypes: seizure type, onset age, severity spectrum, developmental outcomes, treatment failure rates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Genetic epidemiology summary: allele frequency, inheritance pattern, penetrance, founder effects for each gene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atlas alignment: confirmation of seizure-relevant EP phenotypes measurable for each candidate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Unmet medical need ranking: current approved therapies per gene, treatment failure rates, clinical gaps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Ranked table (gene, inheritance, allele frequency, orphan patient count, seizure severity, EP phenotype availability, unmet need score)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2: EP Phenotype Rescue Scoring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Quantify electrophysiological rescue strength for each candidate using Sapphire atlas modeling, focusing on seizure-relevant features (burst frequency, hyperexcitability, seizure-like activity), and generate an objective EP Rescue Score (0–100) ranking all candidates.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 data: 18,000 gene perturbations, 500+ electrical features per neuron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Seizure-relevant EP feature definitions: spontaneous burst frequency, hyperexcitability index, action potential amplitude, spike timing, network synchrony, interspike interval variability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Baseline DEE-associated neuronal phenotypes (hyperexcitability, reduced burst threshold, altered network synchrony)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Target gene perturbation profiles: CRISPR knockdown, antisense suppression, loss-of-function modeling data from Sapphire atlas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correlation evidence linking EP signatures to seizure phenotype severity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Query 18k gene perturbations to extract rescue profiles for candidate DEE genes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Seizure phenotype modeling: Electrophysiology-based seizure propensity scoring (burst threshold elevation, hyperexcitability suppression, network desynchronization)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Quiver electrophysiology database: Multi-cell-type EP profiles (excitatory neurons, inhibitory interneurons, mixed networks)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Custom rescue quantification algorithm: Compute % reduction in seizure-propensity metric per candidate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Literature mining: Clinical EEG signatures associated with target genes, correlation to baseline neuronal phenotypes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each of the 15–20 candidate genes, retrieve Sapphire atlas perturbation profile (CRISPR knockdown, loss-of-function equivalent).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Quantify seizure-relevant EP feature changes: % reduction in spontaneous burst frequency, % elevation in seizure threshold, % suppression of hyperexcitability index, network synchrony changes.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Map baseline DEE neuronal phenotypes (e.g., SCN1A loss → reduced sodium current → hyperexcitability, increased burst propensity) and calculate predicted rescue magnitude from target perturbation.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Generate EP Rescue Score (0–100) for each candidate: 0 = no phenotypic change, 50 = partial rescue, 100 = complete seizure-propensity reversal.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Identify top 5–10 candidates by EP rescue strength; secondary ranking: rescue durability, robustness across neuronal subtypes, off-target EP liabilities.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EP Rescue Score (0–100) for all 15–20 candidates, ranked highest to lowest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Seizure-relevant feature rescue profile per candidate: burst frequency reduction %, seizure threshold elevation %, hyperexcitability suppression %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Baseline vs. rescue comparison: baseline neuronal phenotype → target perturbation phenotype mapping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Robustness assessment: rescue consistency across excitatory, inhibitory, and mixed neuronal populations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Top 5–10 candidates advancing to Stage 3 Competitive Landscape Assessment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Ranked EP Rescue Score table (gene, baseline phenotype, rescue score, burst reduction %, threshold elevation %, off-target risk)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3: Competitive Landscape &amp; Regulatory Assessment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Map current approved therapies, active clinical trials, and competitor programs per gene; assess FDA orphan designation status, breakthrough therapy potential, and unmet medical need magnitude.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Orphan Drug Designations database: approved therapies, clinical trials, market exclusivity timelines per gene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ClinicalTrials.gov: active Phase 1/2/3 trials for DEE candidates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Competitive intelligence: company programs (gene therapy, antisense, small molecules), clinical stage, mechanism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Approved therapies: labeling, efficacy data, patient population size, safety profile limitations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Regulatory guidance documents: FDA breakthrough therapy criteria, accelerated approval pathways for CNS rare disease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Orphan Drug Designations Portal: designation status, approved therapies, market exclusivity termination dates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ClinicalTrials.gov: Phase 1/2/3 trial search by gene/disease, enrollment, efficacy readouts, safety flags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Pharos/TargetDB: Competitor program identification, therapeutic modality, development stage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Orange Book / NDA approvals: Approved therapies per indication, patent expiration, generic entry timeline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Breakthrough Therapy &amp; Accelerated Approval Criteria checklist: FDA pathway eligibility for candidates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each candidate gene (ranked by EP rescue from Stage 2), search FDA Orphan Drug Designations database: (i) any currently approved therapies, (ii) active clinical programs, (iii) market exclusivity status, (iv) unmet medical need statement.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Query ClinicalTrials.gov for Phase 1/2/3 trials by candidate gene/disease: identify trial status, mechanism, enrollment, primary efficacy endpoint, safety signals.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Compile competitive landscape: for each candidate, list all active industry programs (gene therapy, ASO, small molecule, cell therapy), company, mechanism, clinical stage, development timeline.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Assess regulatory pathway feasibility: (i) FDA breakthrough therapy designation likelihood (substantial improvement evidence threshold), (ii) accelerated approval pathway suitability (surrogate endpoint availability: EEG normalization, seizure reduction &gt;50%), (iii) standard approval pathway requirements.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Quantify unmet medical need: current treatment failure rates, approved therapy efficacy gap (% refractory patients), clinical gap significance scoring.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Competitive landscape summary per candidate: approved therapies, clinical efficacy/safety, active competitor programs, stage/timeline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Regulatory pathway recommendation: standard vs. breakthrough vs. accelerated approval likelihood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Unmet medical need quantification: treatment failure %, efficacy gap magnitude, patient population underserved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Market exclusivity timeline: orphan exclusivity duration remaining, patent protection runway, generic entry risk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Top 5–10 candidates advancing to Stage 4 Target Viability &amp; Safety Profiling (filtering for competitive advantage, unmet need, regulatory clarity)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Competitive landscape table (gene, approved therapies, competitor programs, clinical stage, breakthrough potential, unmet need score)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4: Target Viability &amp; Safety Profiling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Evaluate gene expression patterns, off-target risk for therapeutic modalities, preclinical toxicology, and safety/de-risking recommendations to generate a viability score for clinical development.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 expression databases (GTEx, Human Protein Atlas): tissue distribution, cell-type specificity, CNS-restricted vs. systemic expression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Off-target databases (CRISPR design tools, ASO specificity tools): off-target binding predictions for CRISPR/ASO candidates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Knockout mouse/animal models: safety pharmacology data, toxicology findings, compensation pathways for candidate genes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Adverse event monitoring databases: clinical trial safety signals for similar mechanisms (gene therapy safety, ASO immune activation, small molecule CNS tolerability)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Preclinical toxicology literature: organ-system liabilities, CNS-specific risks, dosage-dependent toxicity thresholds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GTEx Portal: Tissue-specific gene expression, CNS abundance, peripheral off-target expression risk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Human Protein Atlas: Protein localization, cell-type specificity, tissue distribution maps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CRISPR Design Tools (Cas-OFFinder, CHOPCHOP): sgRNA off-target prediction for CRISPR candidates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ASO Design Tools (GENEUP, RegulonDB): ASO specificity scoring, off-target hybridization risk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MGI (Mouse Genome Informatics): Knockout phenotypes, lethality, compensation mechanisms for orthologous DEE genes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Preclinical Toxicology Literature: Gene therapy safety (integration risk, immune activation), ASO CNS tolerability, small molecule neurotoxicity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each remaining candidate (top 5–10 from Stage 3), query GTEx and Human Protein Atlas: (i) brain-specific expression (% of total expression), (ii) cell-type specificity (excitatory, inhibitory, glia), (iii) peripheral/systemic off-target expression risk.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If therapeutic modality is gene therapy or CRISPR: predict off-target editing risk using Cas-OFFinder/CHOPCHOP; identify off-target genes with neuroactive or toxic potential.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If therapeutic modality is antisense oligonucleotide (ASO): assess ASO specificity using GENEUP; identify potential off-target mRNA interactions (BLAT search), immune activation risk (GC content, TLR activation potential).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Review knockout mouse/animal models for candidate gene: identify embryonic lethality, developmental defects, compensatory pathway activation, safety-limiting phenotypes.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Compile preclinical toxicology profile: gene therapy immunogenicity risk (self-complementary vs. single-stranded, serotype), ASO hepatotoxicity/INF-induced tolerance, small molecule neurotoxicity thresholds, organ-system liabilities.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Gene expression profile: CNS-specific expression %, cell-type distribution, off-target expression tissue map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Off-target risk assessment: CRISPR/ASO specificity score, predicted off-target genes, toxicological significance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Knockout phenotype summary: embryonic lethality risk, developmental toxicity, compensation pathways, safety-limiting phenotypes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Preclinical toxicology profile: modality-specific liabilities (gene therapy immunogenicity, ASO immune activation, small molecule neurotoxicity), dosage-dependent thresholds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Safety &amp; Viability Score (0–100): composite scoring integrating expression specificity, off-target risk, preclinical safety, de-risking recommendations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Safety &amp; Viability Score table (gene, CNS specificity %, off-target risk, toxicology liability, de-risk priorities, viability score)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5: Commercial &amp; Patent Analysis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Analyze patent landscape (freedom-to-operate, patent strength, expirations), market size (patient population × treatment cost × penetration), precedent pricing, and franchise potential to generate commercial viability scoring.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Patent databases (USPTO, WIPO, Espacenet): issued patents and published applications covering candidate genes/therapeutic approaches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Freedom-to-operate analysis: patent thicket assessment, blocking patent risk, design-around feasibility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Market size estimates: rare disease patient population (US, EU, global), treatment cost precedents (orphan disease pricing), market penetration projections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Precedent pricing: comparable orphan disease programs (gene therapy, ASO, small molecule), peak sales benchmarks, price/QALY thresholds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Franchise potential: indication expansion (ASD co-occurrence, intellectual disability, behavioral phenotypes), combination therapy opportunities, patient population expansion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USPTO/WIPO Patent Search: Patent claims, assignees, expiration dates, blocking patent identification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Freedom-to-Operate (FTO) Analysis Tools: Patent overlap mapping, design-around feasibility, licensing requirements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Orphan Drug Pricing Database: Precedent pricing for similar rare disease programs, peak sales projections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Rare Disease Market Size Reports: Patient population estimates (prevalence, incidence), treatment cost assumptions, addressable market sizing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Patent Landscaping Tools (Derwent, TotalPatent): Invention mapping, competitor patent activity, technology trending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each top 5–10 candidate (from Stage 4), search USPTO/WIPO for issued patents and applications related to: (i) gene sequence/variant, (ii) therapeutic modalities (gene therapy vector, ASO chemistry, CRISPR design), (iii) diagnostic/biomarker method patents.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Conduct FTO analysis: identify blocking patents (high confidence infringement), analyze patent strength/enforceability, estimate design-around feasibility and licensing costs.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Estimate market size per candidate: (i) US patient population (ClinVar prevalence, orphan drug designation population), (ii) EU/global expansion, (iii) treatment penetration assumptions (% diagnosed, % treated), (iv) treatment cost assumptions (precedent pricing from comparable programs).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Benchmark precedent pricing: identify comparable orphan disease programs (gene therapies like Zolgensma, Luxturna; ASOs like Spinraza; small molecules like Epidiolex), extract peak sales, price per patient, price/QALY thresholds.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Assess franchise potential: indication expansion (co-occurrence of ASD, behavioral phenotypes, cognitive deficits), combination therapy opportunities (disease-modifying + symptomatic), patient population expansion across DEE spectrum.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Patent landscape summary: issued patents, blocking patent risks, FTO feasibility, licensing costs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Patent protection runway: patent expiration timeline, orphan exclusivity duration, market exclusivity window estimate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Market size estimate: US patient population, EU/global expansion, addressable market ($M), treatment penetration assumptions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Precedent pricing analysis: comparable orphan disease peak sales, price/QALY, peak sales projection for candidate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Commercial viability scorecard: market size ($M), patent runway (years), franchise potential (indication expansion, franchise value ($M)), 10-year NPV projection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Commercial Viability Table (gene, addressable market $M, patent runway yrs, peak sales precedent $M, franchise potential, NPV 10yr $M)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Stage 6: Final Ranking &amp; Development Strategy</w:t>
      </w:r>
    </w:p>
    <w:p>
      <w:pPr>
        <w:spacing w:after="2000" w:line="360" w:lineRule="auto"/>
      </w:pPr>
      <w:r>
        <w:rPr>
          <w:rFonts w:ascii="Arial" w:hAnsi="Arial"/>
          <w:b/>
          <w:sz w:val="48"/>
        </w:rPr>
        <w:t xml:space="preserve">Purpose: </w:t>
      </w:r>
      <w:r>
        <w:rPr>
          <w:rFonts w:ascii="Arial" w:hAnsi="Arial"/>
          <w:sz w:val="48"/>
        </w:rPr>
        <w:t>Integrate all metrics (EP rescue, regulatory, competitive, safety, commercial) into a composite scoring algorithm weighted by scientific/commercial/regulatory factors; generate definitive TOP 5 RANKED CANDIDATES with full justification and 5–10 year clinical development roadmaps.</w:t>
      </w:r>
    </w:p>
    <w:p>
      <w:pPr>
        <w:spacing w:after="1000"/>
      </w:pPr>
      <w:r>
        <w:rPr>
          <w:rFonts w:ascii="Arial" w:hAnsi="Arial"/>
          <w:b/>
          <w:sz w:val="48"/>
        </w:rPr>
        <w:t>Inputs: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Stage 2 EP Rescue Scores (40% weighting in composite algorithm)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Stage 3 Regulatory Pathway scores and competitive advantage rankings (20% weighting)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Stage 4 Safety &amp; Viability Scores (10% weighting)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Stage 5 Commercial Viability Scores and market size estimates (30% weighting)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development precedent data: IND enabling studies, Phase 1/2 timeline assumptions (gene therapy 3–5 yrs, ASO 2–4 yrs, small molecule 2–3 yrs), Phase 3 cost/duration, regulatory approval timeline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Tools &amp; Databases Called: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Composite Scoring Algorithm: Weighted integration of EP rescue, regulatory, safety, commercial metrics (40%/20%/10%/30%)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Sensitivity Analysis Tools: Monte Carlo simulation, parameter uncertainty quantification, score robustness assessment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 Development Timeline Tools: Industry benchmark development phases, regulatory milestone assumptions, go-to-market strategy optimization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Risk-Adjusted NPV Modeling: Probability-of-success (PoS) assumptions by phase, discount rate, peak sales assumptions, go-to-market cost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Exemplary Sub-Prompts: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Integrate all Stage metrics into composite scoring framework: Stage 2 EP Rescue Score (40 points max) + Stage 3 Regulatory Score (20 points max) + Stage 4 Safety Score (10 points max) + Stage 5 Commercial Score (30 points max) = Final Score (0–100).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Rank all candidates by composite score; identify Top 5 ranked candidates with clear score gaps between tiers.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#1-ranked candidate, develop detailed development roadmap: (i) preclinical IND-enabling studies (timeline, key studies), (ii) Phase 1 trial design (safety, dosage, biomarker endpoints), (iii) Phase 2 proof-of-concept (efficacy endpoint selection, patient stratification, biomarker validation), (iv) Phase 3 pivotal trial (comparator selection, primary endpoint power, breakthrough therapy acceleration potential), (v) NDA/BLA preparation and regulatory strategy, (vi) commercial launch timeline and go-to-market strategy.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For #2–5 ranked candidates, develop abbreviated development profiles: key de-risking priorities, differentiation vs. #1, go-to-market advantages/disadvantages.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Conduct sensitivity analysis: quantify impact of score component uncertainty (EP rescue ±10%, market size ±20%, PoS ±15%), identify score robustness and key decision drivers.</w:t>
      </w:r>
    </w:p>
    <w:p>
      <w:pPr>
        <w:spacing w:before="1000" w:after="1000"/>
      </w:pPr>
      <w:r>
        <w:rPr>
          <w:rFonts w:ascii="Arial" w:hAnsi="Arial"/>
          <w:b/>
          <w:sz w:val="48"/>
        </w:rPr>
        <w:t>Expected Outputs: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Definitive TOP 5 RANKED CANDIDATES with composite scores, ranking rationale, key differentiators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Comprehensive development roadmap for #1-ranked candidate: preclinical through commercial launch, key milestones, de-risking priorities, estimated timeline and budget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Summary development profiles for #2–5 candidates: key advantages/disadvantages, go-to-market strategy, strategic positioning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Partnership recommendations: potential allies (research institutes, patient advocacy groups, larger pharma), licensing/collaboration structure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Executive summary: competitive landscape overview, strategic imperative for each top 5 candidate, capital requirements, de-risking roadmap, probability-of-success estimates</w:t>
      </w:r>
    </w:p>
    <w:p>
      <w:pPr>
        <w:spacing w:before="1000" w:after="2000" w:line="360" w:lineRule="auto"/>
      </w:pPr>
      <w:r>
        <w:rPr>
          <w:rFonts w:ascii="Arial" w:hAnsi="Arial"/>
          <w:b/>
          <w:sz w:val="48"/>
        </w:rPr>
        <w:t xml:space="preserve">Format: </w:t>
      </w:r>
      <w:r>
        <w:rPr>
          <w:rFonts w:ascii="Arial" w:hAnsi="Arial"/>
          <w:sz w:val="48"/>
        </w:rPr>
        <w:t>Executive summary with ranked candidate profiles, composite scores, development timelines (5-10 year), milestone/budget projections, go-to-market strategy</w:t>
      </w:r>
    </w:p>
    <w:p>
      <w:pPr>
        <w:pStyle w:val="Heading2"/>
        <w:spacing w:before="2400" w:after="2000"/>
      </w:pPr>
      <w:r>
        <w:rPr>
          <w:rFonts w:ascii="Arial" w:hAnsi="Arial"/>
          <w:b/>
          <w:sz w:val="56"/>
        </w:rPr>
        <w:t>Tools &amp; Databases Summary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Sapphire EP CRISPR Atlas: 18,000 gene perturbations, 500+ electrical features per neuron, compound library integration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FDA Orphan Drug Designations Portal: Orphan status confirmation, approved therapies, market exclusivity timelines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ClinVar/OMIM: Gene-variant associations, clinical phenotype annotations, rare disease curated databases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gnomAD/ExAC: Allele frequency filtering, rare variant discovery, population genetics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ClinicalTrials.gov: Active Phase 1/2/3 trials, enrollment status, efficacy/safety readouts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GTEx Portal: Tissue-specific gene expression, CNS abundance quantification, off-target expression mapping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Human Protein Atlas: Protein localization, cell-type specificity, subcellular distribution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CRISPR/ASO Design Tools (Cas-OFFinder, GENEUP): Off-target prediction, sgRNA/ASO specificity scoring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MGI (Mouse Genome Informatics): Knockout phenotypes, compensation mechanisms, developmental toxicity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USPTO/WIPO Patent Databases: Patent claims, expiration dates, competitive patenting activity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Orphan Drug Pricing Database: Precedent pricing, peak sales benchmarks, price/QALY thresholds</w:t>
      </w:r>
    </w:p>
    <w:p>
      <w:pPr>
        <w:pStyle w:val="ListBullet"/>
        <w:spacing w:after="1000" w:line="360" w:lineRule="auto"/>
      </w:pPr>
      <w:r>
        <w:rPr>
          <w:rFonts w:ascii="Arial" w:hAnsi="Arial"/>
          <w:sz w:val="48"/>
        </w:rPr>
        <w:t>PubMed/Google Scholar: Clinical phenotype literature, mechanistic studies, safety surveillance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