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0" w:line="360" w:lineRule="auto"/>
      </w:pPr>
      <w:r>
        <w:rPr>
          <w:rFonts w:ascii="Arial" w:hAnsi="Arial"/>
          <w:b/>
          <w:sz w:val="64"/>
        </w:rPr>
        <w:t>Sapphire Pipeline Workflow</w:t>
      </w:r>
    </w:p>
    <w:p>
      <w:pPr>
        <w:pStyle w:val="Heading2"/>
        <w:spacing w:before="2000" w:after="2000"/>
      </w:pPr>
      <w:r>
        <w:rPr>
          <w:rFonts w:ascii="Arial" w:hAnsi="Arial"/>
          <w:b/>
          <w:sz w:val="56"/>
        </w:rPr>
        <w:t>Prompt: "Identify disease-modifying vs symptomatic rescue candidates in Dup15q syndrome"</w:t>
      </w:r>
    </w:p>
    <w:p>
      <w:pPr>
        <w:spacing w:after="2000" w:line="360" w:lineRule="auto"/>
      </w:pPr>
      <w:r>
        <w:rPr>
          <w:rFonts w:ascii="Arial" w:hAnsi="Arial"/>
          <w:sz w:val="48"/>
        </w:rPr>
        <w:t>This pipeline uses Sapphire electrophysiology data to distinguish between disease-modifying therapeutic candidates—targeting root-cause gene dosage imbalance (GABAA overexpression reduction, UBE3A correction)—and symptomatic rescue candidates addressing immediate clinical manifestations (seizure suppression, behavioral/cognitive support) in Dup15q syndrome. The workflow integrates mechanistic phenotyping, candidate classification, efficacy assessment, patient stratification biomarkers, and combination therapy optimization to identify optimal therapeutic strategies per patient subphenotype.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Pipeline Overview</w:t>
      </w:r>
    </w:p>
    <w:p>
      <w:pPr>
        <w:spacing w:after="2000" w:line="360" w:lineRule="auto"/>
      </w:pPr>
      <w:r>
        <w:rPr>
          <w:rFonts w:ascii="Arial" w:hAnsi="Arial"/>
          <w:sz w:val="48"/>
        </w:rPr>
        <w:t>Dup15q syndrome results from chromosome 15q11.2–q13.1 duplication, causing gene dosage imbalance in GABAA receptor subunits (GABRB3, GABRA5, GABRG3) and UBE3A overexpression (parent-of-origin imprinting). Clinical manifestations include autism spectrum disorder (ASD), intellectual disability, seizures (80% prevalence), hypotonia, and behavioral abnormalities. The core pathophysiology involves GABAergic circuit dysregulation—paradoxically increasing inhibition via GABAA subunit overexpression while disrupting E-I balance and synaptic plasticity—and synaptic dysfunction from UBE3A dosage imbalance. Disease heterogeneity (seizure vs. non-seizure subphenotypes, cognitive severity variation) necessitates distinct therapeutic strategies: (1) Disease-modifying candidates target root cause through GABAA reduction or UBE3A dosage correction, enabling potential for sustained phenotypic reversal and disease reversal; (2) Symptomatic rescue candidates provide immediate relief (antiepileptic drugs for seizure suppression, behavioral modulators for irritability/anxiety, cognitive enhancers) without addressing etiology. The six-stage workflow integrates mechanistic characterization, candidate identification and ranking, efficacy/selectivity assessment, patient stratification biomarkers, and optimized combination strategies.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1: Phenotype Characterization &amp; Mechanism Dissection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Dissect Dup15q pathophysiology at the cellular and circuit levels: GABAA-mediated inhibitory dysfunction (SIPSCs, inhibitory strength), UBE3A-driven synaptic plasticity impairment (LTP/LTD), E-I imbalance quantification, and seizure mechanism characterization using Sapphire EP data.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Dup15q patient-derived induced pluripotent stem cells (iPSCs) or mouse models: baseline neuronal phenotypes (synaptic function, action potential properties, network activity)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baseline GABRB3/GABRA5/GABRG3/UBE3A overexpression phenotypes (if available) or wildtype hyperexcitability baseline for comparison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Electrophysiology literature on Dup15q mechanisms: GABA dysfunction (paradoxical inhibition from subunit overexpression), synaptic plasticity deficits, E-I imbalance signatures, EEG/seizure phenotypes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phenotype data: seizure types/frequency, EEG signatures (focal spikes, polyspikes, background abnormalities), behavioral phenotypes (ASD severity, irritability, cognitive level), developmental trajectories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Network modeling data: circuit-level dysfunction (synchrony changes, network burst properties, inhibitory-excitatory balance)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Model GABAA overexpression and UBE3A overexpression phenotypes, query baseline hyperexcitability signatures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Patch-clamp electrophysiology analysis: SIPSC (spontaneous inhibitory postsynaptic current) frequency, amplitude, kinetics quantification; inhibitory strength assessment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Synaptic plasticity assays: LTP/LTD induction protocols, synaptic weight change kinetics, plasticity coefficient calculations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Network electrophysiology tools: Multi-electrode arrays, calcium imaging analysis, network burst detection, synchrony quantification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E-I balance assessment tools: Excitatory/inhibitory conductance ratio estimation, excitatory vulnerability metrics, balance indices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phenotyping databases: EEG waveform analysis, seizure classification, developmental assessment scales (ADOS-2, IQ testing)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From Sapphire EP atlas, extract baseline GABRB3, GABRA5, GABRG3 overexpression phenotypes: quantify inhibitory current changes, network synchrony alterations, excitability shifts.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Query UBE3A overexpression phenotype from Sapphire atlas: identify synaptic plasticity dysfunction signatures (reduced LTP capacity, altered learning phenotypes), calcium signaling changes.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Synthesize mechanism model: GABAA overexpression → enhanced inhibitory strength but paradoxical circuit dysregulation (altered temporal dynamics, excitatory compensation); UBE3A overexpression → synaptic plasticity impairment, learning deficits.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Quantify E-I imbalance: Calculate excitatory/inhibitory conductance ratio, identify E-I set-point dysfunction vs. dynamic imbalance, assess circuit-level compensatory mechanisms.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Map seizure mechanisms: Identify seizure-propensity metrics (threshold reduction, burst frequency elevation, seizure-like activity generation), correlate to baseline GABAA/UBE3A phenotypes.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Comprehensive mechanism model: GABAA overexpression → circuit-level inhibitory dysfunction, UBE3A overexpression → synaptic plasticity impairment, integrated E-I imbalance signature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Electrophysiology phenotype profile: SIPSC metrics (frequency, amplitude, kinetics), inhibitory strength score, LTP/LTD capacity, network synchrony changes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E-I balance quantification: excitatory/inhibitory conductance ratio, balance index, circuit-level compensation assessment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Seizure propensity characterization: baseline seizure threshold, burst frequency elevation, seizure-like activity metrics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phenotype-mechanism correlation: EEG signatures linked to GABAA/UBE3A dysfunction, seizure type association, behavioral/cognitive phenotype mapping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Mechanism model document with phenotype matrices, EP signatures, E-I balance visualization, clinical correlations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2: Disease-Modifying Candidate Identification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Identify and characterize disease-modifying candidates targeting root-cause gene dosage imbalance (GABAA reduction, UBE3A normalization, circuit rebalancing). Use Sapphire modeling to predict mechanistic rescue and endpoint restoration (synaptic plasticity recovery, E-I balance correction).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Therapeutic modality options: antisense oligonucleotides (ASO) targeting GABRB3, GABRA5, GABRG3; gene therapy for UBE3A dosage correction; CRISPR duplication excision; degrader molecules (PROTAC-based GABAA reduction)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CRISPR knockdown phenotypes for GABRB3, GABRA5, GABRG3 (rescue profile prediction); UBE3A normal expression vs. overexpression phenotypes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ASO design databases: ASO chemistry options (GalNAc-conjugated, 2'MOE, PS backbone), tissue-specific delivery predictions, CNS penetrance data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 therapy delivery systems: Vector options (AAV serotypes, adenovirus), transduction efficiency, tissue tropism, immune activation potential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Synergistic target candidates: Genes downstream of GABAA/UBE3A (potassium channels, synaptic plasticity mediators, network modulators) for combination disease-modifying approaches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stratification markers: Genetic modifiers (common variants, rare variants in compensation pathways), baseline EP signatures predicting disease-modifying responsiveness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Query CRISPR knockdown phenotypes for GABRB3, GABRA5, GABRG3; predict rescue magnitude (inhibitory strength reduction %, E-I balance restoration %)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ASO Design Tools: Antisense design optimization, GalNAc-ASO CNS penetrance prediction, immune activation risk assessment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 Therapy Vector Selection: AAV serotype screening, tropism prediction, transduction efficiency modeling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Synergistic target discovery: Pathway analysis tools (KEGG, Reactome), epistasis network analysis, combination benefit prediction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stratification biomarkers: Genetic association databases (GWAS, rare variant databases), EP-based biomarker identification tools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From Sapphire atlas, predict GABRB3, GABRA5, GABRG3 CRISPR knockdown rescue profiles: (i) inhibitory strength reduction %, (ii) E-I balance restoration %, (iii) network synchrony normalization, (iv) synaptic plasticity recovery potential.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optimal GABAA-targeting modality: ASO (tissue selectivity, CNS penetrance, speed-of-action) vs. gene therapy (durability, one-time dosing) vs. CRISPR (permanent correction, off-target risk); rank by disease-modification potential.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Design UBE3A dosage correction strategy: (i) UBE3A paternal gene therapy for overexpression reduction (targeting paternal 15q duplication); (ii) CRISPR duplication excision for permanent genomic correction; (iii) UBE3A protein degradation strategies (PROTAC).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synergistic disease-modifying targets: pathway analysis of GABAA/UBE3A downstream effectors (CREB signaling, AMPAR trafficking, synaptic strength mediators), predict combination benefit for E-I rebalancing.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Define patient stratification biomarkers: genetic modifiers predicting disease-modifying responsiveness (e.g., compensatory GABA synthesis variants, CREB polymorphisms), baseline EP signatures (seizure threshold, plasticity capacity) predicting rescue probability.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Disease-modifying candidate ranking: GABRB3-ASO, GABRA5-ASO, GABRG3-ASO, UBE3A gene therapy, CRISPR duplication excision, ranked by mechanistic rescue potential, durability, and clinical feasibility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Mechanistic rescue prediction: inhibitory strength reduction %, E-I balance restoration %, synaptic plasticity recovery probability, seizure threshold elevation %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Modality comparison: ASO (mechanism, CNS penetrance, timeline), gene therapy (vector, dosing, durability), CRISPR (off-target risk, permanence), rank by disease-modification potential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Synergistic combination recommendations: primary (GABAA reduction) + secondary (synaptic plasticity enhancement, network rebalancing) for maximal disease-modifying effect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stratification biomarkers: genetic modifiers, baseline EP signatures predicting disease-modifying responsiveness, risk stratification for treatment selection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Disease-modifying candidate table (target, modality, rescue magnitude %, durability, timeline, combination potential)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3: Symptomatic Rescue Candidate Profiling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Profile symptomatic rescue candidates addressing immediate clinical manifestations: antiepileptic drugs (seizure suppression from baseline hyperexcitability), behavioral modulators (GABA agonists, glutamate antagonists, monoamine agents for irritability/anxiety), cognitive enhancers (NMDAR antagonists, CREB activators). Rank by symptom target, efficacy, safety, and subphenotype fit.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Antiepileptic drug (AED) compendium: FDA-approved and investigational AEDs (mechanism, clinical efficacy in Dup15q, safety profile, CNS bioavailability, pediatric dosing)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Behavioral pharmacotherapy database: GABA agonists, glutamate antagonists, monoamine modulators (SSRIs, alpha-2 agonists, atypical antipsychotics) for ASD-associated irritability, anxiety, behavioral dyscontrol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Cognitive enhancement agents: NMDAR antagonists (memantine), CREB activators, AMPAR modulators, CaMKII activators with safety profiles in pediatric populations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modeling: AED efficacy prediction on baseline Dup15q hyperexcitability (seizure threshold elevation %), behavioral drug effects on excitability (monoamine, GABA modulation)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Subphenotype-specific guidance: seizure vs. non-seizure strategies (AED benefit vs. risk), ASD severity stratification (mild/moderate/severe), cognitive level considerations, age-dependent efficacy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FDA drug database / Orange Book: AED indications, safety labeling, pediatric dosing, pharmacokinetics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ClinicalTrials.gov: AED trials in Dup15q or related conditions, efficacy data, adverse event profiles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Model AED effects on baseline Dup15q hyperexcitability, seizure threshold elevation % per drug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Behavioral pharmacotherapy literature: GABA agonist, glutamate antagonist, monoamine agent efficacy in ASD irritability/anxiety, safety/tolerability profiles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Cognitive enhancement biomarkers: NMDAR, CREB, AMPAR modulation effects on synaptic plasticity proxies (LTP/LTD signatures), cognition-related EP phenotypes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seizure suppression candidates: (i) AEDs effective for generalized and focal seizures (levetiracetam, valproate, lamotrigine, topiramate, clobazam), (ii) model seizure threshold elevation % for each using Sapphire baseline hyperexcitability, (iii) assess safety/tolerability in pediatric Dup15q populations.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behavioral/psychiatric symptom candidates: (i) GABA agonists for anxiety/irritability (benzodiazepines, buspirone), (ii) glutamate antagonists (memantine, riluzole), (iii) monoamine modulators (SSRIs for anxiety, alpha-2 agonists for hyperactivity, atypical antipsychotics for behavioral dyscontrol).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cognitive enhancement candidates: (i) NMDAR antagonists (memantine at low doses), (ii) CREB activators (potential small molecules), (iii) AMPAR/CaMKII modulators, rank by potential to restore learning capacity in Dup15q plasticity impairment context.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Stratify symptomatic candidates by subphenotype: (i) seizure phenotype: AED + behavioral modulation; (ii) non-seizure phenotype: behavioral + cognitive enhancement; (iii) severe ASD: combined behavioral + cognitive + seizure prevention.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Assess tolerability/safety profiles: pediatric-safe dosing, drug-drug interactions with future disease-modifying therapy, cognitive side effects (avoid agents worsening cognition), long-term adverse event monitoring.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Symptomatic rescue candidate ranking by target: Seizure suppression (AEDs ranked by efficacy %, safety), Behavioral symptom relief (GABA/GLUT agents ranked by symptom improvement %), Cognitive enhancement (NMDAR/CREB agents ranked by learning recovery %)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Subphenotype-specific recommendations: seizure phenotype (AED + behavioral), non-seizure phenotype (behavioral + cognitive), severe ASD (combined strategy), timeline to efficacy per symptom target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Efficacy predictions: seizure threshold elevation % per AED, behavioral symptom improvement % per agent, cognitive enhancement potential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Safety/tolerability assessment: adverse event profiles, pediatric safety data, drug-drug interaction risks with disease-modifying candidates, cognitive side effects ranking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evidence summary: precedent efficacy data for each candidate in Dup15q or similar genetic neurodevelopmental disorders, meta-analysis of clinical benefit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Symptomatic rescue ranking table (symptom target, drug candidate, mechanism, efficacy %, safety profile, subphenotype fit)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4: Efficacy &amp; Selectivity Assessment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Comprehensively compare disease-modifying and symptomatic candidates across efficacy, selectivity, durability, safety, and combination compatibility dimensions. Generate comparative efficacy matrices enabling clinical decision-making.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Disease-modifying candidates (from Stage 2): ranked by mechanistic rescue strength (inhibitory strength reduction %, E-I balance restoration %, plasticity recovery %)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Symptomatic candidates (from Stage 3): ranked by symptom-specific efficacy (seizure threshold elevation %, behavioral symptom reduction %, cognitive improvement %)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Off-target &amp; selectivity data: CRISPR/ASO specificity, AED multi-target effects, behavioral drug off-target profiles, safety liability mapping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Durability assessment: tachyphylaxis risk, compensatory pathway activation potential, long-term efficacy data from literature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Combination pharmacology: synergistic interactions between disease-modifying + symptomatic candidates, pharmacokinetic conflicts, additive benefit models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Safety comparative analysis: adverse event profiles across all candidates, organ-specific liabilities (CNS, hepatic, hematologic), pediatric safety considerations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Comparative efficacy scoring matrix: disease-modifying candidates scored on EP rescue %, symptom improvement %, durability, selectivity vs. symptomatic agents scored on symptom-specific efficacy %, off-target risk, CNS penetrance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Off-target prediction tools: CRISPR/ASO tools for specificity; AED promiscuity databases (multi-channel, multi-receptor targets)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Tachyphylaxis risk assessment: literature mining, mechanism-of-action analysis (receptor downregulation, tolerance development potential)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Combination pharmacology tools: synergy prediction models, pharmacokinetic interaction databases, additive benefit scoring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Adverse event comparative analysis: FDA MedWatch databases, clinical trial adverse event meta-analysis, organ-specific safety ranking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Construct efficacy comparison matrix: rows = all candidates (disease-modifying + symptomatic), columns = efficacy dimensions (mechanism score, EP rescue %, seizure control %, behavioral improvement %, cognitive gain %, durability, safety rank).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disease-modifying candidates: score on mechanistic rescue strength (inhibitory reduction %, E-I balance %, plasticity recovery %), off-target potential (ASO/CRISPR specificity %), tachyphylaxis risk.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symptomatic candidates: score on seizure suppression % (if applicable), behavioral symptom improvement % (if applicable), cognitive benefit % (if applicable), off-target effects (multi-channel effects, behavioral side effects), tachyphylaxis risk.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Assess selectivity &amp; specificity: (i) disease-modifying: on-target GABAA/UBE3A effect vs. off-target liabilities; (ii) symptomatic: primary symptom target efficacy vs. unintended effects on cognition, behavior, seizure threshold.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Evaluate combination compatibility: disease-modifying + symptomatic pair scoring (pharmacokinetic conflicts, mechanism synergy, additive safety liability), identify optimal combinations per patient subphenotype.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Comparative efficacy matrix (all candidates × dimensions: efficacy, selectivity, durability, safety, combination potential)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Disease-modifying efficacy ranking: mechanistic rescue strength %, E-I balance restoration %, synaptic plasticity recovery %, off-target risk, durability assessment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Symptomatic efficacy ranking (by symptom target): seizure control %, behavioral improvement %, cognitive enhancement %, off-target effects, tachyphylaxis risk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Combination compatibility assessment: optimal disease-modifying + symptomatic pairs, synergy scoring, additive safety liability quantification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Safety comparative analysis: adverse event profiles ranked by organ-system liability (CNS priority), pediatric safety considerations, long-term adverse event potential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Multi-dimensional comparison matrix with radar plots (efficacy, selectivity, safety, durability, combination potential)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5: Clinical Translation &amp; Patient Stratification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Develop patient stratification framework distinguishing seizure vs. non-seizure subphenotypes, ASD severity levels, cognitive capacity, and age-dependent treatment responses. Define biomarkers (genetic, EP-based, clinical) predicting disease-modifying and symptomatic responsiveness. Design trial architectures and treatment selection algorithms.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subphenotype definitions: seizure (80% incidence) vs. non-seizure, ASD severity (mild/moderate/severe by ADOS-2), cognitive level (normal/borderline/intellectual disability), behavioral profile (irritability/anxiety-dominant vs. hyperactivity-dominant)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Biomarker candidates: genetic modifiers (GABAA synthesis variants, CREB polymorphisms, compensation pathway variants); EP biomarkers (seizure threshold, hyperexcitability index, plasticity capacity); circuit-level markers (network synchrony, inhibitory strength)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outcome measures: seizure frequency (per month), EEG normalization (% improvement in epileptiform activity), ADOS-2 ASD severity, IQ/cognitive testing, behavioral assessment scales (irritability, anxiety, hyperactivity), developmental trajectories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trial design precedents: disease-modifying trial architecture (long-term natural history controls, mechanistic biomarker endpoints), symptomatic trial design (crossover, adjunctive comparator arms, symptom-specific primary endpoints)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Treatment algorithm development: decision tree logic for disease-modifying therapy initiation (foundational for all vs. rescue for responders), symptomatic timing (concurrent vs. sequential), combination deployment strategy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stratification biomarker tools: genetic modifier databases, EP-based patient clustering (seizure threshold, plasticity capacity), clinical phenotype classification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Outcome measure harmonization: ADOS-2, cognitive testing batteries, EEG analysis standardization, seizure frequency definitions, behavioral scale validation in Dup15q cohorts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trial design tools: natural history registry analysis, surrogate endpoint validation, sample size calculations for rare disease trials, adaptive trial design platforms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Biomarker discovery workflows: genome-wide association study (GWAS) for genetic modifiers, EP signature-clinical outcome correlation analysis, machine learning for patient responder prediction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Treatment decision algorithm development: decision tree/machine learning for disease-modifying vs. symptomatic selection, combination therapy optimization, adaptive dosing based on biomarker monitoring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Define patient subphenotypes: (i) seizure status (present vs. absent), (ii) seizure severity if present (mild &lt;1/mo vs. moderate 1-10/mo vs. severe &gt;10/mo), (iii) ASD severity by ADOS-2 (minimal/mild/moderate/severe), (iv) cognitive level (normal IQ vs. borderline 70-84 vs. intellectual disability &lt;70), (v) behavioral profile (irritability/anxiety-dominant vs. hyperactivity-dominant vs. mixed).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biomarkers predictive of disease-modifying responsiveness: (i) genetic modifiers (variants in GABAA synthesis genes, CREB signaling, compensation pathways predicting GABAA knockdown tolerance), (ii) baseline EP signatures (plasticity capacity, LTP inducibility, seizure threshold elevation potential predicting disease-modifying benefit), (iii) clinical factors (seizure vs. non-seizure status, cognitive level, age).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biomarkers predictive of symptomatic responsiveness: (i) AED responsiveness predictors (genetic variants in drug targets, baseline hyperexcitability magnitude predicting seizure control %), (ii) behavioral drug responsiveness (anxiety/irritability severity, GABA sensitivity markers), (iii) cognitive enhancement potential (baseline learning capacity, LTP signatures).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Design disease-modifying trial: (i) natural history control cohort (untreated Dup15q progression), (ii) mechanistic biomarker endpoints (E-I balance recovery by EP, synaptic plasticity improvement by LTP/LTD), (iii) clinical endpoints (seizure reduction, developmental trajectory, behavioral/cognitive gains), (iv) long-term follow-up (durable disease-modifying effect assessment).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Develop treatment selection algorithm: decision tree starting with seizure status → seizure severity → cognitive level → behavioral profile → optimize disease-modifying timing (early foundational vs. late rescue) and symptomatic modality selection (AED type, behavioral agent, cognitive enhancer), predict expected outcome per combination.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stratification framework: subphenotype definitions, biomarker-based stratification criteria, risk stratification for complications (status epilepticus, regression)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Biomarker identification: genetic modifiers, EP signatures, clinical factors predicting disease-modifying responsiveness and symptomatic efficacy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outcome measures: seizure frequency definitions, EEG assessment protocol, ADOS-2/IQ/behavioral scale battery standardized for Dup15q trials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Trial design schematics: disease-modifying (natural history control, mechanistic biomarker endpoints, clinical outcome measures), symptomatic (crossover, adjunctive, comparator arms for individual symptom targets)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Treatment selection algorithm: decision tree for disease-modifying initiation (timing, modality), symptomatic agent selection (seizure control, behavioral, cognitive targets), combination strategy per subphenotype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Patient stratification decision tree, biomarker scoring matrix, trial design flowcharts, treatment algorithm visual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6: Final Classification &amp; Combination Strategy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Synthesize disease-modifying and symptomatic classifications into integrated treatment strategies. Develop treatment sequencing logic, optimal disease-modifying + symptomatic regimens per patient subphenotype, and comprehensive clinical development roadmap with regulatory strategy.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Disease-modifying candidate final ranking (from Stages 2, 4): top candidates by mechanistic rescue potential, durability, safety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Symptomatic candidate final ranking (from Stages 3, 4): ranked by symptom-specific efficacy, safety, subphenotype fit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stratification biomarkers (from Stage 5): genetic modifiers, EP signatures, clinical factors enabling treatment selection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Combination synergy assessment (from Stage 4): optimal disease-modifying + symptomatic pairs, additive/synergistic benefit quantification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development precedent: typical trial timelines, regulatory milestone expectations, go-to-market considerations for rare genetic disease programs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Regulatory strategy options: FDA orphan designation (monotherapy vs. combination), breakthrough therapy potential, accelerated approval pathway, expedited programs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Integrated treatment planning tools: disease-modifying + symptomatic sequencing algorithms, expected outcome projection models per combination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development roadmap platforms: milestone tracking, budget projection, probability-of-success (PoS) estimation by development phase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Regulatory pathway optimization: FDA guidance document search, breakthrough therapy scoring, accelerated approval eligibility assessment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Combination benefit modeling: mechanistic synergy prediction, additive vs. synergistic efficacy quantification, safety liability integration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Rank disease-modifying candidates by final criteria: (i) mechanistic rescue strength (inhibitory reduction %, E-I balance restoration %), (ii) clinical feasibility (modality timeline, safety profile, patient population fit), (iii) durability (off-target risk, tachyphylaxis potential), (iv) unmet need fit (seizure subphenotype vs. non-seizure benefit).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Rank symptomatic candidates by final criteria: (i) symptom-specific efficacy (seizure control %, behavioral improvement %, cognitive enhancement %), (ii) safety/tolerability (CNS adverse events, cognitive side effects, drug interactions), (iii) subphenotype fit (seizure status, ASD severity, behavioral/cognitive profile), (iv) timeline to efficacy (acute vs. gradual).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Develop treatment sequencing strategy: (i) disease-modifying timing (early foundational approach vs. rescue for inadequate symptomatic response), (ii) symptomatic initiation timing (concurrent with disease-modifying vs. sequential), (iii) combination optimization per subphenotype (seizure vs. non-seizure, cognitive level, age-dependent considerations).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Design integrated regimens per patient subphenotype: (i) Seizure + severe ASD: disease-modifying (GABAA/UBE3A) + AED + behavioral modulator, (ii) Seizure + mild ASD: disease-modifying + AED, (iii) Non-seizure + moderate ASD: disease-modifying + behavioral + cognitive enhancer, (iv) Non-seizure + severe ASD + intellectual disability: disease-modifying + behavioral + cognitive enhancer.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Develop 5–10 year clinical development roadmap: (i) preclinical/IND-enabling (target mechanism validation, PK/PD, safety pharmacology), (ii) Phase 1/2 (safety, biomarker validation, proof-of-mechanism), (iii) Phase 3 pivotal (primary efficacy endpoint, comparator arm, natural history control option), (iv) NDA/BLA/regulatory approval, (v) commercial launch, (vi) real-world evidence, (vii) franchise expansion (indication combinations, patient population expansion).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Final disease-modifying classification: top-ranked candidates (mechanism clarity, expected outcome trajectory, timeline), de-risking priorities, mechanism validation studies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Final symptomatic rescue classification: ranked candidates for seizure, behavioral, cognitive symptom targets; timeline, safety profiles, subphenotype applicability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Integrated combination strategies: optimal disease-modifying + symptomatic regimen per subphenotype (seizure status, ASD severity, cognitive level, age); expected outcome quantification; timeline; safety liability integration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Treatment sequencing algorithm: decision logic for disease-modifying initiation (timing, modality per subphenotype), symptomatic timing and modality selection, combination deployment optimization, adaptive treatment intensification/de-escalation criteria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5–10 year clinical development roadmap: preclinical program plan, Phase 1/2 trial design (mechanistic biomarker endpoints), Phase 3 pivotal architecture (comparator, patient stratification, primary endpoint), regulatory strategy (orphan pathway for monotherapy or combination), commercial go-to-market (pricing precedent, patient access programs)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Executive summary: clinical decision tree, development milestones, estimated budget/timeline, probability-of-success projections by phase, strategic partnership recommendations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Integrated treatment planning document with decision trees, development roadmap Gantt chart, regulatory pathway flowchart, go-to-market strategy summary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Tools &amp; Databases Summary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18,000 gene perturbations, GABRB3/GABRA5/GABRG3/UBE3A overexpression phenotypes, 500+ electrical features per neuron, compound library (antiepileptic drugs, behavioral agents, cognitive enhancers)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Electrophysiology analysis suite: patch-clamp current recordings (SIPSC, LTP/LTD), multi-electrode arrays, calcium imaging, network synchrony quantification, E-I balance metrics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Disease and clinical databases: ClinVar/OMIM for Dup15q phenotypes, ClinicalTrials.gov for trial designs and efficacy data, FDA safety databases for adverse event monitoring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Patient stratification biomarker tools: GWAS/rare variant discovery, EP signature clustering, clinical phenotype classification systems (ADOS-2, IQ, behavioral scales)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Therapeutic modality databases: ASO design tools (GENEUP), gene therapy vector selection (AAV tropism), degrader/PROTAC screening, small molecule chemistry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Safety and toxicology resources: preclinical knockout phenotype databases (MGI), pharmacovigilance platforms, drug-drug interaction databases, pediatric safety considerations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Combination pharmacology tools: synergy prediction models, pharmacokinetic interaction databases, additive benefit scoring algorithms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trial design platforms: rare disease trial architecture tools, natural history registry platforms, adaptive trial design, surrogate endpoint validation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Regulatory pathway tools: FDA guidance documents, breakthrough therapy scoring, accelerated approval eligibility, orphan drug designation strategy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Patent and competitive intelligence: USPTO/WIPO databases, freedom-to-operate analysis, competitive program tracking, licensing landscape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Literature and knowledge synthesis: PubMed, Google Scholar for clinical evidence, mechanistic studies, safety surveillance, meta-analyses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Development roadmap and financial modeling: milestone tracking platforms, budget projection tools, probability-of-success calculators, NPV models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